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9"/>
        <w:gridCol w:w="14068"/>
        <w:gridCol w:w="607"/>
        <w:gridCol w:w="832"/>
      </w:tblGrid>
      <w:tr>
        <w:trPr>
          <w:trHeight w:val="1267" w:hRule="atLeast"/>
        </w:trPr>
        <w:tc>
          <w:tcPr>
            <w:tcW w:w="43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508"/>
            </w:tblGrid>
            <w:tr>
              <w:trPr>
                <w:trHeight w:val="1189" w:hRule="atLeast"/>
              </w:trPr>
              <w:tc>
                <w:tcPr>
                  <w:tcW w:w="145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40"/>
                    </w:rPr>
                    <w:t xml:space="preserve">Report About Questions in this Specific  exam with the Specific  student answers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06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735"/>
              <w:gridCol w:w="1563"/>
              <w:gridCol w:w="1563"/>
              <w:gridCol w:w="1563"/>
              <w:gridCol w:w="1563"/>
              <w:gridCol w:w="2452"/>
              <w:gridCol w:w="2231"/>
            </w:tblGrid>
            <w:tr>
              <w:trPr>
                <w:trHeight w:val="545" w:hRule="atLeast"/>
              </w:trPr>
              <w:tc>
                <w:tcPr>
                  <w:tcW w:w="3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FFFFFF"/>
                      <w:sz w:val="24"/>
                    </w:rPr>
                    <w:t xml:space="preserve">Question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FFFFFF"/>
                      <w:sz w:val="24"/>
                    </w:rPr>
                    <w:t xml:space="preserve">A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FFFFFF"/>
                      <w:sz w:val="24"/>
                    </w:rPr>
                    <w:t xml:space="preserve">B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4"/>
                    </w:rPr>
                    <w:t xml:space="preserve">C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4"/>
                    </w:rPr>
                    <w:t xml:space="preserve">D</w:t>
                  </w:r>
                </w:p>
              </w:tc>
              <w:tc>
                <w:tcPr>
                  <w:tcW w:w="24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4"/>
                    </w:rPr>
                    <w:t xml:space="preserve">Student Answer</w:t>
                  </w:r>
                </w:p>
              </w:tc>
              <w:tc>
                <w:tcPr>
                  <w:tcW w:w="22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52A2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4"/>
                    </w:rPr>
                    <w:t xml:space="preserve">Correct Answer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W w:w="3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Which type of JavaScript language is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Object-Oriented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Object-Based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Assembly-language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High-level</w:t>
                  </w:r>
                </w:p>
              </w:tc>
              <w:tc>
                <w:tcPr>
                  <w:tcW w:w="24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W w:w="3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Which one of the following also known as Conditional Expression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Alternative to if-else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Switch statement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If-then-else statement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Immediate if</w:t>
                  </w:r>
                </w:p>
              </w:tc>
              <w:tc>
                <w:tcPr>
                  <w:tcW w:w="24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22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W w:w="3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 the following given syntax of the switch statement, the Expression is compared with the labels using which one of the following operators?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br/>
                    <w:t xml:space="preserve">switch(expression) {  statements  }  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br/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===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equals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==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Equals</w:t>
                  </w:r>
                </w:p>
              </w:tc>
              <w:tc>
                <w:tcPr>
                  <w:tcW w:w="24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W w:w="3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Which of the following variables takes precedence over the others if the names are the same?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Global variable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local element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The two of the above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None of the above</w:t>
                  </w:r>
                </w:p>
              </w:tc>
              <w:tc>
                <w:tcPr>
                  <w:tcW w:w="24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W w:w="3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Which of the following option is used as hexadecimal literal beginning?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00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0x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0X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Both 0x and 0X</w:t>
                  </w:r>
                </w:p>
              </w:tc>
              <w:tc>
                <w:tcPr>
                  <w:tcW w:w="24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22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W w:w="3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When there is an indefinite or an infinite value during an arithmetic computation in a program, then JavaScript prints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00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00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00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00</w:t>
                  </w:r>
                </w:p>
              </w:tc>
              <w:tc>
                <w:tcPr>
                  <w:tcW w:w="24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W w:w="3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 the JavaScript, which one of the following is not considered as an error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Prints an exception error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Prints an overflow error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Displays "Infinity"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Prints the value as such</w:t>
                  </w:r>
                </w:p>
              </w:tc>
              <w:tc>
                <w:tcPr>
                  <w:tcW w:w="24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  <w:tc>
                <w:tcPr>
                  <w:tcW w:w="22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W w:w="3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external JavaScript file must contain the &lt;script&gt; tag.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True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W w:w="3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JavaScript is the same as Java.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True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  <w:tc>
                <w:tcPr>
                  <w:tcW w:w="22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</w:t>
                  </w:r>
                </w:p>
              </w:tc>
            </w:tr>
            <w:tr>
              <w:trPr>
                <w:trHeight w:val="545" w:hRule="atLeast"/>
              </w:trPr>
              <w:tc>
                <w:tcPr>
                  <w:tcW w:w="3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 write "Hello World" in an alert box we write alert("Hello World");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True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False</w:t>
                  </w: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6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  <w:tc>
                <w:tcPr>
                  <w:tcW w:w="22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0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24" w:hRule="atLeast"/>
        </w:trPr>
        <w:tc>
          <w:tcPr>
            <w:tcW w:w="4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0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3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8827" w:h="15839" w:orient="landscape"/>
      <w:pgMar w:top="1440" w:right="1440" w:bottom="2088" w:left="1440" w:header="0" w:footer="1440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760"/>
      <w:gridCol w:w="2879"/>
      <w:gridCol w:w="7308"/>
    </w:tblGrid>
    <w:tr>
      <w:trPr/>
      <w:tc>
        <w:tcPr>
          <w:tcW w:w="57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08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7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80"/>
          </w:tblGrid>
          <w:tr>
            <w:trPr>
              <w:trHeight w:val="282" w:hRule="atLeast"/>
            </w:trPr>
            <w:tc>
              <w:tcPr>
                <w:tcW w:w="28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2/27/2023 9:47:30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308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