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Lab 3: Architectural Pattern Selection — Written Justification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Group Travel Expense Simplification Engine</w:t>
      </w:r>
    </w:p>
    <w:p>
      <w:pPr>
        <w:spacing w:after="200"/>
      </w:pPr>
      <w:r>
        <w:rPr>
          <w:b/>
          <w:bCs/>
        </w:rPr>
        <w:t xml:space="preserve">Architecture Selection: </w:t>
      </w:r>
      <w:r>
        <w:t xml:space="preserve">We chose Layered Architecture for the Group Travel Expense Simplification Engine System.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Architectural Choice</w:t>
      </w:r>
    </w:p>
    <w:p>
      <w:pPr>
        <w:spacing w:after="200"/>
      </w:pPr>
      <w:r>
        <w:t xml:space="preserve">The system is organised into three horizontal layers: a Presentation Layer (User Interface Component) for creating trip groups and recording expenses; a Business Layer (Expense Manager, Currency Converter, Settlement Engine, and Payment Confirmation Components) that implements the core epics — expense recording &amp; splitting, multi-currency conversion, minimum settlement calculation, and settlement/payment confirmation; and a Data Layer (Database Component) that persists trip groups, members, expenses, exchange rates, and settlement records.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Reasons for the Choice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A predictable, sequential pipeline: </w:t>
      </w:r>
      <w:r>
        <w:t xml:space="preserve">Expense entry, currency normalisation, settlement calculation, and payment confirmation naturally form a pipeline where each step builds on data the previous one produced. Grouping these as business-layer components keeps that pipeline coherent and easy to test end-to-end, without the deployment and network overhead microservices would add for what is a single-team, single-trip workflow.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Shared, consistent trip data: </w:t>
      </w:r>
      <w:r>
        <w:t xml:space="preserve">Expense recording, currency conversion, settlement calculation, and payment confirmation all operate on the same trip group's data. A layered design lets all four business components reach one consistent Database Component, avoiding the data-consistency problems of splitting this tightly coupled data across separate microservice databases — a settlement computed from stale expense data would produce wrong payment amounts.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Security Advantage</w:t>
      </w:r>
    </w:p>
    <w:p>
      <w:pPr>
        <w:spacing w:after="200"/>
      </w:pPr>
      <w:r>
        <w:t xml:space="preserve">Because the Presentation Layer can only reach the Database Component indirectly, through the ExpenseInterface, ConversionInterface, and SettlementInterface, the Business Layer becomes the single point that verifies a traveler belongs to a trip group before letting them add, convert, or settle an expense. The UI never queries the database directly, so a compromised client cannot bypass this check to read or alter another traveler's expenses or settlement records.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Performance Benefit</w:t>
      </w:r>
    </w:p>
    <w:p>
      <w:r>
        <w:t xml:space="preserve">Daily exchange rates change at most once a day, and a settlement graph only needs recalculating when a trip's expenses change. The Currency Converter and Settlement Engine Components can cache these results within the Business Layer, avoiding repeated rate lookups or full settlement recalculations every time a traveler simply views the settlement summary — keeping the app responsive even for trip groups with many expenses.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2026-09-10T15:07:05.833Z</dcterms:created>
  <dcterms:modified xsi:type="dcterms:W3CDTF">2026-09-10T15:07:05.833Z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