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  <w:b w:val="1"/>
              </w:rPr>
              <w:t>Date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  <w:b w:val="1"/>
              </w:rPr>
              <w:t>03 October 2026</w:t>
            </w:r>
          </w:p>
        </w:tc>
      </w:tr>
      <w:tr>
        <w:trPr>
          <w:cantSplit w:val="0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Team ID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SWTID-2026-2035</w:t>
            </w:r>
          </w:p>
        </w:tc>
      </w:tr>
      <w:tr>
        <w:trPr>
          <w:cantSplit w:val="0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Project Name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Maximum Marks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  <w:b w:val="1"/>
              </w:rPr>
              <w:t>FR No.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  <w:b w:val="1"/>
              </w:rPr>
              <w:t>Functional Requirement (Epic)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  <w:b w:val="1"/>
              </w:rPr>
              <w:t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FR-1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Incident Client Script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Configure Client Script for the Incident form</w:t>
              <w:br/>
              <w:t>Client-side field validation / behavior</w:t>
              <w:br/>
              <w:t>Test the configured script on Incident records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FR-2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Incident UI Policy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Configure UI Policy conditions</w:t>
              <w:br/>
              <w:t>Configure UI Policy Actions for field visibility, mandatory, or read-only behavior</w:t>
              <w:br/>
              <w:t>Test the policy on Incident records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FR-3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Incident Form Validation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Apply the configured rules during Incident creation and update</w:t>
              <w:br/>
              <w:t>Prevent invalid or incomplete data where the rule requires it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FR-4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Verification &amp; Evidence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Execute functional tests for Client Script and UI Policy</w:t>
              <w:br/>
              <w:t>Capture screenshots showing the configured behavior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  <w:b w:val="1"/>
              </w:rPr>
              <w:t>FR No.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  <w:b w:val="1"/>
              </w:rPr>
              <w:t>Non-Functional Requirement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  <w:b w:val="1"/>
              </w:rPr>
              <w:t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NFR-1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Usability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Incident form rules should provide clear, immediate behavior to the ServiceNow user with minimal extra interaction.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NFR-2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Security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Use ServiceNow roles, permissions, and platform security controls so only authorized users can configure or administer the solution.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NFR-3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Reliability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Client Script and UI Policy behavior should execute consistently on the intended Incident form events and conditions.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NFR-4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Performance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Client-side rules should execute quickly and avoid unnecessary server calls for simple form behavior.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NFR-5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Availability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The solution runs within the ServiceNow platform and is available when the ServiceNow instance is available.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NFR-6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Scalability</w:t>
            </w:r>
          </w:p>
        </w:tc>
        <w:tc>
          <w:tcPr/>
          <w:p>
            <w:pPr/>
            <w:r>
              <w:rPr>
                <w:rFonts w:ascii="Arial" w:hAnsi="Arial" w:cs="Arial" w:eastAsia="Arial"/>
                <w:sz w:val="18"/>
              </w:rPr>
              <w:t>The configuration should support additional Incident form rules and fields without requiring a separate application server.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