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03 October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SWTID-2026-2035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Implement Client Script &amp; UI Policy (Incident)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b/>
          <w:sz w:val="20"/>
        </w:rPr>
        <w:t>Project Solution Architecture Diagram:</w:t>
      </w:r>
    </w:p>
    <w:p w14:paraId="2B3DB86C" w14:textId="77777777" w:rsidR="00E370AF" w:rsidRDefault="00E370AF">
      <w:pPr>
        <w:jc w:val="center"/>
        <w:rPr>
          <w:b/>
        </w:rPr>
      </w:pPr>
      <w:r>
        <w:drawing>
          <wp:inline xmlns:a="http://schemas.openxmlformats.org/drawingml/2006/main" xmlns:pic="http://schemas.openxmlformats.org/drawingml/2006/picture">
            <wp:extent cx="6126480" cy="35737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iceNow_solution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7378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t>Figure 1: ServiceNow Incident architecture and data flow for Client Script &amp; UI Policy.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9" w:h="16834"/>
      <w:pgMar w:top="85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DBD6482-AF40-4554-B0D4-FC508BDA3F7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3292A94-2CD0-46C1-BE2A-6FC31987DFB1}"/>
    <w:embedBold r:id="rId3" w:fontKey="{557B7AC1-CF66-4EF2-A531-0A2E3B38E48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4" w:fontKey="{5B2108AD-FC03-40D1-863F-47E11AFF107F}"/>
    <w:embedItalic r:id="rId5" w:fontKey="{CC4C1860-D48B-4482-851D-D7697328F41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5F058906-38E9-44E8-913D-6D3B4FC97E87}"/>
    <w:embedItalic r:id="rId7" w:fontKey="{95F4DCFF-D500-4839-B623-1F501393DF0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FAD829A-61D3-4C1D-AE9A-F7A9B6A4689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Indra Chauhan</cp:lastModifiedBy>
  <cp:revision>2</cp:revision>
  <dcterms:created xsi:type="dcterms:W3CDTF">2022-10-03T08:27:00Z</dcterms:created>
  <dcterms:modified xsi:type="dcterms:W3CDTF">2025-02-15T04:35:00Z</dcterms:modified>
</cp:coreProperties>
</file>