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left"/>
      </w:pPr>
      <w:r>
        <w:rPr>
          <w:rFonts w:ascii="Arial" w:cs="Arial" w:eastAsia="Arial" w:hAnsi="Arial"/>
          <w:b/>
          <w:bCs/>
          <w:color w:val="1A1A2E"/>
          <w:sz w:val="72"/>
          <w:szCs w:val="72"/>
        </w:rPr>
        <w:t xml:space="preserve">PHOENIX OMEGA</w:t>
      </w:r>
    </w:p>
    <w:p>
      <w:pPr>
        <w:spacing w:after="0" w:before="80"/>
        <w:jc w:val="left"/>
      </w:pPr>
      <w:r>
        <w:rPr>
          <w:rFonts w:ascii="Arial" w:cs="Arial" w:eastAsia="Arial" w:hAnsi="Arial"/>
          <w:color w:val="5B2D8E"/>
          <w:sz w:val="32"/>
          <w:szCs w:val="32"/>
        </w:rPr>
        <w:t xml:space="preserve">Therapeutic Audio Publishing System</w:t>
      </w:r>
    </w:p>
    <w:p>
      <w:pPr>
        <w:spacing w:after="0" w:before="60"/>
        <w:jc w:val="left"/>
      </w:pPr>
      <w:r>
        <w:rPr>
          <w:rFonts w:ascii="Arial" w:cs="Arial" w:eastAsia="Arial" w:hAnsi="Arial"/>
          <w:i/>
          <w:iCs/>
          <w:color w:val="888888"/>
          <w:sz w:val="28"/>
          <w:szCs w:val="28"/>
        </w:rPr>
        <w:t xml:space="preserve">Marketing &amp; Sales Overview</w:t>
      </w:r>
    </w:p>
    <w:p>
      <w:pPr>
        <w:spacing w:after="60" w:before="0"/>
      </w:pPr>
    </w:p>
    <w:p>
      <w:pPr>
        <w:pBdr>
          <w:bottom w:val="single" w:color="5B2D8E" w:sz="12" w:space="1"/>
        </w:pBdr>
        <w:spacing w:after="60" w:before="60"/>
      </w:pPr>
    </w:p>
    <w:p>
      <w:pPr>
        <w:spacing w:after="40" w:before="0"/>
      </w:pPr>
    </w:p>
    <w:p>
      <w:pPr>
        <w:spacing w:after="80" w:before="0"/>
        <w:jc w:val="left"/>
      </w:pPr>
      <w:r>
        <w:rPr>
          <w:rFonts w:ascii="Arial" w:cs="Arial" w:eastAsia="Arial" w:hAnsi="Arial"/>
          <w:b/>
          <w:bCs/>
          <w:color w:val="D4860A"/>
          <w:sz w:val="28"/>
          <w:szCs w:val="28"/>
        </w:rPr>
        <w:t xml:space="preserve">2,160+ Unique Audiobooks. Zero Spam. Maximum Depth.</w:t>
      </w:r>
    </w:p>
    <w:p>
      <w:pPr>
        <w:spacing w:after="80" w:before="0"/>
      </w:pPr>
      <w:r>
        <w:rPr>
          <w:rFonts w:ascii="Arial" w:cs="Arial" w:eastAsia="Arial" w:hAnsi="Arial"/>
          <w:color w:val="2C2C2C"/>
          <w:sz w:val="24"/>
          <w:szCs w:val="24"/>
        </w:rPr>
        <w:t xml:space="preserve">Phoenix Omega is an AI-orchestrated publishing factory that produces emotionally coherent, structurally unique therapeutic audiobooks at scale — for 12 distinct listener personas, across 15+ therapeutic topics, in 12 languages, for every major audio platform.</w:t>
      </w:r>
    </w:p>
    <w:p>
      <w:pPr>
        <w:spacing w:after="160" w:before="0"/>
      </w:pPr>
      <w:r>
        <w:rPr>
          <w:rFonts w:ascii="Arial" w:cs="Arial" w:eastAsia="Arial" w:hAnsi="Arial"/>
          <w:i/>
          <w:iCs/>
          <w:color w:val="555555"/>
          <w:sz w:val="24"/>
          <w:szCs w:val="24"/>
        </w:rPr>
        <w:t xml:space="preserve">Not a chatbot writer. Not a template farm. A deterministic publishing system where every book is compiled software — provenance-tracked, arc-first, duplication-safe, and platform-trusted.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4"/>
              <w:left w:val="single" w:color="DDDDDD" w:sz="4"/>
              <w:bottom w:val="single" w:color="DDDDDD" w:sz="4"/>
              <w:right w:val="single" w:color="DDDDDD" w:sz="4"/>
            </w:tcBorders>
            <w:shd w:fill="F8F6F2" w:val="clear"/>
            <w:tcMar>
              <w:top w:type="dxa" w:w="160"/>
              <w:left w:type="dxa" w:w="80"/>
              <w:bottom w:type="dxa" w:w="160"/>
              <w:right w:type="dxa" w:w="80"/>
            </w:tcMar>
          </w:tcPr>
          <w:p>
            <w:pPr>
              <w:jc w:val="center"/>
            </w:pPr>
            <w:r>
              <w:rPr>
                <w:rFonts w:ascii="Arial" w:cs="Arial" w:eastAsia="Arial" w:hAnsi="Arial"/>
                <w:b/>
                <w:bCs/>
                <w:color w:val="5B2D8E"/>
                <w:sz w:val="36"/>
                <w:szCs w:val="36"/>
              </w:rPr>
              <w:t xml:space="preserve">2,160+</w:t>
            </w:r>
          </w:p>
          <w:p>
            <w:pPr>
              <w:spacing w:before="40"/>
              <w:jc w:val="center"/>
            </w:pPr>
            <w:r>
              <w:rPr>
                <w:rFonts w:ascii="Arial" w:cs="Arial" w:eastAsia="Arial" w:hAnsi="Arial"/>
                <w:color w:val="555555"/>
                <w:sz w:val="18"/>
                <w:szCs w:val="18"/>
              </w:rPr>
              <w:t xml:space="preserve">Target Catalog</w:t>
            </w:r>
          </w:p>
        </w:tc>
        <w:tc>
          <w:tcPr>
            <w:tcBorders>
              <w:top w:val="single" w:color="DDDDDD" w:sz="4"/>
              <w:left w:val="single" w:color="DDDDDD" w:sz="4"/>
              <w:bottom w:val="single" w:color="DDDDDD" w:sz="4"/>
              <w:right w:val="single" w:color="DDDDDD" w:sz="4"/>
            </w:tcBorders>
            <w:shd w:fill="F8F6F2" w:val="clear"/>
            <w:tcMar>
              <w:top w:type="dxa" w:w="160"/>
              <w:left w:type="dxa" w:w="80"/>
              <w:bottom w:type="dxa" w:w="160"/>
              <w:right w:type="dxa" w:w="80"/>
            </w:tcMar>
          </w:tcPr>
          <w:p>
            <w:pPr>
              <w:jc w:val="center"/>
            </w:pPr>
            <w:r>
              <w:rPr>
                <w:rFonts w:ascii="Arial" w:cs="Arial" w:eastAsia="Arial" w:hAnsi="Arial"/>
                <w:b/>
                <w:bCs/>
                <w:color w:val="0B5563"/>
                <w:sz w:val="36"/>
                <w:szCs w:val="36"/>
              </w:rPr>
              <w:t xml:space="preserve">24 Brands</w:t>
            </w:r>
          </w:p>
          <w:p>
            <w:pPr>
              <w:spacing w:before="40"/>
              <w:jc w:val="center"/>
            </w:pPr>
            <w:r>
              <w:rPr>
                <w:rFonts w:ascii="Arial" w:cs="Arial" w:eastAsia="Arial" w:hAnsi="Arial"/>
                <w:color w:val="555555"/>
                <w:sz w:val="18"/>
                <w:szCs w:val="18"/>
              </w:rPr>
              <w:t xml:space="preserve">4 Imprints</w:t>
            </w:r>
          </w:p>
        </w:tc>
        <w:tc>
          <w:tcPr>
            <w:tcBorders>
              <w:top w:val="single" w:color="DDDDDD" w:sz="4"/>
              <w:left w:val="single" w:color="DDDDDD" w:sz="4"/>
              <w:bottom w:val="single" w:color="DDDDDD" w:sz="4"/>
              <w:right w:val="single" w:color="DDDDDD" w:sz="4"/>
            </w:tcBorders>
            <w:shd w:fill="F8F6F2" w:val="clear"/>
            <w:tcMar>
              <w:top w:type="dxa" w:w="160"/>
              <w:left w:type="dxa" w:w="80"/>
              <w:bottom w:type="dxa" w:w="160"/>
              <w:right w:type="dxa" w:w="80"/>
            </w:tcMar>
          </w:tcPr>
          <w:p>
            <w:pPr>
              <w:jc w:val="center"/>
            </w:pPr>
            <w:r>
              <w:rPr>
                <w:rFonts w:ascii="Arial" w:cs="Arial" w:eastAsia="Arial" w:hAnsi="Arial"/>
                <w:b/>
                <w:bCs/>
                <w:color w:val="4A7C59"/>
                <w:sz w:val="36"/>
                <w:szCs w:val="36"/>
              </w:rPr>
              <w:t xml:space="preserve">12 Languages</w:t>
            </w:r>
          </w:p>
          <w:p>
            <w:pPr>
              <w:spacing w:before="40"/>
              <w:jc w:val="center"/>
            </w:pPr>
            <w:r>
              <w:rPr>
                <w:rFonts w:ascii="Arial" w:cs="Arial" w:eastAsia="Arial" w:hAnsi="Arial"/>
                <w:color w:val="555555"/>
                <w:sz w:val="18"/>
                <w:szCs w:val="18"/>
              </w:rPr>
              <w:t xml:space="preserve">12 Locales</w:t>
            </w:r>
          </w:p>
        </w:tc>
        <w:tc>
          <w:tcPr>
            <w:tcBorders>
              <w:top w:val="single" w:color="DDDDDD" w:sz="4"/>
              <w:left w:val="single" w:color="DDDDDD" w:sz="4"/>
              <w:bottom w:val="single" w:color="DDDDDD" w:sz="4"/>
              <w:right w:val="single" w:color="DDDDDD" w:sz="4"/>
            </w:tcBorders>
            <w:shd w:fill="F8F6F2" w:val="clear"/>
            <w:tcMar>
              <w:top w:type="dxa" w:w="160"/>
              <w:left w:type="dxa" w:w="80"/>
              <w:bottom w:type="dxa" w:w="160"/>
              <w:right w:type="dxa" w:w="80"/>
            </w:tcMar>
          </w:tcPr>
          <w:p>
            <w:pPr>
              <w:jc w:val="center"/>
            </w:pPr>
            <w:r>
              <w:rPr>
                <w:rFonts w:ascii="Arial" w:cs="Arial" w:eastAsia="Arial" w:hAnsi="Arial"/>
                <w:b/>
                <w:bCs/>
                <w:color w:val="D4860A"/>
                <w:sz w:val="36"/>
                <w:szCs w:val="36"/>
              </w:rPr>
              <w:t xml:space="preserve">14+ Formats</w:t>
            </w:r>
          </w:p>
          <w:p>
            <w:pPr>
              <w:spacing w:before="40"/>
              <w:jc w:val="center"/>
            </w:pPr>
            <w:r>
              <w:rPr>
                <w:rFonts w:ascii="Arial" w:cs="Arial" w:eastAsia="Arial" w:hAnsi="Arial"/>
                <w:color w:val="555555"/>
                <w:sz w:val="18"/>
                <w:szCs w:val="18"/>
              </w:rPr>
              <w:t xml:space="preserve">Tiers S–E</w:t>
            </w:r>
          </w:p>
        </w:tc>
      </w:tr>
    </w:tbl>
    <w:p>
      <w:pPr>
        <w:spacing w:after="200" w:before="0"/>
      </w:pPr>
    </w:p>
    <w:p>
      <w:r>
        <w:br w:type="page"/>
      </w:r>
    </w:p>
    <w:p>
      <w:pPr>
        <w:pStyle w:val="Heading1"/>
        <w:spacing w:after="160" w:before="480"/>
      </w:pPr>
      <w:r>
        <w:rPr>
          <w:rFonts w:ascii="Arial" w:cs="Arial" w:eastAsia="Arial" w:hAnsi="Arial"/>
          <w:b/>
          <w:bCs/>
          <w:color w:val="1A1A2E"/>
        </w:rPr>
        <w:t xml:space="preserve">A Catalog Like No Other</w:t>
      </w:r>
    </w:p>
    <w:p>
      <w:pPr>
        <w:spacing w:after="200" w:before="0"/>
      </w:pPr>
      <w:r>
        <w:rPr>
          <w:rFonts w:ascii="Arial" w:cs="Arial" w:eastAsia="Arial" w:hAnsi="Arial"/>
          <w:color w:val="2C2C2C"/>
          <w:sz w:val="22"/>
          <w:szCs w:val="22"/>
        </w:rPr>
        <w:t xml:space="preserve">Phoenix Omega doesn’t generate generic self-help. Every book is a precision instrument — tuned to a specific listener’s life, language, and nervous system. Below: eight books from across the catalog. Same engine. Radically different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4"/>
              <w:left w:val="single" w:color="5B2D8E" w:sz="4"/>
              <w:bottom w:val="single" w:color="5B2D8E" w:sz="6"/>
              <w:right w:val="single" w:color="5B2D8E" w:sz="4"/>
            </w:tcBorders>
            <w:shd w:fill="5B2D8E"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The Exit Interview You Never Had</w:t>
            </w:r>
          </w:p>
          <w:p>
            <w:pPr>
              <w:spacing w:after="0" w:before="40"/>
            </w:pPr>
            <w:r>
              <w:rPr>
                <w:rFonts w:ascii="Arial" w:cs="Arial" w:eastAsia="Arial" w:hAnsi="Arial"/>
                <w:i/>
                <w:iCs/>
                <w:color w:val="EEEEEE"/>
                <w:sz w:val="20"/>
                <w:szCs w:val="20"/>
              </w:rPr>
              <w:t xml:space="preserve">When you outgrew the job but the job didn’t outgrow you</w:t>
            </w:r>
          </w:p>
        </w:tc>
      </w:tr>
      <w:tr>
        <w:tc>
          <w:tcPr>
            <w:tcBorders>
              <w:top w:val="none" w:color="FFFFFF" w:sz="0"/>
              <w:left w:val="single" w:color="5B2D8E" w:sz="4"/>
              <w:bottom w:val="single" w:color="5B2D8E" w:sz="4"/>
              <w:right w:val="single" w:color="5B2D8E" w:sz="4"/>
            </w:tcBorders>
            <w:shd w:fill="F0EBF8" w:val="clear"/>
            <w:tcMar>
              <w:top w:type="dxa" w:w="100"/>
              <w:left w:type="dxa" w:w="200"/>
              <w:bottom w:type="dxa" w:w="100"/>
              <w:right w:type="dxa" w:w="200"/>
            </w:tcMar>
          </w:tcPr>
          <w:p>
            <w:pPr>
              <w:spacing w:after="40" w:before="40"/>
            </w:pPr>
            <w:r>
              <w:rPr>
                <w:rFonts w:ascii="Arial" w:cs="Arial" w:eastAsia="Arial" w:hAnsi="Arial"/>
                <w:b/>
                <w:bCs/>
                <w:color w:val="5B2D8E"/>
                <w:sz w:val="18"/>
                <w:szCs w:val="18"/>
              </w:rPr>
              <w:t xml:space="preserve">AUDIENCE  </w:t>
            </w:r>
            <w:r>
              <w:rPr>
                <w:rFonts w:ascii="Arial" w:cs="Arial" w:eastAsia="Arial" w:hAnsi="Arial"/>
                <w:color w:val="2C2C2C"/>
                <w:sz w:val="18"/>
                <w:szCs w:val="18"/>
              </w:rPr>
              <w:t xml:space="preserve">Gen Z Professionals   </w:t>
            </w:r>
            <w:r>
              <w:rPr>
                <w:rFonts w:ascii="Arial" w:cs="Arial" w:eastAsia="Arial" w:hAnsi="Arial"/>
                <w:b/>
                <w:bCs/>
                <w:color w:val="5B2D8E"/>
                <w:sz w:val="18"/>
                <w:szCs w:val="18"/>
              </w:rPr>
              <w:t xml:space="preserve">  FORMAT  </w:t>
            </w:r>
            <w:r>
              <w:rPr>
                <w:rFonts w:ascii="Arial" w:cs="Arial" w:eastAsia="Arial" w:hAnsi="Arial"/>
                <w:color w:val="2C2C2C"/>
                <w:sz w:val="18"/>
                <w:szCs w:val="18"/>
              </w:rPr>
              <w:t xml:space="preserve">6-Chapter Standard · ~4 hrs   </w:t>
            </w:r>
            <w:r>
              <w:rPr>
                <w:rFonts w:ascii="Arial" w:cs="Arial" w:eastAsia="Arial" w:hAnsi="Arial"/>
                <w:b/>
                <w:bCs/>
                <w:color w:val="5B2D8E"/>
                <w:sz w:val="18"/>
                <w:szCs w:val="18"/>
              </w:rPr>
              <w:t xml:space="preserve">  ARC TYPE  </w:t>
            </w:r>
            <w:r>
              <w:rPr>
                <w:rFonts w:ascii="Arial" w:cs="Arial" w:eastAsia="Arial" w:hAnsi="Arial"/>
                <w:color w:val="2C2C2C"/>
                <w:sz w:val="18"/>
                <w:szCs w:val="18"/>
              </w:rPr>
              <w:t xml:space="preserve">Identity Shift</w:t>
            </w:r>
          </w:p>
        </w:tc>
      </w:tr>
      <w:tr>
        <w:tc>
          <w:tcPr>
            <w:tcBorders>
              <w:top w:val="single" w:color="5B2D8E" w:sz="4"/>
              <w:left w:val="single" w:color="5B2D8E" w:sz="4"/>
              <w:bottom w:val="single" w:color="5B2D8E" w:sz="4"/>
              <w:right w:val="single" w:color="5B2D8E"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“The resignation letter had been sitting in your drafts folder for three weeks. Not because you hadn’t found the words—you’d written seventeen versions. Because you still woke up every Monday convinced this week would be different.”</w:t>
            </w:r>
          </w:p>
          <w:p>
            <w:pPr>
              <w:spacing w:after="0" w:before="0"/>
            </w:pPr>
            <w:r>
              <w:rPr>
                <w:rFonts w:ascii="Arial" w:cs="Arial" w:eastAsia="Arial" w:hAnsi="Arial"/>
                <w:b/>
                <w:bCs/>
                <w:color w:val="5B2D8E"/>
                <w:sz w:val="19"/>
                <w:szCs w:val="19"/>
              </w:rPr>
              <w:t xml:space="preserve">Why it works: </w:t>
            </w:r>
            <w:r>
              <w:rPr>
                <w:rFonts w:ascii="Arial" w:cs="Arial" w:eastAsia="Arial" w:hAnsi="Arial"/>
                <w:color w:val="555555"/>
                <w:sz w:val="19"/>
                <w:szCs w:val="19"/>
              </w:rPr>
              <w:t xml:space="preserve">Names the gap between intention and inertia without judgment. The listener leans in because they recognize the loop.</w:t>
            </w:r>
          </w:p>
        </w:tc>
      </w:tr>
      <w:tr>
        <w:tc>
          <w:tcPr>
            <w:tcBorders>
              <w:top w:val="single" w:color="5B2D8E" w:sz="4"/>
              <w:left w:val="single" w:color="5B2D8E" w:sz="4"/>
              <w:bottom w:val="single" w:color="5B2D8E" w:sz="4"/>
              <w:right w:val="single" w:color="5B2D8E" w:sz="4"/>
            </w:tcBorders>
            <w:shd w:fill="F0EBF8"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Identity arc through burnout → quiet cost → clarity. Somatic exercises: body-based decision-mapping. STORY mechanism: watcher + spiral. Resolution: internal_shift_only.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5563" w:sz="4"/>
              <w:left w:val="single" w:color="0B5563" w:sz="4"/>
              <w:bottom w:val="single" w:color="0B5563" w:sz="6"/>
              <w:right w:val="single" w:color="0B5563" w:sz="4"/>
            </w:tcBorders>
            <w:shd w:fill="0B5563"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When Helping Hurts</w:t>
            </w:r>
          </w:p>
          <w:p>
            <w:pPr>
              <w:spacing w:after="0" w:before="40"/>
            </w:pPr>
            <w:r>
              <w:rPr>
                <w:rFonts w:ascii="Arial" w:cs="Arial" w:eastAsia="Arial" w:hAnsi="Arial"/>
                <w:i/>
                <w:iCs/>
                <w:color w:val="EEEEEE"/>
                <w:sz w:val="20"/>
                <w:szCs w:val="20"/>
              </w:rPr>
              <w:t xml:space="preserve">A compassion fatigue survival guide for nurses who forgot they matter</w:t>
            </w:r>
          </w:p>
        </w:tc>
      </w:tr>
      <w:tr>
        <w:tc>
          <w:tcPr>
            <w:tcBorders>
              <w:top w:val="none" w:color="FFFFFF" w:sz="0"/>
              <w:left w:val="single" w:color="0B5563" w:sz="4"/>
              <w:bottom w:val="single" w:color="0B5563" w:sz="4"/>
              <w:right w:val="single" w:color="0B5563" w:sz="4"/>
            </w:tcBorders>
            <w:shd w:fill="E8F4F7" w:val="clear"/>
            <w:tcMar>
              <w:top w:type="dxa" w:w="100"/>
              <w:left w:type="dxa" w:w="200"/>
              <w:bottom w:type="dxa" w:w="100"/>
              <w:right w:type="dxa" w:w="200"/>
            </w:tcMar>
          </w:tcPr>
          <w:p>
            <w:pPr>
              <w:spacing w:after="40" w:before="40"/>
            </w:pPr>
            <w:r>
              <w:rPr>
                <w:rFonts w:ascii="Arial" w:cs="Arial" w:eastAsia="Arial" w:hAnsi="Arial"/>
                <w:b/>
                <w:bCs/>
                <w:color w:val="0B5563"/>
                <w:sz w:val="18"/>
                <w:szCs w:val="18"/>
              </w:rPr>
              <w:t xml:space="preserve">AUDIENCE  </w:t>
            </w:r>
            <w:r>
              <w:rPr>
                <w:rFonts w:ascii="Arial" w:cs="Arial" w:eastAsia="Arial" w:hAnsi="Arial"/>
                <w:color w:val="2C2C2C"/>
                <w:sz w:val="18"/>
                <w:szCs w:val="18"/>
              </w:rPr>
              <w:t xml:space="preserve">Healthcare RNs   </w:t>
            </w:r>
            <w:r>
              <w:rPr>
                <w:rFonts w:ascii="Arial" w:cs="Arial" w:eastAsia="Arial" w:hAnsi="Arial"/>
                <w:b/>
                <w:bCs/>
                <w:color w:val="0B5563"/>
                <w:sz w:val="18"/>
                <w:szCs w:val="18"/>
              </w:rPr>
              <w:t xml:space="preserve">  FORMAT  </w:t>
            </w:r>
            <w:r>
              <w:rPr>
                <w:rFonts w:ascii="Arial" w:cs="Arial" w:eastAsia="Arial" w:hAnsi="Arial"/>
                <w:color w:val="2C2C2C"/>
                <w:sz w:val="18"/>
                <w:szCs w:val="18"/>
              </w:rPr>
              <w:t xml:space="preserve">8-Chapter Deep · ~6 hrs   </w:t>
            </w:r>
            <w:r>
              <w:rPr>
                <w:rFonts w:ascii="Arial" w:cs="Arial" w:eastAsia="Arial" w:hAnsi="Arial"/>
                <w:b/>
                <w:bCs/>
                <w:color w:val="0B5563"/>
                <w:sz w:val="18"/>
                <w:szCs w:val="18"/>
              </w:rPr>
              <w:t xml:space="preserve">  ARC TYPE  </w:t>
            </w:r>
            <w:r>
              <w:rPr>
                <w:rFonts w:ascii="Arial" w:cs="Arial" w:eastAsia="Arial" w:hAnsi="Arial"/>
                <w:color w:val="2C2C2C"/>
                <w:sz w:val="18"/>
                <w:szCs w:val="18"/>
              </w:rPr>
              <w:t xml:space="preserve">Grounded Reframe</w:t>
            </w:r>
          </w:p>
        </w:tc>
      </w:tr>
      <w:tr>
        <w:tc>
          <w:tcPr>
            <w:tcBorders>
              <w:top w:val="single" w:color="0B5563" w:sz="4"/>
              <w:left w:val="single" w:color="0B5563" w:sz="4"/>
              <w:bottom w:val="single" w:color="0B5563" w:sz="4"/>
              <w:right w:val="single" w:color="0B5563"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“There’s a particular kind of tired that sleep doesn’t fix. You know it—the tiredness that is still there when you clock in, still there when you clock out, still there when you’re technically off-duty but your nervous system hasn’t gotten the memo.”</w:t>
            </w:r>
          </w:p>
          <w:p>
            <w:pPr>
              <w:spacing w:after="0" w:before="0"/>
            </w:pPr>
            <w:r>
              <w:rPr>
                <w:rFonts w:ascii="Arial" w:cs="Arial" w:eastAsia="Arial" w:hAnsi="Arial"/>
                <w:b/>
                <w:bCs/>
                <w:color w:val="0B5563"/>
                <w:sz w:val="19"/>
                <w:szCs w:val="19"/>
              </w:rPr>
              <w:t xml:space="preserve">Why it works: </w:t>
            </w:r>
            <w:r>
              <w:rPr>
                <w:rFonts w:ascii="Arial" w:cs="Arial" w:eastAsia="Arial" w:hAnsi="Arial"/>
                <w:color w:val="555555"/>
                <w:sz w:val="19"/>
                <w:szCs w:val="19"/>
              </w:rPr>
              <w:t xml:space="preserve">Precision-targets the lived experience of compassion fatigue before naming it. The listener feels seen before they feel helped.</w:t>
            </w:r>
          </w:p>
        </w:tc>
      </w:tr>
      <w:tr>
        <w:tc>
          <w:tcPr>
            <w:tcBorders>
              <w:top w:val="single" w:color="0B5563" w:sz="4"/>
              <w:left w:val="single" w:color="0B5563" w:sz="4"/>
              <w:bottom w:val="single" w:color="0B5563" w:sz="4"/>
              <w:right w:val="single" w:color="0B5563" w:sz="4"/>
            </w:tcBorders>
            <w:shd w:fill="E8F4F7"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Compassion fatigue doctrine-safe · somatic grounding via breath + body scan · 5 STORY mechanisms including shame + false_alarm · TTS-optimized rhythm for high-density clinical schedules.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470" w:sz="4"/>
              <w:left w:val="single" w:color="A85470" w:sz="4"/>
              <w:bottom w:val="single" w:color="A85470" w:sz="6"/>
              <w:right w:val="single" w:color="A85470" w:sz="4"/>
            </w:tcBorders>
            <w:shd w:fill="A85470"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The Spiral You Keep Surviving</w:t>
            </w:r>
          </w:p>
          <w:p>
            <w:pPr>
              <w:spacing w:after="0" w:before="40"/>
            </w:pPr>
            <w:r>
              <w:rPr>
                <w:rFonts w:ascii="Arial" w:cs="Arial" w:eastAsia="Arial" w:hAnsi="Arial"/>
                <w:i/>
                <w:iCs/>
                <w:color w:val="EEEEEE"/>
                <w:sz w:val="20"/>
                <w:szCs w:val="20"/>
              </w:rPr>
              <w:t xml:space="preserve">For when your anxiety runs the meeting and no one told you</w:t>
            </w:r>
          </w:p>
        </w:tc>
      </w:tr>
      <w:tr>
        <w:tc>
          <w:tcPr>
            <w:tcBorders>
              <w:top w:val="none" w:color="FFFFFF" w:sz="0"/>
              <w:left w:val="single" w:color="A85470" w:sz="4"/>
              <w:bottom w:val="single" w:color="A85470" w:sz="4"/>
              <w:right w:val="single" w:color="A85470" w:sz="4"/>
            </w:tcBorders>
            <w:shd w:fill="FDF0F4" w:val="clear"/>
            <w:tcMar>
              <w:top w:type="dxa" w:w="100"/>
              <w:left w:type="dxa" w:w="200"/>
              <w:bottom w:type="dxa" w:w="100"/>
              <w:right w:type="dxa" w:w="200"/>
            </w:tcMar>
          </w:tcPr>
          <w:p>
            <w:pPr>
              <w:spacing w:after="40" w:before="40"/>
            </w:pPr>
            <w:r>
              <w:rPr>
                <w:rFonts w:ascii="Arial" w:cs="Arial" w:eastAsia="Arial" w:hAnsi="Arial"/>
                <w:b/>
                <w:bCs/>
                <w:color w:val="A85470"/>
                <w:sz w:val="18"/>
                <w:szCs w:val="18"/>
              </w:rPr>
              <w:t xml:space="preserve">AUDIENCE  </w:t>
            </w:r>
            <w:r>
              <w:rPr>
                <w:rFonts w:ascii="Arial" w:cs="Arial" w:eastAsia="Arial" w:hAnsi="Arial"/>
                <w:color w:val="2C2C2C"/>
                <w:sz w:val="18"/>
                <w:szCs w:val="18"/>
              </w:rPr>
              <w:t xml:space="preserve">Millennial Women Professionals   </w:t>
            </w:r>
            <w:r>
              <w:rPr>
                <w:rFonts w:ascii="Arial" w:cs="Arial" w:eastAsia="Arial" w:hAnsi="Arial"/>
                <w:b/>
                <w:bCs/>
                <w:color w:val="A85470"/>
                <w:sz w:val="18"/>
                <w:szCs w:val="18"/>
              </w:rPr>
              <w:t xml:space="preserve">  FORMAT  </w:t>
            </w:r>
            <w:r>
              <w:rPr>
                <w:rFonts w:ascii="Arial" w:cs="Arial" w:eastAsia="Arial" w:hAnsi="Arial"/>
                <w:color w:val="2C2C2C"/>
                <w:sz w:val="18"/>
                <w:szCs w:val="18"/>
              </w:rPr>
              <w:t xml:space="preserve">6-Chapter Standard · ~4.5 hrs   </w:t>
            </w:r>
            <w:r>
              <w:rPr>
                <w:rFonts w:ascii="Arial" w:cs="Arial" w:eastAsia="Arial" w:hAnsi="Arial"/>
                <w:b/>
                <w:bCs/>
                <w:color w:val="A85470"/>
                <w:sz w:val="18"/>
                <w:szCs w:val="18"/>
              </w:rPr>
              <w:t xml:space="preserve">  ARC TYPE  </w:t>
            </w:r>
            <w:r>
              <w:rPr>
                <w:rFonts w:ascii="Arial" w:cs="Arial" w:eastAsia="Arial" w:hAnsi="Arial"/>
                <w:color w:val="2C2C2C"/>
                <w:sz w:val="18"/>
                <w:szCs w:val="18"/>
              </w:rPr>
              <w:t xml:space="preserve">Open Loop (builds across series)</w:t>
            </w:r>
          </w:p>
        </w:tc>
      </w:tr>
      <w:tr>
        <w:tc>
          <w:tcPr>
            <w:tcBorders>
              <w:top w:val="single" w:color="A85470" w:sz="4"/>
              <w:left w:val="single" w:color="A85470" w:sz="4"/>
              <w:bottom w:val="single" w:color="A85470" w:sz="4"/>
              <w:right w:val="single" w:color="A85470"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“The list you make before the list. The check you do after the check. The thirty-second replay of the thing you said in the meeting, six hours after the meeting ended. If you’ve named this as anxiety, you’re already a few steps ahead—but naming it didn’t stop it.”</w:t>
            </w:r>
          </w:p>
          <w:p>
            <w:pPr>
              <w:spacing w:after="0" w:before="0"/>
            </w:pPr>
            <w:r>
              <w:rPr>
                <w:rFonts w:ascii="Arial" w:cs="Arial" w:eastAsia="Arial" w:hAnsi="Arial"/>
                <w:b/>
                <w:bCs/>
                <w:color w:val="A85470"/>
                <w:sz w:val="19"/>
                <w:szCs w:val="19"/>
              </w:rPr>
              <w:t xml:space="preserve">Why it works: </w:t>
            </w:r>
            <w:r>
              <w:rPr>
                <w:rFonts w:ascii="Arial" w:cs="Arial" w:eastAsia="Arial" w:hAnsi="Arial"/>
                <w:color w:val="555555"/>
                <w:sz w:val="19"/>
                <w:szCs w:val="19"/>
              </w:rPr>
              <w:t xml:space="preserve">Leads with observable behavior, not diagnosis. Builds instant recognition without clinical framing.</w:t>
            </w:r>
          </w:p>
        </w:tc>
      </w:tr>
      <w:tr>
        <w:tc>
          <w:tcPr>
            <w:tcBorders>
              <w:top w:val="single" w:color="A85470" w:sz="4"/>
              <w:left w:val="single" w:color="A85470" w:sz="4"/>
              <w:bottom w:val="single" w:color="A85470" w:sz="4"/>
              <w:right w:val="single" w:color="A85470" w:sz="4"/>
            </w:tcBorders>
            <w:shd w:fill="FDF0F4"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Open-loop arc (book 1 of series) · angle: debunk (rewires what anxiety ‘means’) · compression slot C2 + C3 permission reframes · structural entropy-validated story family diversity.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3A3A" w:sz="4"/>
              <w:left w:val="single" w:color="8B3A3A" w:sz="4"/>
              <w:bottom w:val="single" w:color="8B3A3A" w:sz="6"/>
              <w:right w:val="single" w:color="8B3A3A" w:sz="4"/>
            </w:tcBorders>
            <w:shd w:fill="8B3A3A"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Stillness Under Fire</w:t>
            </w:r>
          </w:p>
          <w:p>
            <w:pPr>
              <w:spacing w:after="0" w:before="40"/>
            </w:pPr>
            <w:r>
              <w:rPr>
                <w:rFonts w:ascii="Arial" w:cs="Arial" w:eastAsia="Arial" w:hAnsi="Arial"/>
                <w:i/>
                <w:iCs/>
                <w:color w:val="EEEEEE"/>
                <w:sz w:val="20"/>
                <w:szCs w:val="20"/>
              </w:rPr>
              <w:t xml:space="preserve">Presence, grounding, and the courage to slow down when everything says speed up</w:t>
            </w:r>
          </w:p>
        </w:tc>
      </w:tr>
      <w:tr>
        <w:tc>
          <w:tcPr>
            <w:tcBorders>
              <w:top w:val="none" w:color="FFFFFF" w:sz="0"/>
              <w:left w:val="single" w:color="8B3A3A" w:sz="4"/>
              <w:bottom w:val="single" w:color="8B3A3A" w:sz="4"/>
              <w:right w:val="single" w:color="8B3A3A" w:sz="4"/>
            </w:tcBorders>
            <w:shd w:fill="FDF4F4" w:val="clear"/>
            <w:tcMar>
              <w:top w:type="dxa" w:w="100"/>
              <w:left w:type="dxa" w:w="200"/>
              <w:bottom w:type="dxa" w:w="100"/>
              <w:right w:type="dxa" w:w="200"/>
            </w:tcMar>
          </w:tcPr>
          <w:p>
            <w:pPr>
              <w:spacing w:after="40" w:before="40"/>
            </w:pPr>
            <w:r>
              <w:rPr>
                <w:rFonts w:ascii="Arial" w:cs="Arial" w:eastAsia="Arial" w:hAnsi="Arial"/>
                <w:b/>
                <w:bCs/>
                <w:color w:val="8B3A3A"/>
                <w:sz w:val="18"/>
                <w:szCs w:val="18"/>
              </w:rPr>
              <w:t xml:space="preserve">AUDIENCE  </w:t>
            </w:r>
            <w:r>
              <w:rPr>
                <w:rFonts w:ascii="Arial" w:cs="Arial" w:eastAsia="Arial" w:hAnsi="Arial"/>
                <w:color w:val="2C2C2C"/>
                <w:sz w:val="18"/>
                <w:szCs w:val="18"/>
              </w:rPr>
              <w:t xml:space="preserve">First Responders   </w:t>
            </w:r>
            <w:r>
              <w:rPr>
                <w:rFonts w:ascii="Arial" w:cs="Arial" w:eastAsia="Arial" w:hAnsi="Arial"/>
                <w:b/>
                <w:bCs/>
                <w:color w:val="8B3A3A"/>
                <w:sz w:val="18"/>
                <w:szCs w:val="18"/>
              </w:rPr>
              <w:t xml:space="preserve">  FORMAT  </w:t>
            </w:r>
            <w:r>
              <w:rPr>
                <w:rFonts w:ascii="Arial" w:cs="Arial" w:eastAsia="Arial" w:hAnsi="Arial"/>
                <w:color w:val="2C2C2C"/>
                <w:sz w:val="18"/>
                <w:szCs w:val="18"/>
              </w:rPr>
              <w:t xml:space="preserve">5-Chapter Compact · ~3 hrs   </w:t>
            </w:r>
            <w:r>
              <w:rPr>
                <w:rFonts w:ascii="Arial" w:cs="Arial" w:eastAsia="Arial" w:hAnsi="Arial"/>
                <w:b/>
                <w:bCs/>
                <w:color w:val="8B3A3A"/>
                <w:sz w:val="18"/>
                <w:szCs w:val="18"/>
              </w:rPr>
              <w:t xml:space="preserve">  ARC TYPE  </w:t>
            </w:r>
            <w:r>
              <w:rPr>
                <w:rFonts w:ascii="Arial" w:cs="Arial" w:eastAsia="Arial" w:hAnsi="Arial"/>
                <w:color w:val="2C2C2C"/>
                <w:sz w:val="18"/>
                <w:szCs w:val="18"/>
              </w:rPr>
              <w:t xml:space="preserve">Stabilization</w:t>
            </w:r>
          </w:p>
        </w:tc>
      </w:tr>
      <w:tr>
        <w:tc>
          <w:tcPr>
            <w:tcBorders>
              <w:top w:val="single" w:color="8B3A3A" w:sz="4"/>
              <w:left w:val="single" w:color="8B3A3A" w:sz="4"/>
              <w:bottom w:val="single" w:color="8B3A3A" w:sz="4"/>
              <w:right w:val="single" w:color="8B3A3A"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“The debrief happens in the truck on the way back. Not because that’s protocol—just because that’s where the silence gets loud enough that something has to fill it. Sometimes it’s bad jokes. Sometimes it’s logistics. And sometimes it’s the thing nobody says.”</w:t>
            </w:r>
          </w:p>
          <w:p>
            <w:pPr>
              <w:spacing w:after="0" w:before="0"/>
            </w:pPr>
            <w:r>
              <w:rPr>
                <w:rFonts w:ascii="Arial" w:cs="Arial" w:eastAsia="Arial" w:hAnsi="Arial"/>
                <w:b/>
                <w:bCs/>
                <w:color w:val="8B3A3A"/>
                <w:sz w:val="19"/>
                <w:szCs w:val="19"/>
              </w:rPr>
              <w:t xml:space="preserve">Why it works: </w:t>
            </w:r>
            <w:r>
              <w:rPr>
                <w:rFonts w:ascii="Arial" w:cs="Arial" w:eastAsia="Arial" w:hAnsi="Arial"/>
                <w:color w:val="555555"/>
                <w:sz w:val="19"/>
                <w:szCs w:val="19"/>
              </w:rPr>
              <w:t xml:space="preserve">Opens in a familiar physical space (the truck, the silence) rather than an emotional state. First responders respond to location, not abstraction.</w:t>
            </w:r>
          </w:p>
        </w:tc>
      </w:tr>
      <w:tr>
        <w:tc>
          <w:tcPr>
            <w:tcBorders>
              <w:top w:val="single" w:color="8B3A3A" w:sz="4"/>
              <w:left w:val="single" w:color="8B3A3A" w:sz="4"/>
              <w:bottom w:val="single" w:color="8B3A3A" w:sz="4"/>
              <w:right w:val="single" w:color="8B3A3A" w:sz="4"/>
            </w:tcBorders>
            <w:shd w:fill="FDF4F4"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Short-form first-responder optimized · somatic exercises adapted to high-stress nervous systems · STORY mechanism: overwhelm + grief · Author posture: elder_stabilizer (no forced empowerment).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59" w:sz="4"/>
              <w:left w:val="single" w:color="4A7C59" w:sz="4"/>
              <w:bottom w:val="single" w:color="4A7C59" w:sz="6"/>
              <w:right w:val="single" w:color="4A7C59" w:sz="4"/>
            </w:tcBorders>
            <w:shd w:fill="4A7C59"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The Slow Collapse</w:t>
            </w:r>
          </w:p>
          <w:p>
            <w:pPr>
              <w:spacing w:after="0" w:before="40"/>
            </w:pPr>
            <w:r>
              <w:rPr>
                <w:rFonts w:ascii="Arial" w:cs="Arial" w:eastAsia="Arial" w:hAnsi="Arial"/>
                <w:i/>
                <w:iCs/>
                <w:color w:val="EEEEEE"/>
                <w:sz w:val="20"/>
                <w:szCs w:val="20"/>
              </w:rPr>
              <w:t xml:space="preserve">What nobody talks about when they talk about depression</w:t>
            </w:r>
          </w:p>
        </w:tc>
      </w:tr>
      <w:tr>
        <w:tc>
          <w:tcPr>
            <w:tcBorders>
              <w:top w:val="none" w:color="FFFFFF" w:sz="0"/>
              <w:left w:val="single" w:color="4A7C59" w:sz="4"/>
              <w:bottom w:val="single" w:color="4A7C59" w:sz="4"/>
              <w:right w:val="single" w:color="4A7C59" w:sz="4"/>
            </w:tcBorders>
            <w:shd w:fill="EEF4EF" w:val="clear"/>
            <w:tcMar>
              <w:top w:type="dxa" w:w="100"/>
              <w:left w:type="dxa" w:w="200"/>
              <w:bottom w:type="dxa" w:w="100"/>
              <w:right w:type="dxa" w:w="200"/>
            </w:tcMar>
          </w:tcPr>
          <w:p>
            <w:pPr>
              <w:spacing w:after="40" w:before="40"/>
            </w:pPr>
            <w:r>
              <w:rPr>
                <w:rFonts w:ascii="Arial" w:cs="Arial" w:eastAsia="Arial" w:hAnsi="Arial"/>
                <w:b/>
                <w:bCs/>
                <w:color w:val="4A7C59"/>
                <w:sz w:val="18"/>
                <w:szCs w:val="18"/>
              </w:rPr>
              <w:t xml:space="preserve">AUDIENCE  </w:t>
            </w:r>
            <w:r>
              <w:rPr>
                <w:rFonts w:ascii="Arial" w:cs="Arial" w:eastAsia="Arial" w:hAnsi="Arial"/>
                <w:color w:val="2C2C2C"/>
                <w:sz w:val="18"/>
                <w:szCs w:val="18"/>
              </w:rPr>
              <w:t xml:space="preserve">Educators   </w:t>
            </w:r>
            <w:r>
              <w:rPr>
                <w:rFonts w:ascii="Arial" w:cs="Arial" w:eastAsia="Arial" w:hAnsi="Arial"/>
                <w:b/>
                <w:bCs/>
                <w:color w:val="4A7C59"/>
                <w:sz w:val="18"/>
                <w:szCs w:val="18"/>
              </w:rPr>
              <w:t xml:space="preserve">  FORMAT  </w:t>
            </w:r>
            <w:r>
              <w:rPr>
                <w:rFonts w:ascii="Arial" w:cs="Arial" w:eastAsia="Arial" w:hAnsi="Arial"/>
                <w:color w:val="2C2C2C"/>
                <w:sz w:val="18"/>
                <w:szCs w:val="18"/>
              </w:rPr>
              <w:t xml:space="preserve">6-Chapter Standard · ~4 hrs   </w:t>
            </w:r>
            <w:r>
              <w:rPr>
                <w:rFonts w:ascii="Arial" w:cs="Arial" w:eastAsia="Arial" w:hAnsi="Arial"/>
                <w:b/>
                <w:bCs/>
                <w:color w:val="4A7C59"/>
                <w:sz w:val="18"/>
                <w:szCs w:val="18"/>
              </w:rPr>
              <w:t xml:space="preserve">  ARC TYPE  </w:t>
            </w:r>
            <w:r>
              <w:rPr>
                <w:rFonts w:ascii="Arial" w:cs="Arial" w:eastAsia="Arial" w:hAnsi="Arial"/>
                <w:color w:val="2C2C2C"/>
                <w:sz w:val="18"/>
                <w:szCs w:val="18"/>
              </w:rPr>
              <w:t xml:space="preserve">Internal Shift Only</w:t>
            </w:r>
          </w:p>
        </w:tc>
      </w:tr>
      <w:tr>
        <w:tc>
          <w:tcPr>
            <w:tcBorders>
              <w:top w:val="single" w:color="4A7C59" w:sz="4"/>
              <w:left w:val="single" w:color="4A7C59" w:sz="4"/>
              <w:bottom w:val="single" w:color="4A7C59" w:sz="4"/>
              <w:right w:val="single" w:color="4A7C59"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“You still show up. That’s the part that makes it confusing—even to you. You make the coffee, you take the calls, you say the right things. But somewhere between the alarm and the classroom you have to remind yourself why any of it matters, and some mornings the answer doesn’t come as fast as it used to.”</w:t>
            </w:r>
          </w:p>
          <w:p>
            <w:pPr>
              <w:spacing w:after="0" w:before="0"/>
            </w:pPr>
            <w:r>
              <w:rPr>
                <w:rFonts w:ascii="Arial" w:cs="Arial" w:eastAsia="Arial" w:hAnsi="Arial"/>
                <w:b/>
                <w:bCs/>
                <w:color w:val="4A7C59"/>
                <w:sz w:val="19"/>
                <w:szCs w:val="19"/>
              </w:rPr>
              <w:t xml:space="preserve">Why it works: </w:t>
            </w:r>
            <w:r>
              <w:rPr>
                <w:rFonts w:ascii="Arial" w:cs="Arial" w:eastAsia="Arial" w:hAnsi="Arial"/>
                <w:color w:val="555555"/>
                <w:sz w:val="19"/>
                <w:szCs w:val="19"/>
              </w:rPr>
              <w:t xml:space="preserve">Names the high-functioning depression experience that educators rarely see reflected back at them. Validates the paradox of competence + depletion.</w:t>
            </w:r>
          </w:p>
        </w:tc>
      </w:tr>
      <w:tr>
        <w:tc>
          <w:tcPr>
            <w:tcBorders>
              <w:top w:val="single" w:color="4A7C59" w:sz="4"/>
              <w:left w:val="single" w:color="4A7C59" w:sz="4"/>
              <w:bottom w:val="single" w:color="4A7C59" w:sz="4"/>
              <w:right w:val="single" w:color="4A7C59" w:sz="4"/>
            </w:tcBorders>
            <w:shd w:fill="EEF4EF"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Depression topic · safe messaging protocol-compliant · no cure language · auto-compliance gate for medical claims · comparison + false_alarm mechanism atoms · nervous-system framing throughout.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60A" w:sz="4"/>
              <w:left w:val="single" w:color="D4860A" w:sz="4"/>
              <w:bottom w:val="single" w:color="D4860A" w:sz="6"/>
              <w:right w:val="single" w:color="D4860A" w:sz="4"/>
            </w:tcBorders>
            <w:shd w:fill="D4860A"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The 11 PM Audit</w:t>
            </w:r>
          </w:p>
          <w:p>
            <w:pPr>
              <w:spacing w:after="0" w:before="40"/>
            </w:pPr>
            <w:r>
              <w:rPr>
                <w:rFonts w:ascii="Arial" w:cs="Arial" w:eastAsia="Arial" w:hAnsi="Arial"/>
                <w:i/>
                <w:iCs/>
                <w:color w:val="EEEEEE"/>
                <w:sz w:val="20"/>
                <w:szCs w:val="20"/>
              </w:rPr>
              <w:t xml:space="preserve">A no-BS financial clarity guide for professionals who know better and still overspend</w:t>
            </w:r>
          </w:p>
        </w:tc>
      </w:tr>
      <w:tr>
        <w:tc>
          <w:tcPr>
            <w:tcBorders>
              <w:top w:val="none" w:color="FFFFFF" w:sz="0"/>
              <w:left w:val="single" w:color="D4860A" w:sz="4"/>
              <w:bottom w:val="single" w:color="D4860A" w:sz="4"/>
              <w:right w:val="single" w:color="D4860A" w:sz="4"/>
            </w:tcBorders>
            <w:shd w:fill="FDF3DC" w:val="clear"/>
            <w:tcMar>
              <w:top w:type="dxa" w:w="100"/>
              <w:left w:type="dxa" w:w="200"/>
              <w:bottom w:type="dxa" w:w="100"/>
              <w:right w:type="dxa" w:w="200"/>
            </w:tcMar>
          </w:tcPr>
          <w:p>
            <w:pPr>
              <w:spacing w:after="40" w:before="40"/>
            </w:pPr>
            <w:r>
              <w:rPr>
                <w:rFonts w:ascii="Arial" w:cs="Arial" w:eastAsia="Arial" w:hAnsi="Arial"/>
                <w:b/>
                <w:bCs/>
                <w:color w:val="D4860A"/>
                <w:sz w:val="18"/>
                <w:szCs w:val="18"/>
              </w:rPr>
              <w:t xml:space="preserve">AUDIENCE  </w:t>
            </w:r>
            <w:r>
              <w:rPr>
                <w:rFonts w:ascii="Arial" w:cs="Arial" w:eastAsia="Arial" w:hAnsi="Arial"/>
                <w:color w:val="2C2C2C"/>
                <w:sz w:val="18"/>
                <w:szCs w:val="18"/>
              </w:rPr>
              <w:t xml:space="preserve">NYC Executives   </w:t>
            </w:r>
            <w:r>
              <w:rPr>
                <w:rFonts w:ascii="Arial" w:cs="Arial" w:eastAsia="Arial" w:hAnsi="Arial"/>
                <w:b/>
                <w:bCs/>
                <w:color w:val="D4860A"/>
                <w:sz w:val="18"/>
                <w:szCs w:val="18"/>
              </w:rPr>
              <w:t xml:space="preserve">  FORMAT  </w:t>
            </w:r>
            <w:r>
              <w:rPr>
                <w:rFonts w:ascii="Arial" w:cs="Arial" w:eastAsia="Arial" w:hAnsi="Arial"/>
                <w:color w:val="2C2C2C"/>
                <w:sz w:val="18"/>
                <w:szCs w:val="18"/>
              </w:rPr>
              <w:t xml:space="preserve">4-Chapter Express · ~2.5 hrs   </w:t>
            </w:r>
            <w:r>
              <w:rPr>
                <w:rFonts w:ascii="Arial" w:cs="Arial" w:eastAsia="Arial" w:hAnsi="Arial"/>
                <w:b/>
                <w:bCs/>
                <w:color w:val="D4860A"/>
                <w:sz w:val="18"/>
                <w:szCs w:val="18"/>
              </w:rPr>
              <w:t xml:space="preserve">  ARC TYPE  </w:t>
            </w:r>
            <w:r>
              <w:rPr>
                <w:rFonts w:ascii="Arial" w:cs="Arial" w:eastAsia="Arial" w:hAnsi="Arial"/>
                <w:color w:val="2C2C2C"/>
                <w:sz w:val="18"/>
                <w:szCs w:val="18"/>
              </w:rPr>
              <w:t xml:space="preserve">Grounded Reframe</w:t>
            </w:r>
          </w:p>
        </w:tc>
      </w:tr>
      <w:tr>
        <w:tc>
          <w:tcPr>
            <w:tcBorders>
              <w:top w:val="single" w:color="D4860A" w:sz="4"/>
              <w:left w:val="single" w:color="D4860A" w:sz="4"/>
              <w:bottom w:val="single" w:color="D4860A" w:sz="4"/>
              <w:right w:val="single" w:color="D4860A"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“You know the number. You’ve known it for six months. The spreadsheet is color-coded. The problem isn’t information—it’s that knowing hasn’t changed anything, and that gap between knowing and doing has started to feel like a personal verdict.”</w:t>
            </w:r>
          </w:p>
          <w:p>
            <w:pPr>
              <w:spacing w:after="0" w:before="0"/>
            </w:pPr>
            <w:r>
              <w:rPr>
                <w:rFonts w:ascii="Arial" w:cs="Arial" w:eastAsia="Arial" w:hAnsi="Arial"/>
                <w:b/>
                <w:bCs/>
                <w:color w:val="D4860A"/>
                <w:sz w:val="19"/>
                <w:szCs w:val="19"/>
              </w:rPr>
              <w:t xml:space="preserve">Why it works: </w:t>
            </w:r>
            <w:r>
              <w:rPr>
                <w:rFonts w:ascii="Arial" w:cs="Arial" w:eastAsia="Arial" w:hAnsi="Arial"/>
                <w:color w:val="555555"/>
                <w:sz w:val="19"/>
                <w:szCs w:val="19"/>
              </w:rPr>
              <w:t xml:space="preserve">Starts with the listener’s self-awareness (the number, the spreadsheet) to bypass defenses. The insight lands because it reframes the gap, not the behavior.</w:t>
            </w:r>
          </w:p>
        </w:tc>
      </w:tr>
      <w:tr>
        <w:tc>
          <w:tcPr>
            <w:tcBorders>
              <w:top w:val="single" w:color="D4860A" w:sz="4"/>
              <w:left w:val="single" w:color="D4860A" w:sz="4"/>
              <w:bottom w:val="single" w:color="D4860A" w:sz="4"/>
              <w:right w:val="single" w:color="D4860A" w:sz="4"/>
            </w:tcBorders>
            <w:shd w:fill="FDF3DC"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High-income persona · angle: leverage (reframes existing assets) · compression C4 action anchor slot · freebie: financial clarity PDF · CTSS fingerprint: unique arc+format+angle combo prevents platform similarity block.</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1B69" w:sz="4"/>
              <w:left w:val="single" w:color="2D1B69" w:sz="4"/>
              <w:bottom w:val="single" w:color="2D1B69" w:sz="6"/>
              <w:right w:val="single" w:color="2D1B69" w:sz="4"/>
            </w:tcBorders>
            <w:shd w:fill="2D1B69"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The Weight of Maybe</w:t>
            </w:r>
          </w:p>
          <w:p>
            <w:pPr>
              <w:spacing w:after="0" w:before="40"/>
            </w:pPr>
            <w:r>
              <w:rPr>
                <w:rFonts w:ascii="Arial" w:cs="Arial" w:eastAsia="Arial" w:hAnsi="Arial"/>
                <w:i/>
                <w:iCs/>
                <w:color w:val="EEEEEE"/>
                <w:sz w:val="20"/>
                <w:szCs w:val="20"/>
              </w:rPr>
              <w:t xml:space="preserve">For the entrepreneur who stopped trusting their own gut</w:t>
            </w:r>
          </w:p>
        </w:tc>
      </w:tr>
      <w:tr>
        <w:tc>
          <w:tcPr>
            <w:tcBorders>
              <w:top w:val="none" w:color="FFFFFF" w:sz="0"/>
              <w:left w:val="single" w:color="2D1B69" w:sz="4"/>
              <w:bottom w:val="single" w:color="2D1B69" w:sz="4"/>
              <w:right w:val="single" w:color="2D1B69" w:sz="4"/>
            </w:tcBorders>
            <w:shd w:fill="F0EBF8" w:val="clear"/>
            <w:tcMar>
              <w:top w:type="dxa" w:w="100"/>
              <w:left w:type="dxa" w:w="200"/>
              <w:bottom w:type="dxa" w:w="100"/>
              <w:right w:type="dxa" w:w="200"/>
            </w:tcMar>
          </w:tcPr>
          <w:p>
            <w:pPr>
              <w:spacing w:after="40" w:before="40"/>
            </w:pPr>
            <w:r>
              <w:rPr>
                <w:rFonts w:ascii="Arial" w:cs="Arial" w:eastAsia="Arial" w:hAnsi="Arial"/>
                <w:b/>
                <w:bCs/>
                <w:color w:val="2D1B69"/>
                <w:sz w:val="18"/>
                <w:szCs w:val="18"/>
              </w:rPr>
              <w:t xml:space="preserve">AUDIENCE  </w:t>
            </w:r>
            <w:r>
              <w:rPr>
                <w:rFonts w:ascii="Arial" w:cs="Arial" w:eastAsia="Arial" w:hAnsi="Arial"/>
                <w:color w:val="2C2C2C"/>
                <w:sz w:val="18"/>
                <w:szCs w:val="18"/>
              </w:rPr>
              <w:t xml:space="preserve">Entrepreneurs   </w:t>
            </w:r>
            <w:r>
              <w:rPr>
                <w:rFonts w:ascii="Arial" w:cs="Arial" w:eastAsia="Arial" w:hAnsi="Arial"/>
                <w:b/>
                <w:bCs/>
                <w:color w:val="2D1B69"/>
                <w:sz w:val="18"/>
                <w:szCs w:val="18"/>
              </w:rPr>
              <w:t xml:space="preserve">  FORMAT  </w:t>
            </w:r>
            <w:r>
              <w:rPr>
                <w:rFonts w:ascii="Arial" w:cs="Arial" w:eastAsia="Arial" w:hAnsi="Arial"/>
                <w:color w:val="2C2C2C"/>
                <w:sz w:val="18"/>
                <w:szCs w:val="18"/>
              </w:rPr>
              <w:t xml:space="preserve">Teacher Mode · 6-Chapter · ~5 hrs   </w:t>
            </w:r>
            <w:r>
              <w:rPr>
                <w:rFonts w:ascii="Arial" w:cs="Arial" w:eastAsia="Arial" w:hAnsi="Arial"/>
                <w:b/>
                <w:bCs/>
                <w:color w:val="2D1B69"/>
                <w:sz w:val="18"/>
                <w:szCs w:val="18"/>
              </w:rPr>
              <w:t xml:space="preserve">  ARC TYPE  </w:t>
            </w:r>
            <w:r>
              <w:rPr>
                <w:rFonts w:ascii="Arial" w:cs="Arial" w:eastAsia="Arial" w:hAnsi="Arial"/>
                <w:color w:val="2C2C2C"/>
                <w:sz w:val="18"/>
                <w:szCs w:val="18"/>
              </w:rPr>
              <w:t xml:space="preserve">Identity Shift</w:t>
            </w:r>
          </w:p>
        </w:tc>
      </w:tr>
      <w:tr>
        <w:tc>
          <w:tcPr>
            <w:tcBorders>
              <w:top w:val="single" w:color="2D1B69" w:sz="4"/>
              <w:left w:val="single" w:color="2D1B69" w:sz="4"/>
              <w:bottom w:val="single" w:color="2D1B69" w:sz="4"/>
              <w:right w:val="single" w:color="2D1B69"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“You built the thing. You made the bet. And somewhere between the launch and the right now, the voice that said ‘this is the one’ got quieter—and the voice that runs the audit got louder. This isn’t imposter syndrome. That label is too small for what you’re carrying.”</w:t>
            </w:r>
          </w:p>
          <w:p>
            <w:pPr>
              <w:spacing w:after="0" w:before="0"/>
            </w:pPr>
            <w:r>
              <w:rPr>
                <w:rFonts w:ascii="Arial" w:cs="Arial" w:eastAsia="Arial" w:hAnsi="Arial"/>
                <w:b/>
                <w:bCs/>
                <w:color w:val="2D1B69"/>
                <w:sz w:val="19"/>
                <w:szCs w:val="19"/>
              </w:rPr>
              <w:t xml:space="preserve">Why it works: </w:t>
            </w:r>
            <w:r>
              <w:rPr>
                <w:rFonts w:ascii="Arial" w:cs="Arial" w:eastAsia="Arial" w:hAnsi="Arial"/>
                <w:color w:val="555555"/>
                <w:sz w:val="19"/>
                <w:szCs w:val="19"/>
              </w:rPr>
              <w:t xml:space="preserve">Rejects the popular label to signal genuine depth. Positions the teacher as someone who knows a more specific truth.</w:t>
            </w:r>
          </w:p>
        </w:tc>
      </w:tr>
      <w:tr>
        <w:tc>
          <w:tcPr>
            <w:tcBorders>
              <w:top w:val="single" w:color="2D1B69" w:sz="4"/>
              <w:left w:val="single" w:color="2D1B69" w:sz="4"/>
              <w:bottom w:val="single" w:color="2D1B69" w:sz="4"/>
              <w:right w:val="single" w:color="2D1B69" w:sz="4"/>
            </w:tcBorders>
            <w:shd w:fill="F0EBF8"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Teacher Mode: teacher-scoped atom pool · doctrine enforcement · persona/engine compatibility matrix validated · approved STORY + EXERCISE atoms from teacher_bank · narrator assigned from brand_narrator_assignments.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8B" w:sz="4"/>
              <w:left w:val="single" w:color="5A7A8B" w:sz="4"/>
              <w:bottom w:val="single" w:color="5A7A8B" w:sz="6"/>
              <w:right w:val="single" w:color="5A7A8B" w:sz="4"/>
            </w:tcBorders>
            <w:shd w:fill="5A7A8B"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After the Last Parent</w:t>
            </w:r>
          </w:p>
          <w:p>
            <w:pPr>
              <w:spacing w:after="0" w:before="40"/>
            </w:pPr>
            <w:r>
              <w:rPr>
                <w:rFonts w:ascii="Arial" w:cs="Arial" w:eastAsia="Arial" w:hAnsi="Arial"/>
                <w:i/>
                <w:iCs/>
                <w:color w:val="EEEEEE"/>
                <w:sz w:val="20"/>
                <w:szCs w:val="20"/>
              </w:rPr>
              <w:t xml:space="preserve">The grief that doesn’t get a category</w:t>
            </w:r>
          </w:p>
        </w:tc>
      </w:tr>
      <w:tr>
        <w:tc>
          <w:tcPr>
            <w:tcBorders>
              <w:top w:val="none" w:color="FFFFFF" w:sz="0"/>
              <w:left w:val="single" w:color="5A7A8B" w:sz="4"/>
              <w:bottom w:val="single" w:color="5A7A8B" w:sz="4"/>
              <w:right w:val="single" w:color="5A7A8B" w:sz="4"/>
            </w:tcBorders>
            <w:shd w:fill="EDF3F6" w:val="clear"/>
            <w:tcMar>
              <w:top w:type="dxa" w:w="100"/>
              <w:left w:type="dxa" w:w="200"/>
              <w:bottom w:type="dxa" w:w="100"/>
              <w:right w:type="dxa" w:w="200"/>
            </w:tcMar>
          </w:tcPr>
          <w:p>
            <w:pPr>
              <w:spacing w:after="40" w:before="40"/>
            </w:pPr>
            <w:r>
              <w:rPr>
                <w:rFonts w:ascii="Arial" w:cs="Arial" w:eastAsia="Arial" w:hAnsi="Arial"/>
                <w:b/>
                <w:bCs/>
                <w:color w:val="5A7A8B"/>
                <w:sz w:val="18"/>
                <w:szCs w:val="18"/>
              </w:rPr>
              <w:t xml:space="preserve">AUDIENCE  </w:t>
            </w:r>
            <w:r>
              <w:rPr>
                <w:rFonts w:ascii="Arial" w:cs="Arial" w:eastAsia="Arial" w:hAnsi="Arial"/>
                <w:color w:val="2C2C2C"/>
                <w:sz w:val="18"/>
                <w:szCs w:val="18"/>
              </w:rPr>
              <w:t xml:space="preserve">Gen X Sandwich Generation   </w:t>
            </w:r>
            <w:r>
              <w:rPr>
                <w:rFonts w:ascii="Arial" w:cs="Arial" w:eastAsia="Arial" w:hAnsi="Arial"/>
                <w:b/>
                <w:bCs/>
                <w:color w:val="5A7A8B"/>
                <w:sz w:val="18"/>
                <w:szCs w:val="18"/>
              </w:rPr>
              <w:t xml:space="preserve">  FORMAT  </w:t>
            </w:r>
            <w:r>
              <w:rPr>
                <w:rFonts w:ascii="Arial" w:cs="Arial" w:eastAsia="Arial" w:hAnsi="Arial"/>
                <w:color w:val="2C2C2C"/>
                <w:sz w:val="18"/>
                <w:szCs w:val="18"/>
              </w:rPr>
              <w:t xml:space="preserve">7-Chapter Deep · ~5.5 hrs   </w:t>
            </w:r>
            <w:r>
              <w:rPr>
                <w:rFonts w:ascii="Arial" w:cs="Arial" w:eastAsia="Arial" w:hAnsi="Arial"/>
                <w:b/>
                <w:bCs/>
                <w:color w:val="5A7A8B"/>
                <w:sz w:val="18"/>
                <w:szCs w:val="18"/>
              </w:rPr>
              <w:t xml:space="preserve">  ARC TYPE  </w:t>
            </w:r>
            <w:r>
              <w:rPr>
                <w:rFonts w:ascii="Arial" w:cs="Arial" w:eastAsia="Arial" w:hAnsi="Arial"/>
                <w:color w:val="2C2C2C"/>
                <w:sz w:val="18"/>
                <w:szCs w:val="18"/>
              </w:rPr>
              <w:t xml:space="preserve">Open Loop</w:t>
            </w:r>
          </w:p>
        </w:tc>
      </w:tr>
      <w:tr>
        <w:tc>
          <w:tcPr>
            <w:tcBorders>
              <w:top w:val="single" w:color="5A7A8B" w:sz="4"/>
              <w:left w:val="single" w:color="5A7A8B" w:sz="4"/>
              <w:bottom w:val="single" w:color="5A7A8B" w:sz="4"/>
              <w:right w:val="single" w:color="5A7A8B" w:sz="4"/>
            </w:tcBorders>
            <w:shd w:fill="FFFFFF" w:val="clear"/>
            <w:tcMar>
              <w:top w:type="dxa" w:w="140"/>
              <w:left w:type="dxa" w:w="200"/>
              <w:bottom w:type="dxa" w:w="140"/>
              <w:right w:type="dxa" w:w="200"/>
            </w:tcMar>
          </w:tcPr>
          <w:p>
            <w:pPr>
              <w:spacing w:after="60" w:before="0"/>
            </w:pPr>
            <w:r>
              <w:rPr>
                <w:rFonts w:ascii="Arial" w:cs="Arial" w:eastAsia="Arial" w:hAnsi="Arial"/>
                <w:b/>
                <w:bCs/>
                <w:color w:val="555555"/>
                <w:sz w:val="19"/>
                <w:szCs w:val="19"/>
              </w:rPr>
              <w:t xml:space="preserve">Opening Hook</w:t>
            </w:r>
          </w:p>
          <w:p>
            <w:pPr>
              <w:spacing w:after="80" w:before="0"/>
            </w:pPr>
            <w:r>
              <w:rPr>
                <w:rFonts w:ascii="Georgia" w:cs="Georgia" w:eastAsia="Georgia" w:hAnsi="Georgia"/>
                <w:i/>
                <w:iCs/>
                <w:color w:val="2C2C2C"/>
                <w:sz w:val="21"/>
                <w:szCs w:val="21"/>
              </w:rPr>
              <w:t xml:space="preserve">“People bring casseroles for the first two weeks. After that, they assume you’ve adjusted. They don’t have a word for the thing that happens after adjustment was supposed to occur—when you’re technically fine and functionally lost.”</w:t>
            </w:r>
          </w:p>
          <w:p>
            <w:pPr>
              <w:spacing w:after="0" w:before="0"/>
            </w:pPr>
            <w:r>
              <w:rPr>
                <w:rFonts w:ascii="Arial" w:cs="Arial" w:eastAsia="Arial" w:hAnsi="Arial"/>
                <w:b/>
                <w:bCs/>
                <w:color w:val="5A7A8B"/>
                <w:sz w:val="19"/>
                <w:szCs w:val="19"/>
              </w:rPr>
              <w:t xml:space="preserve">Why it works: </w:t>
            </w:r>
            <w:r>
              <w:rPr>
                <w:rFonts w:ascii="Arial" w:cs="Arial" w:eastAsia="Arial" w:hAnsi="Arial"/>
                <w:color w:val="555555"/>
                <w:sz w:val="19"/>
                <w:szCs w:val="19"/>
              </w:rPr>
              <w:t xml:space="preserve">Names the post-acute grief that has no cultural container. The listener who’s been told to ‘move on’ exhales on the first sentence.</w:t>
            </w:r>
          </w:p>
        </w:tc>
      </w:tr>
      <w:tr>
        <w:tc>
          <w:tcPr>
            <w:tcBorders>
              <w:top w:val="single" w:color="5A7A8B" w:sz="4"/>
              <w:left w:val="single" w:color="5A7A8B" w:sz="4"/>
              <w:bottom w:val="single" w:color="5A7A8B" w:sz="4"/>
              <w:right w:val="single" w:color="5A7A8B" w:sz="4"/>
            </w:tcBorders>
            <w:shd w:fill="EDF3F6" w:val="clear"/>
            <w:tcMar>
              <w:top w:type="dxa" w:w="100"/>
              <w:left w:type="dxa" w:w="200"/>
              <w:bottom w:type="dxa" w:w="100"/>
              <w:right w:type="dxa" w:w="200"/>
            </w:tcMar>
          </w:tcPr>
          <w:p>
            <w:pPr>
              <w:spacing w:after="40" w:before="40"/>
            </w:pPr>
            <w:r>
              <w:rPr>
                <w:rFonts w:ascii="Arial" w:cs="Arial" w:eastAsia="Arial" w:hAnsi="Arial"/>
                <w:b/>
                <w:bCs/>
                <w:color w:val="555555"/>
                <w:sz w:val="19"/>
                <w:szCs w:val="19"/>
              </w:rPr>
              <w:t xml:space="preserve">Special Ingredients: </w:t>
            </w:r>
            <w:r>
              <w:rPr>
                <w:rFonts w:ascii="Arial" w:cs="Arial" w:eastAsia="Arial" w:hAnsi="Arial"/>
                <w:color w:val="2C2C2C"/>
                <w:sz w:val="19"/>
                <w:szCs w:val="19"/>
              </w:rPr>
              <w:t xml:space="preserve">Grief mechanism depth · emotional_intensity_band spread 2–5 across chapters · open-loop arc (series: parenthood loss) · author posture: somatic_companion · integration modes: 3+ distinct, no consecutive same.</w:t>
            </w:r>
          </w:p>
        </w:tc>
      </w:tr>
    </w:tbl>
    <w:p>
      <w:pPr>
        <w:spacing w:after="240" w:before="0"/>
      </w:pPr>
    </w:p>
    <w:p>
      <w:r>
        <w:br w:type="page"/>
      </w:r>
    </w:p>
    <w:p>
      <w:pPr>
        <w:pStyle w:val="Heading1"/>
        <w:spacing w:after="160" w:before="480"/>
      </w:pPr>
      <w:r>
        <w:rPr>
          <w:rFonts w:ascii="Arial" w:cs="Arial" w:eastAsia="Arial" w:hAnsi="Arial"/>
          <w:b/>
          <w:bCs/>
          <w:color w:val="1A1A2E"/>
        </w:rPr>
        <w:t xml:space="preserve">The Technology</w:t>
      </w:r>
    </w:p>
    <w:p>
      <w:pPr>
        <w:spacing w:after="200" w:before="0"/>
      </w:pPr>
      <w:r>
        <w:rPr>
          <w:rFonts w:ascii="Arial" w:cs="Arial" w:eastAsia="Arial" w:hAnsi="Arial"/>
          <w:color w:val="2C2C2C"/>
          <w:sz w:val="22"/>
          <w:szCs w:val="22"/>
        </w:rPr>
        <w:t xml:space="preserve">Phoenix Omega treats book production like software compilation. The same inputs always produce the same outputs. Every decision is traceable. Every gate is explicit. Here’s how it works.</w:t>
      </w:r>
    </w:p>
    <w:p>
      <w:pPr>
        <w:pStyle w:val="Heading2"/>
        <w:spacing w:after="120" w:before="280"/>
      </w:pPr>
      <w:r>
        <w:rPr>
          <w:rFonts w:ascii="Arial" w:cs="Arial" w:eastAsia="Arial" w:hAnsi="Arial"/>
          <w:b/>
          <w:bCs/>
          <w:color w:val="5B2D8E"/>
        </w:rPr>
        <w:t xml:space="preserve">Arc-First Pipeline</w:t>
      </w:r>
    </w:p>
    <w:p>
      <w:pPr>
        <w:spacing w:after="160" w:before="0"/>
      </w:pPr>
      <w:r>
        <w:rPr>
          <w:rFonts w:ascii="Arial" w:cs="Arial" w:eastAsia="Arial" w:hAnsi="Arial"/>
          <w:color w:val="2C2C2C"/>
          <w:sz w:val="22"/>
          <w:szCs w:val="22"/>
        </w:rPr>
        <w:t xml:space="preserve">No arc = no compile. Every book begins with a human-authored master arc YAML that defines the emotional curve, chapter intent, emotional role sequence (recognition → destabilization → reframe → stabilization → integration), and resolution type. The arc is the book’s DNA — everything downstream derives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20"/>
            </w:tcMar>
          </w:tcPr>
          <w:p>
            <w:r>
              <w:rPr>
                <w:rFonts w:ascii="Arial" w:cs="Arial" w:eastAsia="Arial" w:hAnsi="Arial"/>
                <w:b/>
                <w:bCs/>
                <w:color w:val="FFFFFF"/>
                <w:sz w:val="20"/>
                <w:szCs w:val="20"/>
              </w:rPr>
              <w:t xml:space="preserve">Stage</w:t>
            </w:r>
          </w:p>
        </w:tc>
        <w:tc>
          <w:tcPr>
            <w:tcW w:type="dxa" w:w="656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What Happens</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Stage 1 — Catalog Planning</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BookSpec assembled: topic, persona, teacher, brand, angle, series, installment, determinism seed.</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Stage 2 — Format Selection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FormatPlan selects structural format (F006, compact, express, deep) + runtime format, chapter count, slot definitions, tier, arc alignment.</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Stage 3 — Assembly</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CompiledBook: chapter-slot sequence, atom IDs, dominant band sequence, emotional temperature curve, exercise modes, story depths, archetype policy, freebie bundle.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Stage 6 — Rendering</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Prose output from atoms. TTS-ready manuscript. QA: no placeholders, no markers, no freebie-in-body. Delivered as .txt or audiobook-ready.</w:t>
            </w:r>
          </w:p>
        </w:tc>
      </w:tr>
    </w:tbl>
    <w:p>
      <w:pPr>
        <w:spacing w:after="160" w:before="0"/>
      </w:pPr>
    </w:p>
    <w:p>
      <w:pPr>
        <w:pStyle w:val="Heading2"/>
        <w:spacing w:after="120" w:before="280"/>
      </w:pPr>
      <w:r>
        <w:rPr>
          <w:rFonts w:ascii="Arial" w:cs="Arial" w:eastAsia="Arial" w:hAnsi="Arial"/>
          <w:b/>
          <w:bCs/>
          <w:color w:val="5B2D8E"/>
        </w:rPr>
        <w:t xml:space="preserve">The Atom Assembly System</w:t>
      </w:r>
    </w:p>
    <w:p>
      <w:pPr>
        <w:spacing w:after="120" w:before="0"/>
      </w:pPr>
      <w:r>
        <w:rPr>
          <w:rFonts w:ascii="Arial" w:cs="Arial" w:eastAsia="Arial" w:hAnsi="Arial"/>
          <w:color w:val="2C2C2C"/>
          <w:sz w:val="22"/>
          <w:szCs w:val="22"/>
        </w:rPr>
        <w:t xml:space="preserve">Books are built from structured content atoms — not written freestyle. Six slot types, each with proven emotional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20"/>
            </w:tcMar>
          </w:tcPr>
          <w:p>
            <w:r>
              <w:rPr>
                <w:rFonts w:ascii="Arial" w:cs="Arial" w:eastAsia="Arial" w:hAnsi="Arial"/>
                <w:b/>
                <w:bCs/>
                <w:color w:val="FFFFFF"/>
                <w:sz w:val="20"/>
                <w:szCs w:val="20"/>
              </w:rPr>
              <w:t xml:space="preserve">Atom Type</w:t>
            </w:r>
          </w:p>
        </w:tc>
        <w:tc>
          <w:tcPr>
            <w:tcW w:type="dxa" w:w="656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Function</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HOOK</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First 30 seconds. Makes the listener think: this is about me. No teaching. Pure recognition.</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SCENE</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Grounding in physical reality. Where, when, what the body was doing. Sets nervous system state.</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STORY</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Lived moments. Inciting incident → cause-effect → turning point → cost/lesson. No labels. No resolution in the story itself.</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REFLECTION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Naming the mechanism. Research-grounded. Short. Precise. No reassurance spam.</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EXERCISE</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Somatic or cognitive. Body-anchored. Linked to the story before it. Consent-framed, no outcome pressure.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COMPRESSION</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40–120 words. One reframe. TTS-safe. Bridges chapters. Five families: mechanism, permission, cost, action, identity.</w:t>
            </w:r>
          </w:p>
        </w:tc>
      </w:tr>
      <w:tr>
        <w:tc>
          <w:tcPr>
            <w:tcW w:type="dxa" w:w="280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20"/>
            </w:tcMar>
          </w:tcPr>
          <w:p>
            <w:r>
              <w:rPr>
                <w:rFonts w:ascii="Arial" w:cs="Arial" w:eastAsia="Arial" w:hAnsi="Arial"/>
                <w:b/>
                <w:bCs/>
                <w:color w:val="5B2D8E"/>
                <w:sz w:val="20"/>
                <w:szCs w:val="20"/>
              </w:rPr>
              <w:t xml:space="preserve">INTEGRATION</w:t>
            </w:r>
          </w:p>
        </w:tc>
        <w:tc>
          <w:tcPr>
            <w:tcW w:type="dxa" w:w="6560"/>
            <w:tcBorders>
              <w:top w:val="single" w:color="DDDDDD" w:sz="4"/>
              <w:left w:val="single" w:color="DDDDDD" w:sz="4"/>
              <w:bottom w:val="single" w:color="DDDDDD" w:sz="4"/>
              <w:right w:val="single" w:color="DDDDDD" w:sz="4"/>
            </w:tcBorders>
            <w:shd w:fill="F8F6F2" w:val="clear"/>
            <w:tcMar>
              <w:top w:type="dxa" w:w="100"/>
              <w:left w:type="dxa" w:w="160"/>
              <w:bottom w:type="dxa" w:w="100"/>
              <w:right w:type="dxa" w:w="160"/>
            </w:tcMar>
          </w:tcPr>
          <w:p>
            <w:r>
              <w:rPr>
                <w:rFonts w:ascii="Arial" w:cs="Arial" w:eastAsia="Arial" w:hAnsi="Arial"/>
                <w:color w:val="2C2C2C"/>
                <w:sz w:val="20"/>
                <w:szCs w:val="20"/>
              </w:rPr>
              <w:t xml:space="preserve">Closing synthesis. Forward motion. Earned confidence only. No generic affirmations.</w:t>
            </w:r>
          </w:p>
        </w:tc>
      </w:tr>
    </w:tbl>
    <w:p>
      <w:pPr>
        <w:spacing w:after="160" w:before="0"/>
      </w:pPr>
    </w:p>
    <w:p>
      <w:pPr>
        <w:pStyle w:val="Heading2"/>
        <w:spacing w:after="120" w:before="280"/>
      </w:pPr>
      <w:r>
        <w:rPr>
          <w:rFonts w:ascii="Arial" w:cs="Arial" w:eastAsia="Arial" w:hAnsi="Arial"/>
          <w:b/>
          <w:bCs/>
          <w:color w:val="5B2D8E"/>
        </w:rPr>
        <w:t xml:space="preserve">Anti-Spam Assurance: No Duplicate Books. Ever.</w:t>
      </w:r>
    </w:p>
    <w:p>
      <w:pPr>
        <w:spacing w:after="120" w:before="0"/>
      </w:pPr>
      <w:r>
        <w:rPr>
          <w:rFonts w:ascii="Arial" w:cs="Arial" w:eastAsia="Arial" w:hAnsi="Arial"/>
          <w:color w:val="2C2C2C"/>
          <w:sz w:val="22"/>
          <w:szCs w:val="22"/>
        </w:rPr>
        <w:t xml:space="preserve">The Catalog-level Topical Similarity Score (CTSS) fingerprints every compiled book across 10 structural dimensions. If two books are too close, the system fails before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4"/>
              <w:left w:val="single" w:color="1A1A2E" w:sz="4"/>
              <w:bottom w:val="single" w:color="1A1A2E" w:sz="4"/>
              <w:right w:val="single" w:color="1A1A2E" w:sz="4"/>
            </w:tcBorders>
            <w:shd w:fill="1A1A2E" w:val="clear"/>
            <w:tcMar>
              <w:top w:type="dxa" w:w="160"/>
              <w:left w:type="dxa" w:w="200"/>
              <w:bottom w:type="dxa" w:w="160"/>
              <w:right w:type="dxa" w:w="160"/>
            </w:tcMar>
          </w:tcPr>
          <w:p>
            <w:pPr>
              <w:spacing w:after="60" w:before="0"/>
            </w:pPr>
            <w:r>
              <w:rPr>
                <w:rFonts w:ascii="Arial" w:cs="Arial" w:eastAsia="Arial" w:hAnsi="Arial"/>
                <w:b/>
                <w:bCs/>
                <w:color w:val="FFFFFF"/>
                <w:sz w:val="21"/>
                <w:szCs w:val="21"/>
              </w:rPr>
              <w:t xml:space="preserve">CTSS Fingerprint Dimensions</w:t>
            </w:r>
          </w:p>
          <w:p>
            <w:pPr>
              <w:pStyle w:val="ListParagraph"/>
              <w:numPr>
                <w:ilvl w:val="0"/>
                <w:numId w:val="2"/>
              </w:numPr>
              <w:spacing w:after="30" w:before="30"/>
            </w:pPr>
            <w:r>
              <w:rPr>
                <w:rFonts w:ascii="Arial" w:cs="Arial" w:eastAsia="Arial" w:hAnsi="Arial"/>
                <w:color w:val="DDDDDD"/>
                <w:sz w:val="20"/>
                <w:szCs w:val="20"/>
              </w:rPr>
              <w:t xml:space="preserve">Emotional arc ID (weight: 0.20)</w:t>
            </w:r>
          </w:p>
          <w:p>
            <w:pPr>
              <w:pStyle w:val="ListParagraph"/>
              <w:numPr>
                <w:ilvl w:val="0"/>
                <w:numId w:val="2"/>
              </w:numPr>
              <w:spacing w:after="30" w:before="30"/>
            </w:pPr>
            <w:r>
              <w:rPr>
                <w:rFonts w:ascii="Arial" w:cs="Arial" w:eastAsia="Arial" w:hAnsi="Arial"/>
                <w:color w:val="DDDDDD"/>
                <w:sz w:val="20"/>
                <w:szCs w:val="20"/>
              </w:rPr>
              <w:t xml:space="preserve">Band sequence (0.12)</w:t>
            </w:r>
          </w:p>
          <w:p>
            <w:pPr>
              <w:pStyle w:val="ListParagraph"/>
              <w:numPr>
                <w:ilvl w:val="0"/>
                <w:numId w:val="2"/>
              </w:numPr>
              <w:spacing w:after="30" w:before="30"/>
            </w:pPr>
            <w:r>
              <w:rPr>
                <w:rFonts w:ascii="Arial" w:cs="Arial" w:eastAsia="Arial" w:hAnsi="Arial"/>
                <w:color w:val="DDDDDD"/>
                <w:sz w:val="20"/>
                <w:szCs w:val="20"/>
              </w:rPr>
              <w:t xml:space="preserve">Slot signature (0.11)</w:t>
            </w:r>
          </w:p>
          <w:p>
            <w:pPr>
              <w:pStyle w:val="ListParagraph"/>
              <w:numPr>
                <w:ilvl w:val="0"/>
                <w:numId w:val="2"/>
              </w:numPr>
              <w:spacing w:after="30" w:before="30"/>
            </w:pPr>
            <w:r>
              <w:rPr>
                <w:rFonts w:ascii="Arial" w:cs="Arial" w:eastAsia="Arial" w:hAnsi="Arial"/>
                <w:color w:val="DDDDDD"/>
                <w:sz w:val="20"/>
                <w:szCs w:val="20"/>
              </w:rPr>
              <w:t xml:space="preserve">Exercise placement (0.13)</w:t>
            </w:r>
          </w:p>
          <w:p>
            <w:pPr>
              <w:pStyle w:val="ListParagraph"/>
              <w:numPr>
                <w:ilvl w:val="0"/>
                <w:numId w:val="2"/>
              </w:numPr>
              <w:spacing w:after="30" w:before="30"/>
            </w:pPr>
            <w:r>
              <w:rPr>
                <w:rFonts w:ascii="Arial" w:cs="Arial" w:eastAsia="Arial" w:hAnsi="Arial"/>
                <w:color w:val="DDDDDD"/>
                <w:sz w:val="20"/>
                <w:szCs w:val="20"/>
              </w:rPr>
              <w:t xml:space="preserve">Story family vector (0.07)</w:t>
            </w:r>
          </w:p>
          <w:p>
            <w:pPr>
              <w:pStyle w:val="ListParagraph"/>
              <w:numPr>
                <w:ilvl w:val="0"/>
                <w:numId w:val="2"/>
              </w:numPr>
              <w:spacing w:after="30" w:before="30"/>
            </w:pPr>
            <w:r>
              <w:rPr>
                <w:rFonts w:ascii="Arial" w:cs="Arial" w:eastAsia="Arial" w:hAnsi="Arial"/>
                <w:color w:val="DDDDDD"/>
                <w:sz w:val="20"/>
                <w:szCs w:val="20"/>
              </w:rPr>
              <w:t xml:space="preserve">Exercise family vector (0.07)</w:t>
            </w:r>
          </w:p>
          <w:p>
            <w:pPr>
              <w:pStyle w:val="ListParagraph"/>
              <w:numPr>
                <w:ilvl w:val="0"/>
                <w:numId w:val="2"/>
              </w:numPr>
              <w:spacing w:after="30" w:before="30"/>
            </w:pPr>
            <w:r>
              <w:rPr>
                <w:rFonts w:ascii="Arial" w:cs="Arial" w:eastAsia="Arial" w:hAnsi="Arial"/>
                <w:color w:val="DDDDDD"/>
                <w:sz w:val="20"/>
                <w:szCs w:val="20"/>
              </w:rPr>
              <w:t xml:space="preserve">Teacher presence (0.11)</w:t>
            </w:r>
          </w:p>
          <w:p>
            <w:pPr>
              <w:pStyle w:val="ListParagraph"/>
              <w:numPr>
                <w:ilvl w:val="0"/>
                <w:numId w:val="2"/>
              </w:numPr>
              <w:spacing w:after="30" w:before="30"/>
            </w:pPr>
            <w:r>
              <w:rPr>
                <w:rFonts w:ascii="Arial" w:cs="Arial" w:eastAsia="Arial" w:hAnsi="Arial"/>
                <w:color w:val="DDDDDD"/>
                <w:sz w:val="20"/>
                <w:szCs w:val="20"/>
              </w:rPr>
              <w:t xml:space="preserve">Freebie bundle signature (0.04)</w:t>
            </w:r>
          </w:p>
          <w:p>
            <w:pPr>
              <w:pStyle w:val="ListParagraph"/>
              <w:numPr>
                <w:ilvl w:val="0"/>
                <w:numId w:val="2"/>
              </w:numPr>
              <w:spacing w:after="30" w:before="30"/>
            </w:pPr>
            <w:r>
              <w:rPr>
                <w:rFonts w:ascii="Arial" w:cs="Arial" w:eastAsia="Arial" w:hAnsi="Arial"/>
                <w:color w:val="DDDDDD"/>
                <w:sz w:val="20"/>
                <w:szCs w:val="20"/>
              </w:rPr>
              <w:t xml:space="preserve">CTA signature (0.04)</w:t>
            </w:r>
          </w:p>
          <w:p>
            <w:pPr>
              <w:pStyle w:val="ListParagraph"/>
              <w:numPr>
                <w:ilvl w:val="0"/>
                <w:numId w:val="2"/>
              </w:numPr>
              <w:spacing w:after="30" w:before="30"/>
            </w:pPr>
            <w:r>
              <w:rPr>
                <w:rFonts w:ascii="Arial" w:cs="Arial" w:eastAsia="Arial" w:hAnsi="Arial"/>
                <w:color w:val="DDDDDD"/>
                <w:sz w:val="20"/>
                <w:szCs w:val="20"/>
              </w:rPr>
              <w:t xml:space="preserve">Emotional role sequence (0.06)</w:t>
            </w:r>
          </w:p>
        </w:tc>
        <w:tc>
          <w:tcPr>
            <w:tcW w:type="dxa" w:w="4680"/>
            <w:tcBorders>
              <w:top w:val="single" w:color="DDDDDD" w:sz="4"/>
              <w:left w:val="single" w:color="DDDDDD" w:sz="4"/>
              <w:bottom w:val="single" w:color="DDDDDD" w:sz="4"/>
              <w:right w:val="single" w:color="DDDDDD" w:sz="4"/>
            </w:tcBorders>
            <w:shd w:fill="F8F6F2" w:val="clear"/>
            <w:tcMar>
              <w:top w:type="dxa" w:w="160"/>
              <w:left w:type="dxa" w:w="200"/>
              <w:bottom w:type="dxa" w:w="160"/>
              <w:right w:type="dxa" w:w="160"/>
            </w:tcMar>
          </w:tcPr>
          <w:p>
            <w:pPr>
              <w:spacing w:after="60" w:before="0"/>
            </w:pPr>
            <w:r>
              <w:rPr>
                <w:rFonts w:ascii="Arial" w:cs="Arial" w:eastAsia="Arial" w:hAnsi="Arial"/>
                <w:b/>
                <w:bCs/>
                <w:color w:val="1A1A2E"/>
                <w:sz w:val="21"/>
                <w:szCs w:val="21"/>
              </w:rPr>
              <w:t xml:space="preserve">Failure Thresholds</w:t>
            </w:r>
          </w:p>
          <w:p>
            <w:pPr>
              <w:spacing w:after="50" w:before="50"/>
            </w:pPr>
            <w:r>
              <w:rPr>
                <w:rFonts w:ascii="Arial" w:cs="Arial" w:eastAsia="Arial" w:hAnsi="Arial"/>
                <w:b/>
                <w:bCs/>
                <w:color w:val="A85470"/>
                <w:sz w:val="20"/>
                <w:szCs w:val="20"/>
              </w:rPr>
              <w:t xml:space="preserve">BLOCK: </w:t>
            </w:r>
            <w:r>
              <w:rPr>
                <w:rFonts w:ascii="Arial" w:cs="Arial" w:eastAsia="Arial" w:hAnsi="Arial"/>
                <w:color w:val="2C2C2C"/>
                <w:sz w:val="20"/>
                <w:szCs w:val="20"/>
              </w:rPr>
              <w:t xml:space="preserve">≥ 0.78 similarity score</w:t>
            </w:r>
          </w:p>
          <w:p>
            <w:pPr>
              <w:spacing w:after="50" w:before="50"/>
            </w:pPr>
            <w:r>
              <w:rPr>
                <w:rFonts w:ascii="Arial" w:cs="Arial" w:eastAsia="Arial" w:hAnsi="Arial"/>
                <w:b/>
                <w:bCs/>
                <w:color w:val="D4860A"/>
                <w:sz w:val="20"/>
                <w:szCs w:val="20"/>
              </w:rPr>
              <w:t xml:space="preserve">REVIEW: </w:t>
            </w:r>
            <w:r>
              <w:rPr>
                <w:rFonts w:ascii="Arial" w:cs="Arial" w:eastAsia="Arial" w:hAnsi="Arial"/>
                <w:color w:val="2C2C2C"/>
                <w:sz w:val="20"/>
                <w:szCs w:val="20"/>
              </w:rPr>
              <w:t xml:space="preserve">≥ 0.65 similarity score</w:t>
            </w:r>
          </w:p>
          <w:p>
            <w:pPr>
              <w:spacing w:after="50" w:before="50"/>
            </w:pPr>
            <w:r>
              <w:rPr>
                <w:rFonts w:ascii="Arial" w:cs="Arial" w:eastAsia="Arial" w:hAnsi="Arial"/>
                <w:b/>
                <w:bCs/>
                <w:color w:val="4A7C59"/>
                <w:sz w:val="20"/>
                <w:szCs w:val="20"/>
              </w:rPr>
              <w:t xml:space="preserve">Wave density: </w:t>
            </w:r>
            <w:r>
              <w:rPr>
                <w:rFonts w:ascii="Arial" w:cs="Arial" w:eastAsia="Arial" w:hAnsi="Arial"/>
                <w:color w:val="2C2C2C"/>
                <w:sz w:val="20"/>
                <w:szCs w:val="20"/>
              </w:rPr>
              <w:t xml:space="preserve">≤ 30% same arc per wave</w:t>
            </w:r>
          </w:p>
          <w:p>
            <w:pPr>
              <w:spacing w:after="50" w:before="50"/>
            </w:pPr>
            <w:r>
              <w:rPr>
                <w:rFonts w:ascii="Arial" w:cs="Arial" w:eastAsia="Arial" w:hAnsi="Arial"/>
                <w:b/>
                <w:bCs/>
                <w:color w:val="0B5563"/>
                <w:sz w:val="20"/>
                <w:szCs w:val="20"/>
              </w:rPr>
              <w:t xml:space="preserve">Band sequence: </w:t>
            </w:r>
            <w:r>
              <w:rPr>
                <w:rFonts w:ascii="Arial" w:cs="Arial" w:eastAsia="Arial" w:hAnsi="Arial"/>
                <w:color w:val="2C2C2C"/>
                <w:sz w:val="20"/>
                <w:szCs w:val="20"/>
              </w:rPr>
              <w:t xml:space="preserve">≤ 40% identical per wave</w:t>
            </w:r>
          </w:p>
          <w:p>
            <w:pPr>
              <w:spacing w:after="50" w:before="50"/>
            </w:pPr>
            <w:r>
              <w:rPr>
                <w:rFonts w:ascii="Arial" w:cs="Arial" w:eastAsia="Arial" w:hAnsi="Arial"/>
                <w:b/>
                <w:bCs/>
                <w:color w:val="5B2D8E"/>
                <w:sz w:val="20"/>
                <w:szCs w:val="20"/>
              </w:rPr>
              <w:t xml:space="preserve">Slot signature: </w:t>
            </w:r>
            <w:r>
              <w:rPr>
                <w:rFonts w:ascii="Arial" w:cs="Arial" w:eastAsia="Arial" w:hAnsi="Arial"/>
                <w:color w:val="2C2C2C"/>
                <w:sz w:val="20"/>
                <w:szCs w:val="20"/>
              </w:rPr>
              <w:t xml:space="preserve">≤ 50% identical per wave</w:t>
            </w:r>
          </w:p>
          <w:p>
            <w:pPr>
              <w:spacing w:after="50" w:before="50"/>
            </w:pPr>
            <w:r>
              <w:rPr>
                <w:rFonts w:ascii="Arial" w:cs="Arial" w:eastAsia="Arial" w:hAnsi="Arial"/>
                <w:b/>
                <w:bCs/>
                <w:color w:val="4A7C59"/>
                <w:sz w:val="20"/>
                <w:szCs w:val="20"/>
              </w:rPr>
              <w:t xml:space="preserve">Freebie bundle: </w:t>
            </w:r>
            <w:r>
              <w:rPr>
                <w:rFonts w:ascii="Arial" w:cs="Arial" w:eastAsia="Arial" w:hAnsi="Arial"/>
                <w:color w:val="2C2C2C"/>
                <w:sz w:val="20"/>
                <w:szCs w:val="20"/>
              </w:rPr>
              <w:t xml:space="preserve">≤ 40% identical bundle</w:t>
            </w:r>
          </w:p>
          <w:p>
            <w:pPr>
              <w:spacing w:after="50" w:before="50"/>
            </w:pPr>
            <w:r>
              <w:rPr>
                <w:rFonts w:ascii="Arial" w:cs="Arial" w:eastAsia="Arial" w:hAnsi="Arial"/>
                <w:b/>
                <w:bCs/>
                <w:color w:val="0B5563"/>
                <w:sz w:val="20"/>
                <w:szCs w:val="20"/>
              </w:rPr>
              <w:t xml:space="preserve">CTA: </w:t>
            </w:r>
            <w:r>
              <w:rPr>
                <w:rFonts w:ascii="Arial" w:cs="Arial" w:eastAsia="Arial" w:hAnsi="Arial"/>
                <w:color w:val="2C2C2C"/>
                <w:sz w:val="20"/>
                <w:szCs w:val="20"/>
              </w:rPr>
              <w:t xml:space="preserve">≤ 50% identical CTA pattern</w:t>
            </w:r>
          </w:p>
        </w:tc>
      </w:tr>
    </w:tbl>
    <w:p>
      <w:pPr>
        <w:spacing w:after="160" w:before="0"/>
      </w:pPr>
    </w:p>
    <w:p>
      <w:pPr>
        <w:pStyle w:val="Heading2"/>
        <w:spacing w:after="120" w:before="280"/>
      </w:pPr>
      <w:r>
        <w:rPr>
          <w:rFonts w:ascii="Arial" w:cs="Arial" w:eastAsia="Arial" w:hAnsi="Arial"/>
          <w:b/>
          <w:bCs/>
          <w:color w:val="5B2D8E"/>
        </w:rPr>
        <w:t xml:space="preserve">Quality Gates &amp; CI Enforcement</w:t>
      </w:r>
    </w:p>
    <w:p>
      <w:pPr>
        <w:pStyle w:val="ListParagraph"/>
        <w:numPr>
          <w:ilvl w:val="0"/>
          <w:numId w:val="2"/>
        </w:numPr>
        <w:spacing w:after="50" w:before="50"/>
      </w:pPr>
      <w:r>
        <w:rPr>
          <w:rFonts w:ascii="Arial" w:cs="Arial" w:eastAsia="Arial" w:hAnsi="Arial"/>
          <w:color w:val="2C2C2C"/>
          <w:sz w:val="21"/>
          <w:szCs w:val="21"/>
        </w:rPr>
        <w:t xml:space="preserve">Structural entropy CI: story family dominance ≤70%, exercise family ≤60%, compression ≤70% per family</w:t>
      </w:r>
    </w:p>
    <w:p>
      <w:pPr>
        <w:pStyle w:val="ListParagraph"/>
        <w:numPr>
          <w:ilvl w:val="0"/>
          <w:numId w:val="2"/>
        </w:numPr>
        <w:spacing w:after="50" w:before="50"/>
      </w:pPr>
      <w:r>
        <w:rPr>
          <w:rFonts w:ascii="Arial" w:cs="Arial" w:eastAsia="Arial" w:hAnsi="Arial"/>
          <w:color w:val="2C2C2C"/>
          <w:sz w:val="21"/>
          <w:szCs w:val="21"/>
        </w:rPr>
        <w:t xml:space="preserve">Emotional governance: sentence rhythm, cognitive/body ratio, escalation verbs, TTS rhythm (max 30% sentences &gt;18 words)</w:t>
      </w:r>
    </w:p>
    <w:p>
      <w:pPr>
        <w:pStyle w:val="ListParagraph"/>
        <w:numPr>
          <w:ilvl w:val="0"/>
          <w:numId w:val="2"/>
        </w:numPr>
        <w:spacing w:after="50" w:before="50"/>
      </w:pPr>
      <w:r>
        <w:rPr>
          <w:rFonts w:ascii="Arial" w:cs="Arial" w:eastAsia="Arial" w:hAnsi="Arial"/>
          <w:color w:val="2C2C2C"/>
          <w:sz w:val="21"/>
          <w:szCs w:val="21"/>
        </w:rPr>
        <w:t xml:space="preserve">Author positioning CI: trust posture, vulnerability band, first-person density, command language caps</w:t>
      </w:r>
    </w:p>
    <w:p>
      <w:pPr>
        <w:pStyle w:val="ListParagraph"/>
        <w:numPr>
          <w:ilvl w:val="0"/>
          <w:numId w:val="2"/>
        </w:numPr>
        <w:spacing w:after="50" w:before="50"/>
      </w:pPr>
      <w:r>
        <w:rPr>
          <w:rFonts w:ascii="Arial" w:cs="Arial" w:eastAsia="Arial" w:hAnsi="Arial"/>
          <w:color w:val="2C2C2C"/>
          <w:sz w:val="21"/>
          <w:szCs w:val="21"/>
        </w:rPr>
        <w:t xml:space="preserve">Delivery gate: zero placeholders, zero markers, zero leaked metadata in rendered output</w:t>
      </w:r>
    </w:p>
    <w:p>
      <w:pPr>
        <w:pStyle w:val="ListParagraph"/>
        <w:numPr>
          <w:ilvl w:val="0"/>
          <w:numId w:val="2"/>
        </w:numPr>
        <w:spacing w:after="50" w:before="50"/>
      </w:pPr>
      <w:r>
        <w:rPr>
          <w:rFonts w:ascii="Arial" w:cs="Arial" w:eastAsia="Arial" w:hAnsi="Arial"/>
          <w:color w:val="2C2C2C"/>
          <w:sz w:val="21"/>
          <w:szCs w:val="21"/>
        </w:rPr>
        <w:t xml:space="preserve">Production readiness: 15+ CI gates before release including locale/territory consistency (Gate #49)</w:t>
      </w:r>
    </w:p>
    <w:p>
      <w:pPr>
        <w:pStyle w:val="ListParagraph"/>
        <w:numPr>
          <w:ilvl w:val="0"/>
          <w:numId w:val="2"/>
        </w:numPr>
        <w:spacing w:after="50" w:before="50"/>
      </w:pPr>
      <w:r>
        <w:rPr>
          <w:rFonts w:ascii="Arial" w:cs="Arial" w:eastAsia="Arial" w:hAnsi="Arial"/>
          <w:color w:val="2C2C2C"/>
          <w:sz w:val="21"/>
          <w:szCs w:val="21"/>
        </w:rPr>
        <w:t xml:space="preserve">10K simulation: paragraph and 6-gram collision testing before catalog scale</w:t>
      </w:r>
    </w:p>
    <w:p>
      <w:pPr>
        <w:pStyle w:val="ListParagraph"/>
        <w:numPr>
          <w:ilvl w:val="0"/>
          <w:numId w:val="2"/>
        </w:numPr>
        <w:spacing w:after="50" w:before="50"/>
      </w:pPr>
      <w:r>
        <w:rPr>
          <w:rFonts w:ascii="Arial" w:cs="Arial" w:eastAsia="Arial" w:hAnsi="Arial"/>
          <w:color w:val="2C2C2C"/>
          <w:sz w:val="21"/>
          <w:szCs w:val="21"/>
        </w:rPr>
        <w:t xml:space="preserve">Full provenance: every book carries atoms_model, atoms_root_hash, teacher/persona/format versions, structural_signature, plan_hash</w:t>
      </w:r>
    </w:p>
    <w:p>
      <w:r>
        <w:br w:type="page"/>
      </w:r>
    </w:p>
    <w:p>
      <w:pPr>
        <w:pStyle w:val="Heading1"/>
        <w:spacing w:after="160" w:before="480"/>
      </w:pPr>
      <w:r>
        <w:rPr>
          <w:rFonts w:ascii="Arial" w:cs="Arial" w:eastAsia="Arial" w:hAnsi="Arial"/>
          <w:b/>
          <w:bCs/>
          <w:color w:val="1A1A2E"/>
        </w:rPr>
        <w:t xml:space="preserve">12 Languages. One System.</w:t>
      </w:r>
    </w:p>
    <w:p>
      <w:pPr>
        <w:spacing w:after="200" w:before="0"/>
      </w:pPr>
      <w:r>
        <w:rPr>
          <w:rFonts w:ascii="Arial" w:cs="Arial" w:eastAsia="Arial" w:hAnsi="Arial"/>
          <w:color w:val="2C2C2C"/>
          <w:sz w:val="22"/>
          <w:szCs w:val="22"/>
        </w:rPr>
        <w:t xml:space="preserve">Phoenix Omega produces content in 12 locales from a single deterministic pipeline. Translation is not an afterthought — it’s a quality-contracted, CI-enforced production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60"/>
      </w:tblGrid>
      <w:tr>
        <w:tc>
          <w:tcPr>
            <w:tcW w:type="dxa" w:w="1400"/>
            <w:tcBorders>
              <w:top w:val="single" w:color="0B5563" w:sz="4"/>
              <w:left w:val="single" w:color="0B5563" w:sz="4"/>
              <w:bottom w:val="single" w:color="0B5563" w:sz="4"/>
              <w:right w:val="single" w:color="0B5563" w:sz="4"/>
            </w:tcBorders>
            <w:shd w:fill="0B5563" w:val="clear"/>
            <w:tcMar>
              <w:top w:type="dxa" w:w="100"/>
              <w:left w:type="dxa" w:w="120"/>
              <w:bottom w:type="dxa" w:w="100"/>
              <w:right w:type="dxa" w:w="80"/>
            </w:tcMar>
          </w:tcPr>
          <w:p>
            <w:r>
              <w:rPr>
                <w:rFonts w:ascii="Arial" w:cs="Arial" w:eastAsia="Arial" w:hAnsi="Arial"/>
                <w:b/>
                <w:bCs/>
                <w:color w:val="FFFFFF"/>
                <w:sz w:val="20"/>
                <w:szCs w:val="20"/>
              </w:rPr>
              <w:t xml:space="preserve">Locale</w:t>
            </w:r>
          </w:p>
        </w:tc>
        <w:tc>
          <w:tcPr>
            <w:tcW w:type="dxa" w:w="2900"/>
            <w:tcBorders>
              <w:top w:val="single" w:color="0B5563" w:sz="4"/>
              <w:left w:val="single" w:color="0B5563" w:sz="4"/>
              <w:bottom w:val="single" w:color="0B5563" w:sz="4"/>
              <w:right w:val="single" w:color="0B5563" w:sz="4"/>
            </w:tcBorders>
            <w:shd w:fill="0B5563" w:val="clear"/>
            <w:tcMar>
              <w:top w:type="dxa" w:w="100"/>
              <w:left w:type="dxa" w:w="120"/>
              <w:bottom w:type="dxa" w:w="100"/>
              <w:right w:type="dxa" w:w="80"/>
            </w:tcMar>
          </w:tcPr>
          <w:p>
            <w:r>
              <w:rPr>
                <w:rFonts w:ascii="Arial" w:cs="Arial" w:eastAsia="Arial" w:hAnsi="Arial"/>
                <w:b/>
                <w:bCs/>
                <w:color w:val="FFFFFF"/>
                <w:sz w:val="20"/>
                <w:szCs w:val="20"/>
              </w:rPr>
              <w:t xml:space="preserve">Language</w:t>
            </w:r>
          </w:p>
        </w:tc>
        <w:tc>
          <w:tcPr>
            <w:tcW w:type="dxa" w:w="5060"/>
            <w:tcBorders>
              <w:top w:val="single" w:color="0B5563" w:sz="4"/>
              <w:left w:val="single" w:color="0B5563" w:sz="4"/>
              <w:bottom w:val="single" w:color="0B5563" w:sz="4"/>
              <w:right w:val="single" w:color="0B5563" w:sz="4"/>
            </w:tcBorders>
            <w:shd w:fill="0B5563" w:val="clear"/>
            <w:tcMar>
              <w:top w:type="dxa" w:w="100"/>
              <w:left w:type="dxa" w:w="120"/>
              <w:bottom w:type="dxa" w:w="100"/>
              <w:right w:type="dxa" w:w="80"/>
            </w:tcMar>
          </w:tcPr>
          <w:p>
            <w:r>
              <w:rPr>
                <w:rFonts w:ascii="Arial" w:cs="Arial" w:eastAsia="Arial" w:hAnsi="Arial"/>
                <w:b/>
                <w:bCs/>
                <w:color w:val="FFFFFF"/>
                <w:sz w:val="20"/>
                <w:szCs w:val="20"/>
              </w:rPr>
              <w:t xml:space="preserve">Market Notes</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en-US</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English (US)</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Primary market. All 12 personas. Full catalog. 1,008-book US target.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zh-CN</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Mandarin (Simplified)</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Mainland China. Quality contracts + native prompts. Glossary-locked: 情绪健康 (not 精神健康).</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zh-TW</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Mandarin (Traditional)</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Taiwan market. Separate locale from zh-CN, zh-HK, zh-SG.</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zh-HK</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Cantonese (Traditional)</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Hong Kong. Separate tone + vocabulary from zh-TW.</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zh-SG</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Mandarin (Simplified)</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Singapore. Regional variant.</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ja-JP</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Japanese</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Japan. Native-prompt evaluation + term-lock glossary.</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ko-KR</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Korean</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South Korea. Quality-contracted native review.</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es-US</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Spanish (US)</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US Hispanic market. Distinct locale from es-ES.</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es-ES</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Spanish (Spain)</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European Spanish. Separate cadence + vocabulary.</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fr-FR</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French</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France. TTS-optimized for French prosody.</w:t>
            </w:r>
          </w:p>
        </w:tc>
      </w:tr>
      <w:tr>
        <w:tc>
          <w:tcPr>
            <w:tcW w:type="dxa" w:w="14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b/>
                <w:bCs/>
                <w:color w:val="0B5563"/>
                <w:sz w:val="19"/>
                <w:szCs w:val="19"/>
              </w:rPr>
              <w:t xml:space="preserve">de-DE</w:t>
            </w:r>
          </w:p>
        </w:tc>
        <w:tc>
          <w:tcPr>
            <w:tcW w:type="dxa" w:w="290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2C2C2C"/>
                <w:sz w:val="19"/>
                <w:szCs w:val="19"/>
              </w:rPr>
              <w:t xml:space="preserve">German</w:t>
            </w:r>
          </w:p>
        </w:tc>
        <w:tc>
          <w:tcPr>
            <w:tcW w:type="dxa" w:w="5060"/>
            <w:tcBorders>
              <w:top w:val="single" w:color="DDDDDD" w:sz="4"/>
              <w:left w:val="single" w:color="DDDDDD" w:sz="4"/>
              <w:bottom w:val="single" w:color="DDDDDD" w:sz="4"/>
              <w:right w:val="single" w:color="DDDDDD" w:sz="4"/>
            </w:tcBorders>
            <w:shd w:fill="E8F4F7" w:val="clear"/>
            <w:tcMar>
              <w:top w:type="dxa" w:w="80"/>
              <w:left w:type="dxa" w:w="120"/>
              <w:bottom w:type="dxa" w:w="80"/>
              <w:right w:type="dxa" w:w="80"/>
            </w:tcMar>
          </w:tcPr>
          <w:p>
            <w:r>
              <w:rPr>
                <w:rFonts w:ascii="Arial" w:cs="Arial" w:eastAsia="Arial" w:hAnsi="Arial"/>
                <w:color w:val="555555"/>
                <w:sz w:val="19"/>
                <w:szCs w:val="19"/>
              </w:rPr>
              <w:t xml:space="preserve">Germany. Compound-word handling in TTS prose.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0B5563"/>
                <w:sz w:val="19"/>
                <w:szCs w:val="19"/>
              </w:rPr>
              <w:t xml:space="preserve">hu-HU</w:t>
            </w:r>
          </w:p>
        </w:tc>
        <w:tc>
          <w:tcPr>
            <w:tcW w:type="dxa" w:w="2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2C2C2C"/>
                <w:sz w:val="19"/>
                <w:szCs w:val="19"/>
              </w:rPr>
              <w:t xml:space="preserve">Hungarian</w:t>
            </w:r>
          </w:p>
        </w:tc>
        <w:tc>
          <w:tcPr>
            <w:tcW w:type="dxa" w:w="5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19"/>
                <w:szCs w:val="19"/>
              </w:rPr>
              <w:t xml:space="preserve">Hungary. Agglutinative language adaptations.</w:t>
            </w:r>
          </w:p>
        </w:tc>
      </w:tr>
    </w:tbl>
    <w:p>
      <w:pPr>
        <w:spacing w:after="120" w:before="0"/>
      </w:pPr>
    </w:p>
    <w:p>
      <w:pPr>
        <w:spacing w:after="100" w:before="160"/>
      </w:pPr>
      <w:r>
        <w:rPr>
          <w:rFonts w:ascii="Arial" w:cs="Arial" w:eastAsia="Arial" w:hAnsi="Arial"/>
          <w:b/>
          <w:bCs/>
          <w:color w:val="0B5563"/>
          <w:sz w:val="24"/>
          <w:szCs w:val="24"/>
        </w:rPr>
        <w:t xml:space="preserve">Translation Quality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20"/>
            </w:tcMar>
          </w:tcPr>
          <w:p>
            <w:r>
              <w:rPr>
                <w:rFonts w:ascii="Arial" w:cs="Arial" w:eastAsia="Arial" w:hAnsi="Arial"/>
                <w:b/>
                <w:bCs/>
                <w:color w:val="FFFFFF"/>
                <w:sz w:val="20"/>
                <w:szCs w:val="20"/>
              </w:rPr>
              <w:t xml:space="preserve">Component</w:t>
            </w:r>
          </w:p>
        </w:tc>
        <w:tc>
          <w:tcPr>
            <w:tcW w:type="dxa" w:w="6560"/>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tcPr>
          <w:p>
            <w:r>
              <w:rPr>
                <w:rFonts w:ascii="Arial" w:cs="Arial" w:eastAsia="Arial" w:hAnsi="Arial"/>
                <w:b/>
                <w:bCs/>
                <w:color w:val="FFFFFF"/>
                <w:sz w:val="20"/>
                <w:szCs w:val="20"/>
              </w:rPr>
              <w:t xml:space="preserve">Details</w:t>
            </w:r>
          </w:p>
        </w:tc>
      </w:tr>
      <w:tr>
        <w:tc>
          <w:tcPr>
            <w:tcW w:type="dxa" w:w="280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20"/>
            </w:tcMar>
          </w:tcPr>
          <w:p>
            <w:r>
              <w:rPr>
                <w:rFonts w:ascii="Arial" w:cs="Arial" w:eastAsia="Arial" w:hAnsi="Arial"/>
                <w:b/>
                <w:bCs/>
                <w:color w:val="5B2D8E"/>
                <w:sz w:val="20"/>
                <w:szCs w:val="20"/>
              </w:rPr>
              <w:t xml:space="preserve">3-Phase Quality Contract</w:t>
            </w:r>
          </w:p>
        </w:tc>
        <w:tc>
          <w:tcPr>
            <w:tcW w:type="dxa" w:w="656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60"/>
            </w:tcMar>
          </w:tcPr>
          <w:p>
            <w:r>
              <w:rPr>
                <w:rFonts w:ascii="Arial" w:cs="Arial" w:eastAsia="Arial" w:hAnsi="Arial"/>
                <w:color w:val="2C2C2C"/>
                <w:sz w:val="20"/>
                <w:szCs w:val="20"/>
              </w:rPr>
              <w:t xml:space="preserve">Alpha (60% coverage, 0.70 similarity), Beta (85%, 0.80), Launch (100%, 0.90). No release without contract passage.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Glossary Enforcement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11 locked terms × 11 locales. CI validates no term drift. e.g. zh-CN: 情绪健康 required, 精神健康 forbidden.</w:t>
            </w:r>
          </w:p>
        </w:tc>
      </w:tr>
      <w:tr>
        <w:tc>
          <w:tcPr>
            <w:tcW w:type="dxa" w:w="280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20"/>
            </w:tcMar>
          </w:tcPr>
          <w:p>
            <w:r>
              <w:rPr>
                <w:rFonts w:ascii="Arial" w:cs="Arial" w:eastAsia="Arial" w:hAnsi="Arial"/>
                <w:b/>
                <w:bCs/>
                <w:color w:val="5B2D8E"/>
                <w:sz w:val="20"/>
                <w:szCs w:val="20"/>
              </w:rPr>
              <w:t xml:space="preserve">Golden Regression</w:t>
            </w:r>
          </w:p>
        </w:tc>
        <w:tc>
          <w:tcPr>
            <w:tcW w:type="dxa" w:w="656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60"/>
            </w:tcMar>
          </w:tcPr>
          <w:p>
            <w:r>
              <w:rPr>
                <w:rFonts w:ascii="Arial" w:cs="Arial" w:eastAsia="Arial" w:hAnsi="Arial"/>
                <w:color w:val="2C2C2C"/>
                <w:sz w:val="20"/>
                <w:szCs w:val="20"/>
              </w:rPr>
              <w:t xml:space="preserve">3 golden samples per locale. Character-level similarity check. Phase-based thresholds enforced.</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20"/>
            </w:tcMar>
          </w:tcPr>
          <w:p>
            <w:r>
              <w:rPr>
                <w:rFonts w:ascii="Arial" w:cs="Arial" w:eastAsia="Arial" w:hAnsi="Arial"/>
                <w:b/>
                <w:bCs/>
                <w:color w:val="5B2D8E"/>
                <w:sz w:val="20"/>
                <w:szCs w:val="20"/>
              </w:rPr>
              <w:t xml:space="preserve">Native Evaluations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4-dimension native-speaker prompts: Fluency, Register, Term Consistency, Structure. Output: locale eval artifacts.</w:t>
            </w:r>
          </w:p>
        </w:tc>
      </w:tr>
      <w:tr>
        <w:tc>
          <w:tcPr>
            <w:tcW w:type="dxa" w:w="280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20"/>
            </w:tcMar>
          </w:tcPr>
          <w:p>
            <w:r>
              <w:rPr>
                <w:rFonts w:ascii="Arial" w:cs="Arial" w:eastAsia="Arial" w:hAnsi="Arial"/>
                <w:b/>
                <w:bCs/>
                <w:color w:val="5B2D8E"/>
                <w:sz w:val="20"/>
                <w:szCs w:val="20"/>
              </w:rPr>
              <w:t xml:space="preserve">Matrix CI Pipeline</w:t>
            </w:r>
          </w:p>
        </w:tc>
        <w:tc>
          <w:tcPr>
            <w:tcW w:type="dxa" w:w="6560"/>
            <w:tcBorders>
              <w:top w:val="single" w:color="DDDDDD" w:sz="4"/>
              <w:left w:val="single" w:color="DDDDDD" w:sz="4"/>
              <w:bottom w:val="single" w:color="DDDDDD" w:sz="4"/>
              <w:right w:val="single" w:color="DDDDDD" w:sz="4"/>
            </w:tcBorders>
            <w:shd w:fill="E8F4F7" w:val="clear"/>
            <w:tcMar>
              <w:top w:type="dxa" w:w="100"/>
              <w:left w:type="dxa" w:w="160"/>
              <w:bottom w:type="dxa" w:w="100"/>
              <w:right w:type="dxa" w:w="160"/>
            </w:tcMar>
          </w:tcPr>
          <w:p>
            <w:r>
              <w:rPr>
                <w:rFonts w:ascii="Arial" w:cs="Arial" w:eastAsia="Arial" w:hAnsi="Arial"/>
                <w:color w:val="2C2C2C"/>
                <w:sz w:val="20"/>
                <w:szCs w:val="20"/>
              </w:rPr>
              <w:t xml:space="preserve">8-shard parallel translation matrix. Weekly schedule + manual dispatch. Auto-merge + validate post-job.</w:t>
            </w:r>
          </w:p>
        </w:tc>
      </w:tr>
    </w:tbl>
    <w:p>
      <w:r>
        <w:br w:type="page"/>
      </w:r>
    </w:p>
    <w:p>
      <w:pPr>
        <w:pStyle w:val="Heading1"/>
        <w:spacing w:after="160" w:before="480"/>
      </w:pPr>
      <w:r>
        <w:rPr>
          <w:rFonts w:ascii="Arial" w:cs="Arial" w:eastAsia="Arial" w:hAnsi="Arial"/>
          <w:b/>
          <w:bCs/>
          <w:color w:val="1A1A2E"/>
        </w:rPr>
        <w:t xml:space="preserve">Built for Every Major Audio Platform</w:t>
      </w:r>
    </w:p>
    <w:p>
      <w:pPr>
        <w:spacing w:after="200" w:before="0"/>
      </w:pPr>
      <w:r>
        <w:rPr>
          <w:rFonts w:ascii="Arial" w:cs="Arial" w:eastAsia="Arial" w:hAnsi="Arial"/>
          <w:color w:val="2C2C2C"/>
          <w:sz w:val="22"/>
          <w:szCs w:val="22"/>
        </w:rPr>
        <w:t xml:space="preserve">Phoenix Omega produces output that is natively compliant with platform requirements — not adapted after the fact. Prose is written for robot voice. Structure is tuned for algorithmic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860A" w:sz="4"/>
              <w:left w:val="single" w:color="D4860A" w:sz="4"/>
              <w:bottom w:val="single" w:color="D4860A" w:sz="4"/>
              <w:right w:val="single" w:color="D4860A" w:sz="4"/>
            </w:tcBorders>
            <w:shd w:fill="D4860A" w:val="clear"/>
            <w:tcMar>
              <w:top w:type="dxa" w:w="100"/>
              <w:left w:type="dxa" w:w="160"/>
              <w:bottom w:type="dxa" w:w="100"/>
              <w:right w:type="dxa" w:w="80"/>
            </w:tcMar>
          </w:tcPr>
          <w:p>
            <w:r>
              <w:rPr>
                <w:rFonts w:ascii="Arial" w:cs="Arial" w:eastAsia="Arial" w:hAnsi="Arial"/>
                <w:b/>
                <w:bCs/>
                <w:color w:val="FFFFFF"/>
                <w:sz w:val="20"/>
                <w:szCs w:val="20"/>
              </w:rPr>
              <w:t xml:space="preserve">Platform</w:t>
            </w:r>
          </w:p>
        </w:tc>
        <w:tc>
          <w:tcPr>
            <w:tcW w:type="dxa" w:w="6240"/>
            <w:tcBorders>
              <w:top w:val="single" w:color="D4860A" w:sz="4"/>
              <w:left w:val="single" w:color="D4860A" w:sz="4"/>
              <w:bottom w:val="single" w:color="D4860A" w:sz="4"/>
              <w:right w:val="single" w:color="D4860A" w:sz="4"/>
            </w:tcBorders>
            <w:shd w:fill="D4860A" w:val="clear"/>
            <w:tcMar>
              <w:top w:type="dxa" w:w="100"/>
              <w:left w:type="dxa" w:w="160"/>
              <w:bottom w:type="dxa" w:w="100"/>
              <w:right w:type="dxa" w:w="160"/>
            </w:tcMar>
          </w:tcPr>
          <w:p>
            <w:r>
              <w:rPr>
                <w:rFonts w:ascii="Arial" w:cs="Arial" w:eastAsia="Arial" w:hAnsi="Arial"/>
                <w:b/>
                <w:bCs/>
                <w:color w:val="FFFFFF"/>
                <w:sz w:val="20"/>
                <w:szCs w:val="20"/>
              </w:rPr>
              <w:t xml:space="preserve">Compliance &amp; Optimization</w:t>
            </w:r>
          </w:p>
        </w:tc>
      </w:tr>
      <w:tr>
        <w:tc>
          <w:tcPr>
            <w:tcW w:type="dxa" w:w="3120"/>
            <w:tcBorders>
              <w:top w:val="single" w:color="DDDDDD" w:sz="4"/>
              <w:left w:val="single" w:color="DDDDDD" w:sz="4"/>
              <w:bottom w:val="single" w:color="DDDDDD" w:sz="4"/>
              <w:right w:val="single" w:color="DDDDDD" w:sz="4"/>
            </w:tcBorders>
            <w:shd w:fill="FDF3DC" w:val="clear"/>
            <w:tcMar>
              <w:top w:type="dxa" w:w="100"/>
              <w:left w:type="dxa" w:w="160"/>
              <w:bottom w:type="dxa" w:w="100"/>
              <w:right w:type="dxa" w:w="80"/>
            </w:tcMar>
          </w:tcPr>
          <w:p>
            <w:r>
              <w:rPr>
                <w:rFonts w:ascii="Arial" w:cs="Arial" w:eastAsia="Arial" w:hAnsi="Arial"/>
                <w:b/>
                <w:bCs/>
                <w:color w:val="2C2C2C"/>
                <w:sz w:val="20"/>
                <w:szCs w:val="20"/>
              </w:rPr>
              <w:t xml:space="preserve">Google Play Books</w:t>
            </w:r>
          </w:p>
        </w:tc>
        <w:tc>
          <w:tcPr>
            <w:tcW w:type="dxa" w:w="6240"/>
            <w:tcBorders>
              <w:top w:val="single" w:color="DDDDDD" w:sz="4"/>
              <w:left w:val="single" w:color="DDDDDD" w:sz="4"/>
              <w:bottom w:val="single" w:color="DDDDDD" w:sz="4"/>
              <w:right w:val="single" w:color="DDDDDD" w:sz="4"/>
            </w:tcBorders>
            <w:shd w:fill="FDF3DC" w:val="clear"/>
            <w:tcMar>
              <w:top w:type="dxa" w:w="100"/>
              <w:left w:type="dxa" w:w="160"/>
              <w:bottom w:type="dxa" w:w="100"/>
              <w:right w:type="dxa" w:w="160"/>
            </w:tcMar>
          </w:tcPr>
          <w:p>
            <w:r>
              <w:rPr>
                <w:rFonts w:ascii="Arial" w:cs="Arial" w:eastAsia="Arial" w:hAnsi="Arial"/>
                <w:color w:val="2C2C2C"/>
                <w:sz w:val="20"/>
                <w:szCs w:val="20"/>
              </w:rPr>
              <w:t xml:space="preserve">Primary target. Auto-narration ready. TTS prose law enforced: no rhetorical questions, active verbs only, sentence caps, rhythm variance, paragraph breaks as breath. No AI fingerprint markers.</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80"/>
            </w:tcMar>
          </w:tcPr>
          <w:p>
            <w:r>
              <w:rPr>
                <w:rFonts w:ascii="Arial" w:cs="Arial" w:eastAsia="Arial" w:hAnsi="Arial"/>
                <w:b/>
                <w:bCs/>
                <w:color w:val="2C2C2C"/>
                <w:sz w:val="20"/>
                <w:szCs w:val="20"/>
              </w:rPr>
              <w:t xml:space="preserve">KDP / Amazon</w:t>
            </w:r>
          </w:p>
        </w:tc>
        <w:tc>
          <w:tcPr>
            <w:tcW w:type="dxa" w:w="624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Kindle + Audible. Title metadata uniqueness enforced (≥3 word difference between any two titles). Subtitle–title word overlap blocked. Consumer keyword ownership in title copy.</w:t>
            </w:r>
          </w:p>
        </w:tc>
      </w:tr>
      <w:tr>
        <w:tc>
          <w:tcPr>
            <w:tcW w:type="dxa" w:w="3120"/>
            <w:tcBorders>
              <w:top w:val="single" w:color="DDDDDD" w:sz="4"/>
              <w:left w:val="single" w:color="DDDDDD" w:sz="4"/>
              <w:bottom w:val="single" w:color="DDDDDD" w:sz="4"/>
              <w:right w:val="single" w:color="DDDDDD" w:sz="4"/>
            </w:tcBorders>
            <w:shd w:fill="FDF3DC" w:val="clear"/>
            <w:tcMar>
              <w:top w:type="dxa" w:w="100"/>
              <w:left w:type="dxa" w:w="160"/>
              <w:bottom w:type="dxa" w:w="100"/>
              <w:right w:type="dxa" w:w="80"/>
            </w:tcMar>
          </w:tcPr>
          <w:p>
            <w:r>
              <w:rPr>
                <w:rFonts w:ascii="Arial" w:cs="Arial" w:eastAsia="Arial" w:hAnsi="Arial"/>
                <w:b/>
                <w:bCs/>
                <w:color w:val="2C2C2C"/>
                <w:sz w:val="20"/>
                <w:szCs w:val="20"/>
              </w:rPr>
              <w:t xml:space="preserve">Findaway / Audible</w:t>
            </w:r>
          </w:p>
        </w:tc>
        <w:tc>
          <w:tcPr>
            <w:tcW w:type="dxa" w:w="6240"/>
            <w:tcBorders>
              <w:top w:val="single" w:color="DDDDDD" w:sz="4"/>
              <w:left w:val="single" w:color="DDDDDD" w:sz="4"/>
              <w:bottom w:val="single" w:color="DDDDDD" w:sz="4"/>
              <w:right w:val="single" w:color="DDDDDD" w:sz="4"/>
            </w:tcBorders>
            <w:shd w:fill="FDF3DC" w:val="clear"/>
            <w:tcMar>
              <w:top w:type="dxa" w:w="100"/>
              <w:left w:type="dxa" w:w="160"/>
              <w:bottom w:type="dxa" w:w="100"/>
              <w:right w:type="dxa" w:w="160"/>
            </w:tcMar>
          </w:tcPr>
          <w:p>
            <w:r>
              <w:rPr>
                <w:rFonts w:ascii="Arial" w:cs="Arial" w:eastAsia="Arial" w:hAnsi="Arial"/>
                <w:color w:val="2C2C2C"/>
                <w:sz w:val="20"/>
                <w:szCs w:val="20"/>
              </w:rPr>
              <w:t xml:space="preserve">Wide distribution. TTS MP3 asset pipeline: html, pdf, epub, mp3 freebie output formats. Staggered wave upload. Adaptive throttle when quality metrics decline.</w:t>
            </w:r>
          </w:p>
        </w:tc>
      </w:tr>
    </w:tbl>
    <w:p>
      <w:pPr>
        <w:spacing w:after="160" w:before="0"/>
      </w:pPr>
    </w:p>
    <w:p>
      <w:pPr>
        <w:pStyle w:val="Heading2"/>
        <w:spacing w:after="120" w:before="280"/>
      </w:pPr>
      <w:r>
        <w:rPr>
          <w:rFonts w:ascii="Arial" w:cs="Arial" w:eastAsia="Arial" w:hAnsi="Arial"/>
          <w:b/>
          <w:bCs/>
          <w:color w:val="5B2D8E"/>
        </w:rPr>
        <w:t xml:space="preserve">TTS-First Prose: Why It Matters</w:t>
      </w:r>
    </w:p>
    <w:p>
      <w:pPr>
        <w:spacing w:after="80" w:before="0"/>
      </w:pPr>
      <w:r>
        <w:rPr>
          <w:rFonts w:ascii="Arial" w:cs="Arial" w:eastAsia="Arial" w:hAnsi="Arial"/>
          <w:color w:val="2C2C2C"/>
          <w:sz w:val="22"/>
          <w:szCs w:val="22"/>
        </w:rPr>
        <w:t xml:space="preserve">Google Play auto-narration has zero vocal performance control. The robot reads what’s written with no emphasis, no pause interpretation, no human warmth. That means 100% of emotional weight comes from how the sentence is structured.</w:t>
      </w:r>
    </w:p>
    <w:p>
      <w:pPr>
        <w:spacing w:after="80" w:before="0"/>
      </w:pPr>
      <w:r>
        <w:rPr>
          <w:rFonts w:ascii="Arial" w:cs="Arial" w:eastAsia="Arial" w:hAnsi="Arial"/>
          <w:color w:val="2C2C2C"/>
          <w:sz w:val="22"/>
          <w:szCs w:val="22"/>
        </w:rPr>
        <w:t xml:space="preserve">Phoenix Omega enforces TTS prose law at the CI level:</w:t>
      </w:r>
    </w:p>
    <w:p>
      <w:pPr>
        <w:pStyle w:val="ListParagraph"/>
        <w:numPr>
          <w:ilvl w:val="0"/>
          <w:numId w:val="2"/>
        </w:numPr>
        <w:spacing w:after="50" w:before="50"/>
      </w:pPr>
      <w:r>
        <w:rPr>
          <w:rFonts w:ascii="Arial" w:cs="Arial" w:eastAsia="Arial" w:hAnsi="Arial"/>
          <w:color w:val="2C2C2C"/>
          <w:sz w:val="21"/>
          <w:szCs w:val="21"/>
        </w:rPr>
        <w:t xml:space="preserve">No rhetorical questions (they flatten in monotone, they don’t land)</w:t>
      </w:r>
    </w:p>
    <w:p>
      <w:pPr>
        <w:pStyle w:val="ListParagraph"/>
        <w:numPr>
          <w:ilvl w:val="0"/>
          <w:numId w:val="2"/>
        </w:numPr>
        <w:spacing w:after="50" w:before="50"/>
      </w:pPr>
      <w:r>
        <w:rPr>
          <w:rFonts w:ascii="Arial" w:cs="Arial" w:eastAsia="Arial" w:hAnsi="Arial"/>
          <w:color w:val="2C2C2C"/>
          <w:sz w:val="21"/>
          <w:szCs w:val="21"/>
        </w:rPr>
        <w:t xml:space="preserve">Active verbs only — passive voice dissolves in TTS</w:t>
      </w:r>
    </w:p>
    <w:p>
      <w:pPr>
        <w:pStyle w:val="ListParagraph"/>
        <w:numPr>
          <w:ilvl w:val="0"/>
          <w:numId w:val="2"/>
        </w:numPr>
        <w:spacing w:after="50" w:before="50"/>
      </w:pPr>
      <w:r>
        <w:rPr>
          <w:rFonts w:ascii="Arial" w:cs="Arial" w:eastAsia="Arial" w:hAnsi="Arial"/>
          <w:color w:val="2C2C2C"/>
          <w:sz w:val="21"/>
          <w:szCs w:val="21"/>
        </w:rPr>
        <w:t xml:space="preserve">Sentence length caps: max 30% of sentences &gt;18 words — or it fails</w:t>
      </w:r>
    </w:p>
    <w:p>
      <w:pPr>
        <w:pStyle w:val="ListParagraph"/>
        <w:numPr>
          <w:ilvl w:val="0"/>
          <w:numId w:val="2"/>
        </w:numPr>
        <w:spacing w:after="50" w:before="50"/>
      </w:pPr>
      <w:r>
        <w:rPr>
          <w:rFonts w:ascii="Arial" w:cs="Arial" w:eastAsia="Arial" w:hAnsi="Arial"/>
          <w:color w:val="2C2C2C"/>
          <w:sz w:val="21"/>
          <w:szCs w:val="21"/>
        </w:rPr>
        <w:t xml:space="preserve">Max 2 questions per chapter (CI-enforced)</w:t>
      </w:r>
    </w:p>
    <w:p>
      <w:pPr>
        <w:pStyle w:val="ListParagraph"/>
        <w:numPr>
          <w:ilvl w:val="0"/>
          <w:numId w:val="2"/>
        </w:numPr>
        <w:spacing w:after="50" w:before="50"/>
      </w:pPr>
      <w:r>
        <w:rPr>
          <w:rFonts w:ascii="Arial" w:cs="Arial" w:eastAsia="Arial" w:hAnsi="Arial"/>
          <w:color w:val="2C2C2C"/>
          <w:sz w:val="21"/>
          <w:szCs w:val="21"/>
        </w:rPr>
        <w:t xml:space="preserve">Strategic repetition for rhythm: different words, same idea, builds resonance</w:t>
      </w:r>
    </w:p>
    <w:p>
      <w:pPr>
        <w:pStyle w:val="ListParagraph"/>
        <w:numPr>
          <w:ilvl w:val="0"/>
          <w:numId w:val="2"/>
        </w:numPr>
        <w:spacing w:after="50" w:before="50"/>
      </w:pPr>
      <w:r>
        <w:rPr>
          <w:rFonts w:ascii="Arial" w:cs="Arial" w:eastAsia="Arial" w:hAnsi="Arial"/>
          <w:color w:val="2C2C2C"/>
          <w:sz w:val="21"/>
          <w:szCs w:val="21"/>
        </w:rPr>
        <w:t xml:space="preserve">Paragraph breaks function as breath — not just visual formatting</w:t>
      </w:r>
    </w:p>
    <w:p>
      <w:pPr>
        <w:pStyle w:val="ListParagraph"/>
        <w:numPr>
          <w:ilvl w:val="0"/>
          <w:numId w:val="2"/>
        </w:numPr>
        <w:spacing w:after="50" w:before="50"/>
      </w:pPr>
      <w:r>
        <w:rPr>
          <w:rFonts w:ascii="Arial" w:cs="Arial" w:eastAsia="Arial" w:hAnsi="Arial"/>
          <w:color w:val="2C2C2C"/>
          <w:sz w:val="21"/>
          <w:szCs w:val="21"/>
        </w:rPr>
        <w:t xml:space="preserve">Sensory words required (≥2 per chapter): body state anchors emotional transmission</w:t>
      </w:r>
    </w:p>
    <w:p>
      <w:r>
        <w:br w:type="page"/>
      </w:r>
    </w:p>
    <w:p>
      <w:pPr>
        <w:pStyle w:val="Heading1"/>
        <w:spacing w:after="160" w:before="480"/>
      </w:pPr>
      <w:r>
        <w:rPr>
          <w:rFonts w:ascii="Arial" w:cs="Arial" w:eastAsia="Arial" w:hAnsi="Arial"/>
          <w:b/>
          <w:bCs/>
          <w:color w:val="1A1A2E"/>
        </w:rPr>
        <w:t xml:space="preserve">Enlightened Intelligence (EI)</w:t>
      </w:r>
    </w:p>
    <w:p>
      <w:pPr>
        <w:spacing w:after="200" w:before="0"/>
      </w:pPr>
      <w:r>
        <w:rPr>
          <w:rFonts w:ascii="Arial" w:cs="Arial" w:eastAsia="Arial" w:hAnsi="Arial"/>
          <w:color w:val="2C2C2C"/>
          <w:sz w:val="22"/>
          <w:szCs w:val="22"/>
        </w:rPr>
        <w:t xml:space="preserve">EI is the atom scoring and selection layer that ensures the best-fit content reaches each book — without replacing the deterministic system’s structure. Two versions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D1B69" w:sz="4"/>
              <w:left w:val="single" w:color="2D1B69" w:sz="4"/>
              <w:bottom w:val="single" w:color="2D1B69" w:sz="4"/>
              <w:right w:val="single" w:color="2D1B69" w:sz="4"/>
            </w:tcBorders>
            <w:shd w:fill="2D1B69" w:val="clear"/>
            <w:tcMar>
              <w:top w:type="dxa" w:w="200"/>
              <w:left w:type="dxa" w:w="220"/>
              <w:bottom w:type="dxa" w:w="200"/>
              <w:right w:type="dxa" w:w="180"/>
            </w:tcMar>
          </w:tcPr>
          <w:p>
            <w:pPr>
              <w:spacing w:after="80" w:before="0"/>
            </w:pPr>
            <w:r>
              <w:rPr>
                <w:rFonts w:ascii="Arial" w:cs="Arial" w:eastAsia="Arial" w:hAnsi="Arial"/>
                <w:b/>
                <w:bCs/>
                <w:color w:val="FFFFFF"/>
                <w:sz w:val="24"/>
                <w:szCs w:val="24"/>
              </w:rPr>
              <w:t xml:space="preserve">EI V1 — Heuristic Scoring</w:t>
            </w:r>
          </w:p>
          <w:p>
            <w:pPr>
              <w:spacing w:after="80" w:before="0"/>
            </w:pPr>
            <w:r>
              <w:rPr>
                <w:rFonts w:ascii="Arial" w:cs="Arial" w:eastAsia="Arial" w:hAnsi="Arial"/>
                <w:i/>
                <w:iCs/>
                <w:color w:val="CCCCCC"/>
                <w:sz w:val="19"/>
                <w:szCs w:val="19"/>
              </w:rPr>
              <w:t xml:space="preserve">Production. In-use now.</w:t>
            </w:r>
          </w:p>
          <w:p>
            <w:pPr>
              <w:spacing w:after="60" w:before="0"/>
            </w:pPr>
            <w:r>
              <w:rPr>
                <w:rFonts w:ascii="Arial" w:cs="Arial" w:eastAsia="Arial" w:hAnsi="Arial"/>
                <w:color w:val="FFFFFF"/>
                <w:sz w:val="20"/>
                <w:szCs w:val="20"/>
              </w:rPr>
              <w:t xml:space="preserve">Five weighted dimensions:</w:t>
            </w:r>
          </w:p>
          <w:p>
            <w:pPr>
              <w:pStyle w:val="ListParagraph"/>
              <w:numPr>
                <w:ilvl w:val="0"/>
                <w:numId w:val="2"/>
              </w:numPr>
              <w:spacing w:after="30" w:before="30"/>
            </w:pPr>
            <w:r>
              <w:rPr>
                <w:rFonts w:ascii="Arial" w:cs="Arial" w:eastAsia="Arial" w:hAnsi="Arial"/>
                <w:color w:val="DDDDDD"/>
                <w:sz w:val="19"/>
                <w:szCs w:val="19"/>
              </w:rPr>
              <w:t xml:space="preserve">Somatic density × 0.25</w:t>
            </w:r>
          </w:p>
          <w:p>
            <w:pPr>
              <w:pStyle w:val="ListParagraph"/>
              <w:numPr>
                <w:ilvl w:val="0"/>
                <w:numId w:val="2"/>
              </w:numPr>
              <w:spacing w:after="30" w:before="30"/>
            </w:pPr>
            <w:r>
              <w:rPr>
                <w:rFonts w:ascii="Arial" w:cs="Arial" w:eastAsia="Arial" w:hAnsi="Arial"/>
                <w:color w:val="DDDDDD"/>
                <w:sz w:val="19"/>
                <w:szCs w:val="19"/>
              </w:rPr>
              <w:t xml:space="preserve">Concreteness × 0.25</w:t>
            </w:r>
          </w:p>
          <w:p>
            <w:pPr>
              <w:pStyle w:val="ListParagraph"/>
              <w:numPr>
                <w:ilvl w:val="0"/>
                <w:numId w:val="2"/>
              </w:numPr>
              <w:spacing w:after="30" w:before="30"/>
            </w:pPr>
            <w:r>
              <w:rPr>
                <w:rFonts w:ascii="Arial" w:cs="Arial" w:eastAsia="Arial" w:hAnsi="Arial"/>
                <w:color w:val="DDDDDD"/>
                <w:sz w:val="19"/>
                <w:szCs w:val="19"/>
              </w:rPr>
              <w:t xml:space="preserve">Thesis clarity × 0.35</w:t>
            </w:r>
          </w:p>
          <w:p>
            <w:pPr>
              <w:pStyle w:val="ListParagraph"/>
              <w:numPr>
                <w:ilvl w:val="0"/>
                <w:numId w:val="2"/>
              </w:numPr>
              <w:spacing w:after="30" w:before="30"/>
            </w:pPr>
            <w:r>
              <w:rPr>
                <w:rFonts w:ascii="Arial" w:cs="Arial" w:eastAsia="Arial" w:hAnsi="Arial"/>
                <w:color w:val="DDDDDD"/>
                <w:sz w:val="19"/>
                <w:szCs w:val="19"/>
              </w:rPr>
              <w:t xml:space="preserve">Risk penalty × −0.25</w:t>
            </w:r>
          </w:p>
          <w:p>
            <w:pPr>
              <w:pStyle w:val="ListParagraph"/>
              <w:numPr>
                <w:ilvl w:val="0"/>
                <w:numId w:val="2"/>
              </w:numPr>
              <w:spacing w:after="30" w:before="30"/>
            </w:pPr>
            <w:r>
              <w:rPr>
                <w:rFonts w:ascii="Arial" w:cs="Arial" w:eastAsia="Arial" w:hAnsi="Arial"/>
                <w:color w:val="DDDDDD"/>
                <w:sz w:val="19"/>
                <w:szCs w:val="19"/>
              </w:rPr>
              <w:t xml:space="preserve">Teacher penalty × −0.10</w:t>
            </w:r>
          </w:p>
          <w:p>
            <w:pPr>
              <w:spacing w:before="100"/>
            </w:pPr>
            <w:r>
              <w:rPr>
                <w:rFonts w:ascii="Arial" w:cs="Arial" w:eastAsia="Arial" w:hAnsi="Arial"/>
                <w:color w:val="BBBBBB"/>
                <w:sz w:val="19"/>
                <w:szCs w:val="19"/>
              </w:rPr>
              <w:t xml:space="preserve">Score determines atom pool ranking for Stage 3 slot selection. Fully deterministic given same inputs.</w:t>
            </w:r>
          </w:p>
        </w:tc>
        <w:tc>
          <w:tcPr>
            <w:tcW w:type="dxa" w:w="4680"/>
            <w:tcBorders>
              <w:top w:val="single" w:color="DDDDDD" w:sz="4"/>
              <w:left w:val="single" w:color="DDDDDD" w:sz="4"/>
              <w:bottom w:val="single" w:color="DDDDDD" w:sz="4"/>
              <w:right w:val="single" w:color="DDDDDD" w:sz="4"/>
            </w:tcBorders>
            <w:shd w:fill="F0EBF8" w:val="clear"/>
            <w:tcMar>
              <w:top w:type="dxa" w:w="200"/>
              <w:left w:type="dxa" w:w="220"/>
              <w:bottom w:type="dxa" w:w="200"/>
              <w:right w:type="dxa" w:w="180"/>
            </w:tcMar>
          </w:tcPr>
          <w:p>
            <w:pPr>
              <w:spacing w:after="80" w:before="0"/>
            </w:pPr>
            <w:r>
              <w:rPr>
                <w:rFonts w:ascii="Arial" w:cs="Arial" w:eastAsia="Arial" w:hAnsi="Arial"/>
                <w:b/>
                <w:bCs/>
                <w:color w:val="1A1A2E"/>
                <w:sz w:val="24"/>
                <w:szCs w:val="24"/>
              </w:rPr>
              <w:t xml:space="preserve">EI V2 — AI-Enhanced Modules</w:t>
            </w:r>
          </w:p>
          <w:p>
            <w:pPr>
              <w:spacing w:after="80" w:before="0"/>
            </w:pPr>
            <w:r>
              <w:rPr>
                <w:rFonts w:ascii="Arial" w:cs="Arial" w:eastAsia="Arial" w:hAnsi="Arial"/>
                <w:i/>
                <w:iCs/>
                <w:color w:val="555555"/>
                <w:sz w:val="19"/>
                <w:szCs w:val="19"/>
              </w:rPr>
              <w:t xml:space="preserve">Advisory. Parallel to V1. Never overrides production.</w:t>
            </w:r>
          </w:p>
          <w:p>
            <w:pPr>
              <w:spacing w:after="60" w:before="0"/>
            </w:pPr>
            <w:r>
              <w:rPr>
                <w:rFonts w:ascii="Arial" w:cs="Arial" w:eastAsia="Arial" w:hAnsi="Arial"/>
                <w:color w:val="2C2C2C"/>
                <w:sz w:val="20"/>
                <w:szCs w:val="20"/>
              </w:rPr>
              <w:t xml:space="preserve">Six AI modules:</w:t>
            </w:r>
          </w:p>
          <w:p>
            <w:pPr>
              <w:spacing w:after="40" w:before="40"/>
            </w:pPr>
            <w:r>
              <w:rPr>
                <w:rFonts w:ascii="Arial" w:cs="Arial" w:eastAsia="Arial" w:hAnsi="Arial"/>
                <w:b/>
                <w:bCs/>
                <w:color w:val="5B2D8E"/>
                <w:sz w:val="19"/>
                <w:szCs w:val="19"/>
              </w:rPr>
              <w:t xml:space="preserve">Cross-encoder reranking: </w:t>
            </w:r>
            <w:r>
              <w:rPr>
                <w:rFonts w:ascii="Arial" w:cs="Arial" w:eastAsia="Arial" w:hAnsi="Arial"/>
                <w:color w:val="2C2C2C"/>
                <w:sz w:val="19"/>
                <w:szCs w:val="19"/>
              </w:rPr>
              <w:t xml:space="preserve">Contextual atom relevance vs. arc position</w:t>
            </w:r>
          </w:p>
          <w:p>
            <w:pPr>
              <w:spacing w:after="40" w:before="40"/>
            </w:pPr>
            <w:r>
              <w:rPr>
                <w:rFonts w:ascii="Arial" w:cs="Arial" w:eastAsia="Arial" w:hAnsi="Arial"/>
                <w:b/>
                <w:bCs/>
                <w:color w:val="5B2D8E"/>
                <w:sz w:val="19"/>
                <w:szCs w:val="19"/>
              </w:rPr>
              <w:t xml:space="preserve">Domain embeddings: </w:t>
            </w:r>
            <w:r>
              <w:rPr>
                <w:rFonts w:ascii="Arial" w:cs="Arial" w:eastAsia="Arial" w:hAnsi="Arial"/>
                <w:color w:val="2C2C2C"/>
                <w:sz w:val="19"/>
                <w:szCs w:val="19"/>
              </w:rPr>
              <w:t xml:space="preserve">Therapeutic topic semantic clustering</w:t>
            </w:r>
          </w:p>
          <w:p>
            <w:pPr>
              <w:spacing w:after="40" w:before="40"/>
            </w:pPr>
            <w:r>
              <w:rPr>
                <w:rFonts w:ascii="Arial" w:cs="Arial" w:eastAsia="Arial" w:hAnsi="Arial"/>
                <w:b/>
                <w:bCs/>
                <w:color w:val="5B2D8E"/>
                <w:sz w:val="19"/>
                <w:szCs w:val="19"/>
              </w:rPr>
              <w:t xml:space="preserve">Few-shot safety classifiers: </w:t>
            </w:r>
            <w:r>
              <w:rPr>
                <w:rFonts w:ascii="Arial" w:cs="Arial" w:eastAsia="Arial" w:hAnsi="Arial"/>
                <w:color w:val="2C2C2C"/>
                <w:sz w:val="19"/>
                <w:szCs w:val="19"/>
              </w:rPr>
              <w:t xml:space="preserve">Flags edge-case doctrine violations</w:t>
            </w:r>
          </w:p>
          <w:p>
            <w:pPr>
              <w:spacing w:after="40" w:before="40"/>
            </w:pPr>
            <w:r>
              <w:rPr>
                <w:rFonts w:ascii="Arial" w:cs="Arial" w:eastAsia="Arial" w:hAnsi="Arial"/>
                <w:b/>
                <w:bCs/>
                <w:color w:val="5B2D8E"/>
                <w:sz w:val="19"/>
                <w:szCs w:val="19"/>
              </w:rPr>
              <w:t xml:space="preserve">Semantic deduplication: </w:t>
            </w:r>
            <w:r>
              <w:rPr>
                <w:rFonts w:ascii="Arial" w:cs="Arial" w:eastAsia="Arial" w:hAnsi="Arial"/>
                <w:color w:val="2C2C2C"/>
                <w:sz w:val="19"/>
                <w:szCs w:val="19"/>
              </w:rPr>
              <w:t xml:space="preserve">Prevents near-clone atoms in same book</w:t>
            </w:r>
          </w:p>
          <w:p>
            <w:pPr>
              <w:spacing w:after="40" w:before="40"/>
            </w:pPr>
            <w:r>
              <w:rPr>
                <w:rFonts w:ascii="Arial" w:cs="Arial" w:eastAsia="Arial" w:hAnsi="Arial"/>
                <w:b/>
                <w:bCs/>
                <w:color w:val="5B2D8E"/>
                <w:sz w:val="19"/>
                <w:szCs w:val="19"/>
              </w:rPr>
              <w:t xml:space="preserve">Emotion arc validation: </w:t>
            </w:r>
            <w:r>
              <w:rPr>
                <w:rFonts w:ascii="Arial" w:cs="Arial" w:eastAsia="Arial" w:hAnsi="Arial"/>
                <w:color w:val="2C2C2C"/>
                <w:sz w:val="19"/>
                <w:szCs w:val="19"/>
              </w:rPr>
              <w:t xml:space="preserve">Validates band curve against arc intent</w:t>
            </w:r>
          </w:p>
          <w:p>
            <w:pPr>
              <w:spacing w:after="40" w:before="40"/>
            </w:pPr>
            <w:r>
              <w:rPr>
                <w:rFonts w:ascii="Arial" w:cs="Arial" w:eastAsia="Arial" w:hAnsi="Arial"/>
                <w:b/>
                <w:bCs/>
                <w:color w:val="5B2D8E"/>
                <w:sz w:val="19"/>
                <w:szCs w:val="19"/>
              </w:rPr>
              <w:t xml:space="preserve">TTS readability scorer: </w:t>
            </w:r>
            <w:r>
              <w:rPr>
                <w:rFonts w:ascii="Arial" w:cs="Arial" w:eastAsia="Arial" w:hAnsi="Arial"/>
                <w:color w:val="2C2C2C"/>
                <w:sz w:val="19"/>
                <w:szCs w:val="19"/>
              </w:rPr>
              <w:t xml:space="preserve">Predicts robot-voice clarity before compile</w:t>
            </w:r>
          </w:p>
        </w:tc>
      </w:tr>
    </w:tbl>
    <w:p>
      <w:pPr>
        <w:spacing w:after="200" w:before="0"/>
      </w:pPr>
    </w:p>
    <w:p>
      <w:r>
        <w:br w:type="page"/>
      </w:r>
    </w:p>
    <w:p>
      <w:pPr>
        <w:pStyle w:val="Heading1"/>
        <w:spacing w:after="160" w:before="480"/>
      </w:pPr>
      <w:r>
        <w:rPr>
          <w:rFonts w:ascii="Arial" w:cs="Arial" w:eastAsia="Arial" w:hAnsi="Arial"/>
          <w:b/>
          <w:bCs/>
          <w:color w:val="1A1A2E"/>
        </w:rPr>
        <w:t xml:space="preserve">The Therapeutic &amp; Spiritual System</w:t>
      </w:r>
    </w:p>
    <w:p>
      <w:pPr>
        <w:spacing w:after="200" w:before="0"/>
      </w:pPr>
      <w:r>
        <w:rPr>
          <w:rFonts w:ascii="Arial" w:cs="Arial" w:eastAsia="Arial" w:hAnsi="Arial"/>
          <w:color w:val="2C2C2C"/>
          <w:sz w:val="22"/>
          <w:szCs w:val="22"/>
        </w:rPr>
        <w:t xml:space="preserve">Phoenix Omega isn’t selling motivation. It’s delivering something harder and more lasting: recognition, nervous system regulation, and genuine shift. Here’s the doctrine that underlies every book.</w:t>
      </w:r>
    </w:p>
    <w:p>
      <w:pPr>
        <w:pStyle w:val="Heading2"/>
        <w:spacing w:after="120" w:before="280"/>
      </w:pPr>
      <w:r>
        <w:rPr>
          <w:rFonts w:ascii="Arial" w:cs="Arial" w:eastAsia="Arial" w:hAnsi="Arial"/>
          <w:b/>
          <w:bCs/>
          <w:color w:val="5B2D8E"/>
        </w:rPr>
        <w:t xml:space="preserve">Recognition Before Relief</w:t>
      </w:r>
    </w:p>
    <w:p>
      <w:pPr>
        <w:spacing w:after="80" w:before="0"/>
      </w:pPr>
      <w:r>
        <w:rPr>
          <w:rFonts w:ascii="Arial" w:cs="Arial" w:eastAsia="Arial" w:hAnsi="Arial"/>
          <w:color w:val="2C2C2C"/>
          <w:sz w:val="22"/>
          <w:szCs w:val="22"/>
        </w:rPr>
        <w:t xml:space="preserve">The first 20–30 seconds of every book must make the listener think: this is about me. Not inspired by me. Not vaguely relevant. Me.</w:t>
      </w:r>
    </w:p>
    <w:p>
      <w:pPr>
        <w:spacing w:after="120" w:before="0"/>
      </w:pPr>
      <w:r>
        <w:rPr>
          <w:rFonts w:ascii="Arial" w:cs="Arial" w:eastAsia="Arial" w:hAnsi="Arial"/>
          <w:i/>
          <w:iCs/>
          <w:color w:val="555555"/>
          <w:sz w:val="22"/>
          <w:szCs w:val="22"/>
        </w:rPr>
        <w:t xml:space="preserve">This is enforced architecturally. HOOK atoms are distinct from SCENE and STORY atoms. They exist only to trigger recognition — before any teaching begins, before any exercise is offered, before any insight is named. A chapter that jumps straight to advice fails the recognition test. The CI catches it.</w:t>
      </w:r>
    </w:p>
    <w:p>
      <w:pPr>
        <w:pStyle w:val="Heading2"/>
        <w:spacing w:after="120" w:before="280"/>
      </w:pPr>
      <w:r>
        <w:rPr>
          <w:rFonts w:ascii="Arial" w:cs="Arial" w:eastAsia="Arial" w:hAnsi="Arial"/>
          <w:b/>
          <w:bCs/>
          <w:color w:val="5B2D8E"/>
        </w:rPr>
        <w:t xml:space="preserve">Nervous System, Not Symptoms</w:t>
      </w:r>
    </w:p>
    <w:p>
      <w:pPr>
        <w:spacing w:after="80" w:before="0"/>
      </w:pPr>
      <w:r>
        <w:rPr>
          <w:rFonts w:ascii="Arial" w:cs="Arial" w:eastAsia="Arial" w:hAnsi="Arial"/>
          <w:color w:val="2C2C2C"/>
          <w:sz w:val="22"/>
          <w:szCs w:val="22"/>
        </w:rPr>
        <w:t xml:space="preserve">The doctrine is clear: name what’s happening without judging it. “Your nervous system does not distinguish threats.” Not: “You have anxiety.” No DSM language. No pathologizing. No cure claims.</w:t>
      </w:r>
    </w:p>
    <w:p>
      <w:pPr>
        <w:spacing w:after="120" w:before="0"/>
      </w:pPr>
      <w:r>
        <w:rPr>
          <w:rFonts w:ascii="Arial" w:cs="Arial" w:eastAsia="Arial" w:hAnsi="Arial"/>
          <w:color w:val="2C2C2C"/>
          <w:sz w:val="22"/>
          <w:szCs w:val="22"/>
        </w:rPr>
        <w:t xml:space="preserve">This makes the system unusually safe. Medical claim hard-block is CI-enforced. Forbidden terms are topic-specific and auto-checked. Required disclaimers auto-insert. The system cannot ship a book that crosses clinical lines.</w:t>
      </w:r>
    </w:p>
    <w:p>
      <w:pPr>
        <w:pStyle w:val="Heading2"/>
        <w:spacing w:after="120" w:before="280"/>
      </w:pPr>
      <w:r>
        <w:rPr>
          <w:rFonts w:ascii="Arial" w:cs="Arial" w:eastAsia="Arial" w:hAnsi="Arial"/>
          <w:b/>
          <w:bCs/>
          <w:color w:val="5B2D8E"/>
        </w:rPr>
        <w:t xml:space="preserve">Story as Mechanism, Not Illustration</w:t>
      </w:r>
    </w:p>
    <w:p>
      <w:pPr>
        <w:spacing w:after="80" w:before="0"/>
      </w:pPr>
      <w:r>
        <w:rPr>
          <w:rFonts w:ascii="Arial" w:cs="Arial" w:eastAsia="Arial" w:hAnsi="Arial"/>
          <w:color w:val="2C2C2C"/>
          <w:sz w:val="22"/>
          <w:szCs w:val="22"/>
        </w:rPr>
        <w:t xml:space="preserve">STORY atoms don’t explain the book’s thesis. They show the mechanism working in a real human moment: inciting incident → cause-effect → turning point → cost. No teaching happens inside the story. No labels. No resolution.</w:t>
      </w:r>
    </w:p>
    <w:p>
      <w:pPr>
        <w:spacing w:after="120" w:before="0"/>
      </w:pPr>
      <w:r>
        <w:rPr>
          <w:rFonts w:ascii="Arial" w:cs="Arial" w:eastAsia="Arial" w:hAnsi="Arial"/>
          <w:color w:val="2C2C2C"/>
          <w:sz w:val="22"/>
          <w:szCs w:val="22"/>
        </w:rPr>
        <w:t xml:space="preserve">The story earns the reflection that follows. The reflection earns the exercise. The exercise earns the integration. The book moves from something → to something. No filler. No circles.</w:t>
      </w:r>
    </w:p>
    <w:p>
      <w:pPr>
        <w:pStyle w:val="Heading2"/>
        <w:spacing w:after="120" w:before="280"/>
      </w:pPr>
      <w:r>
        <w:rPr>
          <w:rFonts w:ascii="Arial" w:cs="Arial" w:eastAsia="Arial" w:hAnsi="Arial"/>
          <w:b/>
          <w:bCs/>
          <w:color w:val="5B2D8E"/>
        </w:rPr>
        <w:t xml:space="preserve">Somatic Grounding in Every Chapter</w:t>
      </w:r>
    </w:p>
    <w:p>
      <w:pPr>
        <w:spacing w:after="80" w:before="0"/>
      </w:pPr>
      <w:r>
        <w:rPr>
          <w:rFonts w:ascii="Arial" w:cs="Arial" w:eastAsia="Arial" w:hAnsi="Arial"/>
          <w:color w:val="2C2C2C"/>
          <w:sz w:val="22"/>
          <w:szCs w:val="22"/>
        </w:rPr>
        <w:t xml:space="preserve">Abstract emotional states vanish in TTS. The doctrine requires every emotional moment to be grounded in a concrete body state or sensory detail. The exercise that follows is always linked to the story before it. It produces a felt shift, not a performed one.</w:t>
      </w:r>
    </w:p>
    <w:p>
      <w:pPr>
        <w:spacing w:after="120" w:before="0"/>
      </w:pPr>
      <w:r>
        <w:rPr>
          <w:rFonts w:ascii="Arial" w:cs="Arial" w:eastAsia="Arial" w:hAnsi="Arial"/>
          <w:color w:val="2C2C2C"/>
          <w:sz w:val="22"/>
          <w:szCs w:val="22"/>
        </w:rPr>
        <w:t xml:space="preserve">Exercises are framed with explicit consent: no outcome pressure, opt-out language, “signal not solution.” No forcing. No performing. No toxic positivity.</w:t>
      </w:r>
    </w:p>
    <w:p>
      <w:pPr>
        <w:pStyle w:val="Heading2"/>
        <w:spacing w:after="120" w:before="280"/>
      </w:pPr>
      <w:r>
        <w:rPr>
          <w:rFonts w:ascii="Arial" w:cs="Arial" w:eastAsia="Arial" w:hAnsi="Arial"/>
          <w:b/>
          <w:bCs/>
          <w:color w:val="5B2D8E"/>
        </w:rPr>
        <w:t xml:space="preserve">What the Listener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80"/>
            </w:tcMar>
          </w:tcPr>
          <w:p>
            <w:r>
              <w:rPr>
                <w:rFonts w:ascii="Arial" w:cs="Arial" w:eastAsia="Arial" w:hAnsi="Arial"/>
                <w:b/>
                <w:bCs/>
                <w:color w:val="FFFFFF"/>
                <w:sz w:val="20"/>
                <w:szCs w:val="20"/>
              </w:rPr>
              <w:t xml:space="preserve">Emotional Journey</w:t>
            </w:r>
          </w:p>
        </w:tc>
        <w:tc>
          <w:tcPr>
            <w:tcW w:type="dxa" w:w="6240"/>
            <w:tcBorders>
              <w:top w:val="single" w:color="DDDDDD" w:sz="4"/>
              <w:left w:val="single" w:color="DDDDDD" w:sz="4"/>
              <w:bottom w:val="single" w:color="DDDDDD" w:sz="4"/>
              <w:right w:val="single" w:color="DDDDDD" w:sz="4"/>
            </w:tcBorders>
            <w:shd w:fill="EFF5EF" w:val="clear"/>
            <w:tcMar>
              <w:top w:type="dxa" w:w="100"/>
              <w:left w:type="dxa" w:w="160"/>
              <w:bottom w:type="dxa" w:w="100"/>
              <w:right w:type="dxa" w:w="160"/>
            </w:tcMar>
          </w:tcPr>
          <w:p>
            <w:r>
              <w:rPr>
                <w:rFonts w:ascii="Arial" w:cs="Arial" w:eastAsia="Arial" w:hAnsi="Arial"/>
                <w:color w:val="2C2C2C"/>
                <w:sz w:val="20"/>
                <w:szCs w:val="20"/>
              </w:rPr>
              <w:t xml:space="preserve">Recognition → Destabilization → Reframe → Stabilization → Integration. Arc-defined, chapter-mapped, emotionally governed.</w:t>
            </w:r>
          </w:p>
        </w:tc>
      </w:tr>
      <w:tr>
        <w:tc>
          <w:tcPr>
            <w:tcW w:type="dxa" w:w="312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80"/>
            </w:tcMar>
          </w:tcPr>
          <w:p>
            <w:r>
              <w:rPr>
                <w:rFonts w:ascii="Arial" w:cs="Arial" w:eastAsia="Arial" w:hAnsi="Arial"/>
                <w:b/>
                <w:bCs/>
                <w:color w:val="FFFFFF"/>
                <w:sz w:val="20"/>
                <w:szCs w:val="20"/>
              </w:rPr>
              <w:t xml:space="preserve">Author Voice</w:t>
            </w:r>
          </w:p>
        </w:tc>
        <w:tc>
          <w:tcPr>
            <w:tcW w:type="dxa" w:w="624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Three positioning profiles: somatic companion (body-first, trust-anchored), research guide (precision, data-grounded), elder stabilizer (experienced, not prescriptive). CI-enforced per book.</w:t>
            </w:r>
          </w:p>
        </w:tc>
      </w:tr>
      <w:tr>
        <w:tc>
          <w:tcPr>
            <w:tcW w:type="dxa" w:w="312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80"/>
            </w:tcMar>
          </w:tcPr>
          <w:p>
            <w:r>
              <w:rPr>
                <w:rFonts w:ascii="Arial" w:cs="Arial" w:eastAsia="Arial" w:hAnsi="Arial"/>
                <w:b/>
                <w:bCs/>
                <w:color w:val="FFFFFF"/>
                <w:sz w:val="20"/>
                <w:szCs w:val="20"/>
              </w:rPr>
              <w:t xml:space="preserve">Ending Quality</w:t>
            </w:r>
          </w:p>
        </w:tc>
        <w:tc>
          <w:tcPr>
            <w:tcW w:type="dxa" w:w="6240"/>
            <w:tcBorders>
              <w:top w:val="single" w:color="DDDDDD" w:sz="4"/>
              <w:left w:val="single" w:color="DDDDDD" w:sz="4"/>
              <w:bottom w:val="single" w:color="DDDDDD" w:sz="4"/>
              <w:right w:val="single" w:color="DDDDDD" w:sz="4"/>
            </w:tcBorders>
            <w:shd w:fill="EFF5EF" w:val="clear"/>
            <w:tcMar>
              <w:top w:type="dxa" w:w="100"/>
              <w:left w:type="dxa" w:w="160"/>
              <w:bottom w:type="dxa" w:w="100"/>
              <w:right w:type="dxa" w:w="160"/>
            </w:tcMar>
          </w:tcPr>
          <w:p>
            <w:r>
              <w:rPr>
                <w:rFonts w:ascii="Arial" w:cs="Arial" w:eastAsia="Arial" w:hAnsi="Arial"/>
                <w:color w:val="2C2C2C"/>
                <w:sz w:val="20"/>
                <w:szCs w:val="20"/>
              </w:rPr>
              <w:t xml:space="preserve">Complete. Forward motion. Identity shift earned, not declared. No generic affirmation. No “You’ve got this.” Resolution type (open_loop, internal_shift_only, grounded_reframe, identity_shift) matches arc.</w:t>
            </w:r>
          </w:p>
        </w:tc>
      </w:tr>
      <w:tr>
        <w:tc>
          <w:tcPr>
            <w:tcW w:type="dxa" w:w="312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80"/>
            </w:tcMar>
          </w:tcPr>
          <w:p>
            <w:r>
              <w:rPr>
                <w:rFonts w:ascii="Arial" w:cs="Arial" w:eastAsia="Arial" w:hAnsi="Arial"/>
                <w:b/>
                <w:bCs/>
                <w:color w:val="FFFFFF"/>
                <w:sz w:val="20"/>
                <w:szCs w:val="20"/>
              </w:rPr>
              <w:t xml:space="preserve">Safety Net</w:t>
            </w:r>
          </w:p>
        </w:tc>
        <w:tc>
          <w:tcPr>
            <w:tcW w:type="dxa" w:w="624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2C2C2C"/>
                <w:sz w:val="20"/>
                <w:szCs w:val="20"/>
              </w:rPr>
              <w:t xml:space="preserve">Hard-block medical claims. Auto-insert required disclaimers. Safe vs. flagged terms by topic. No cure language. No reassurance spam. Therapeutic without crossing clinical lines.</w:t>
            </w:r>
          </w:p>
        </w:tc>
      </w:tr>
    </w:tbl>
    <w:p>
      <w:pPr>
        <w:spacing w:after="240" w:before="0"/>
      </w:pPr>
    </w:p>
    <w:p>
      <w:pPr>
        <w:pBdr>
          <w:bottom w:val="single" w:color="5B2D8E" w:sz="8" w:space="1"/>
        </w:pBdr>
        <w:spacing w:after="60" w:before="60"/>
      </w:pPr>
    </w:p>
    <w:p>
      <w:pPr>
        <w:spacing w:after="80" w:before="0"/>
      </w:pPr>
    </w:p>
    <w:p>
      <w:pPr>
        <w:spacing w:after="120" w:before="0"/>
        <w:jc w:val="center"/>
      </w:pPr>
      <w:r>
        <w:rPr>
          <w:rFonts w:ascii="Arial" w:cs="Arial" w:eastAsia="Arial" w:hAnsi="Arial"/>
          <w:b/>
          <w:bCs/>
          <w:color w:val="1A1A2E"/>
          <w:sz w:val="32"/>
          <w:szCs w:val="32"/>
        </w:rPr>
        <w:t xml:space="preserve">The Successful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5B2D8E" w:sz="4"/>
              <w:left w:val="single" w:color="5B2D8E" w:sz="4"/>
              <w:bottom w:val="single" w:color="5B2D8E" w:sz="4"/>
              <w:right w:val="single" w:color="5B2D8E" w:sz="4"/>
            </w:tcBorders>
            <w:shd w:fill="5B2D8E"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Technical</w:t>
            </w:r>
          </w:p>
        </w:tc>
        <w:tc>
          <w:tcPr>
            <w:tcW w:type="dxa" w:w="7020"/>
            <w:tcBorders>
              <w:top w:val="single" w:color="DDDDDD" w:sz="4"/>
              <w:left w:val="single" w:color="DDDDDD" w:sz="4"/>
              <w:bottom w:val="single" w:color="DDDDDD" w:sz="4"/>
              <w:right w:val="single" w:color="DDDDDD" w:sz="4"/>
            </w:tcBorders>
            <w:shd w:fill="F8F6F2" w:val="clear"/>
            <w:tcMar>
              <w:top w:type="dxa" w:w="140"/>
              <w:left w:type="dxa" w:w="180"/>
              <w:bottom w:type="dxa" w:w="140"/>
              <w:right w:type="dxa" w:w="160"/>
            </w:tcMar>
          </w:tcPr>
          <w:p>
            <w:r>
              <w:rPr>
                <w:rFonts w:ascii="Arial" w:cs="Arial" w:eastAsia="Arial" w:hAnsi="Arial"/>
                <w:color w:val="2C2C2C"/>
                <w:sz w:val="21"/>
                <w:szCs w:val="21"/>
              </w:rPr>
              <w:t xml:space="preserve">Deterministic. Arc-first. Teacher-pure. Duplication-safe. CI-enforced. Provenance-tracked. Books = compiled software.</w:t>
            </w:r>
          </w:p>
        </w:tc>
      </w:tr>
      <w:tr>
        <w:tc>
          <w:tcPr>
            <w:tcW w:type="dxa" w:w="2340"/>
            <w:tcBorders>
              <w:top w:val="single" w:color="0B5563" w:sz="4"/>
              <w:left w:val="single" w:color="0B5563" w:sz="4"/>
              <w:bottom w:val="single" w:color="0B5563" w:sz="4"/>
              <w:right w:val="single" w:color="0B5563" w:sz="4"/>
            </w:tcBorders>
            <w:shd w:fill="0B5563"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Therapeutic</w:t>
            </w:r>
          </w:p>
        </w:tc>
        <w:tc>
          <w:tcPr>
            <w:tcW w:type="dxa" w:w="7020"/>
            <w:tcBorders>
              <w:top w:val="single" w:color="DDDDDD" w:sz="4"/>
              <w:left w:val="single" w:color="DDDDDD" w:sz="4"/>
              <w:bottom w:val="single" w:color="DDDDDD" w:sz="4"/>
              <w:right w:val="single" w:color="DDDDDD" w:sz="4"/>
            </w:tcBorders>
            <w:shd w:fill="F8F6F2" w:val="clear"/>
            <w:tcMar>
              <w:top w:type="dxa" w:w="140"/>
              <w:left w:type="dxa" w:w="180"/>
              <w:bottom w:type="dxa" w:w="140"/>
              <w:right w:type="dxa" w:w="160"/>
            </w:tcMar>
          </w:tcPr>
          <w:p>
            <w:r>
              <w:rPr>
                <w:rFonts w:ascii="Arial" w:cs="Arial" w:eastAsia="Arial" w:hAnsi="Arial"/>
                <w:color w:val="2C2C2C"/>
                <w:sz w:val="21"/>
                <w:szCs w:val="21"/>
              </w:rPr>
              <w:t xml:space="preserve">Emotionally coherent. Recognition-first. Nervous-system-grounded. Story-anchored. Somatic. Doctrine-safe. Helps without harming.</w:t>
            </w:r>
          </w:p>
        </w:tc>
      </w:tr>
      <w:tr>
        <w:tc>
          <w:tcPr>
            <w:tcW w:type="dxa" w:w="2340"/>
            <w:tcBorders>
              <w:top w:val="single" w:color="4A7C59" w:sz="4"/>
              <w:left w:val="single" w:color="4A7C59" w:sz="4"/>
              <w:bottom w:val="single" w:color="4A7C59" w:sz="4"/>
              <w:right w:val="single" w:color="4A7C59" w:sz="4"/>
            </w:tcBorders>
            <w:shd w:fill="4A7C59"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Experience</w:t>
            </w:r>
          </w:p>
        </w:tc>
        <w:tc>
          <w:tcPr>
            <w:tcW w:type="dxa" w:w="7020"/>
            <w:tcBorders>
              <w:top w:val="single" w:color="DDDDDD" w:sz="4"/>
              <w:left w:val="single" w:color="DDDDDD" w:sz="4"/>
              <w:bottom w:val="single" w:color="DDDDDD" w:sz="4"/>
              <w:right w:val="single" w:color="DDDDDD" w:sz="4"/>
            </w:tcBorders>
            <w:shd w:fill="F8F6F2" w:val="clear"/>
            <w:tcMar>
              <w:top w:type="dxa" w:w="140"/>
              <w:left w:type="dxa" w:w="180"/>
              <w:bottom w:type="dxa" w:w="140"/>
              <w:right w:type="dxa" w:w="160"/>
            </w:tcMar>
          </w:tcPr>
          <w:p>
            <w:r>
              <w:rPr>
                <w:rFonts w:ascii="Arial" w:cs="Arial" w:eastAsia="Arial" w:hAnsi="Arial"/>
                <w:color w:val="2C2C2C"/>
                <w:sz w:val="21"/>
                <w:szCs w:val="21"/>
              </w:rPr>
              <w:t xml:space="preserve">Listener feels seen, held, moved. Prose breathes in monotone. Arc lands. No cringe. No filler. Worth finishing and recommending.</w:t>
            </w:r>
          </w:p>
        </w:tc>
      </w:tr>
      <w:tr>
        <w:tc>
          <w:tcPr>
            <w:tcW w:type="dxa" w:w="2340"/>
            <w:tcBorders>
              <w:top w:val="single" w:color="D4860A" w:sz="4"/>
              <w:left w:val="single" w:color="D4860A" w:sz="4"/>
              <w:bottom w:val="single" w:color="D4860A" w:sz="4"/>
              <w:right w:val="single" w:color="D4860A" w:sz="4"/>
            </w:tcBorders>
            <w:shd w:fill="D4860A" w:val="clear"/>
            <w:tcMar>
              <w:top w:type="dxa" w:w="140"/>
              <w:left w:type="dxa" w:w="120"/>
              <w:bottom w:type="dxa" w:w="140"/>
              <w:right w:type="dxa" w:w="120"/>
            </w:tcMar>
            <w:vAlign w:val="center"/>
          </w:tcPr>
          <w:p>
            <w:pPr>
              <w:jc w:val="center"/>
            </w:pPr>
            <w:r>
              <w:rPr>
                <w:rFonts w:ascii="Arial" w:cs="Arial" w:eastAsia="Arial" w:hAnsi="Arial"/>
                <w:b/>
                <w:bCs/>
                <w:color w:val="FFFFFF"/>
                <w:sz w:val="22"/>
                <w:szCs w:val="22"/>
              </w:rPr>
              <w:t xml:space="preserve">Business</w:t>
            </w:r>
          </w:p>
        </w:tc>
        <w:tc>
          <w:tcPr>
            <w:tcW w:type="dxa" w:w="7020"/>
            <w:tcBorders>
              <w:top w:val="single" w:color="DDDDDD" w:sz="4"/>
              <w:left w:val="single" w:color="DDDDDD" w:sz="4"/>
              <w:bottom w:val="single" w:color="DDDDDD" w:sz="4"/>
              <w:right w:val="single" w:color="DDDDDD" w:sz="4"/>
            </w:tcBorders>
            <w:shd w:fill="F8F6F2" w:val="clear"/>
            <w:tcMar>
              <w:top w:type="dxa" w:w="140"/>
              <w:left w:type="dxa" w:w="180"/>
              <w:bottom w:type="dxa" w:w="140"/>
              <w:right w:type="dxa" w:w="160"/>
            </w:tcMar>
          </w:tcPr>
          <w:p>
            <w:r>
              <w:rPr>
                <w:rFonts w:ascii="Arial" w:cs="Arial" w:eastAsia="Arial" w:hAnsi="Arial"/>
                <w:color w:val="2C2C2C"/>
                <w:sz w:val="21"/>
                <w:szCs w:val="21"/>
              </w:rPr>
              <w:t xml:space="preserve">2,160+ target scale. 1,008 US catalog. 24 brands. Platform-trusted. Compliant. Revenue-sustaining. Upload 1,000+ books without chaos.</w:t>
            </w:r>
          </w:p>
        </w:tc>
      </w:tr>
    </w:tbl>
    <w:p>
      <w:pPr>
        <w:spacing w:after="120" w:before="0"/>
      </w:pPr>
    </w:p>
    <w:p>
      <w:pPr>
        <w:spacing w:after="0" w:before="80"/>
        <w:jc w:val="center"/>
      </w:pPr>
      <w:r>
        <w:rPr>
          <w:rFonts w:ascii="Arial" w:cs="Arial" w:eastAsia="Arial" w:hAnsi="Arial"/>
          <w:color w:val="888888"/>
          <w:sz w:val="20"/>
          <w:szCs w:val="20"/>
        </w:rPr>
        <w:t xml:space="preserve">Phoenix Omega · 48Social · hello@48social.com</w:t>
      </w:r>
    </w:p>
    <w:sectPr>
      <w:headerReference w:type="default" r:id="rId7"/>
      <w:footerReference w:type="default" r:id="rId8"/>
      <w:pgSz w:w="12240" w:h="15840"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after="0" w:before="80"/>
    </w:pPr>
    <w:r>
      <w:rPr>
        <w:rFonts w:ascii="Arial" w:cs="Arial" w:eastAsia="Arial" w:hAnsi="Arial"/>
        <w:color w:val="888888"/>
        <w:sz w:val="16"/>
        <w:szCs w:val="16"/>
      </w:rPr>
      <w:t xml:space="preserve">© 2026 Phoenix Omega Publishing System · 48Social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spacing w:after="80" w:before="0"/>
    </w:pPr>
    <w:r>
      <w:rPr>
        <w:rFonts w:ascii="Arial" w:cs="Arial" w:eastAsia="Arial" w:hAnsi="Arial"/>
        <w:b/>
        <w:bCs/>
        <w:color w:val="5B2D8E"/>
        <w:sz w:val="16"/>
        <w:szCs w:val="16"/>
      </w:rPr>
      <w:t xml:space="preserve">PHOENIX OMEGA</w:t>
    </w:r>
    <w:r>
      <w:rPr>
        <w:rFonts w:ascii="Arial" w:cs="Arial" w:eastAsia="Arial" w:hAnsi="Arial"/>
        <w:color w:val="888888"/>
        <w:sz w:val="16"/>
        <w:szCs w:val="16"/>
      </w:rPr>
      <w:t xml:space="preserve">   ·   Therapeutic Audio Publishing System</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rPr>
        <w:color w:val="2C2C2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B2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2026-03-04T01:46:59.665Z</dcterms:created>
  <dcterms:modified xsi:type="dcterms:W3CDTF">2026-03-04T01:46:59.666Z</dcterms:modified>
</cp:coreProperties>
</file>

<file path=docProps/custom.xml><?xml version="1.0" encoding="utf-8"?>
<Properties xmlns="http://schemas.openxmlformats.org/officeDocument/2006/custom-properties" xmlns:vt="http://schemas.openxmlformats.org/officeDocument/2006/docPropsVTypes"/>
</file>