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3E"/>
          <w:sz w:val="52"/>
        </w:rPr>
        <w:t>BASES DE DONNÉES DISTRIBUÉES</w:t>
      </w:r>
    </w:p>
    <w:p>
      <w:pPr>
        <w:jc w:val="center"/>
      </w:pPr>
      <w:r>
        <w:rPr>
          <w:i/>
          <w:color w:val="E86B1A"/>
          <w:sz w:val="26"/>
        </w:rPr>
        <w:t>Système EShop — Fragmentation Horizontale · Procédures PL/SQL · Triggers · Monitoring</w:t>
      </w:r>
    </w:p>
    <w:p/>
    <w:p>
      <w:pPr>
        <w:jc w:val="center"/>
      </w:pPr>
      <w:r>
        <w:rPr>
          <w:sz w:val="22"/>
        </w:rPr>
        <w:t>Projet — Bases de Données Avancées</w:t>
        <w:br/>
      </w:r>
      <w:r>
        <w:rPr>
          <w:b/>
          <w:sz w:val="24"/>
        </w:rPr>
        <w:t>Réalisé par : Ahlam Nasri &amp; Sara Himmad</w:t>
        <w:br/>
      </w:r>
      <w:r>
        <w:rPr>
          <w:sz w:val="22"/>
        </w:rPr>
        <w:t>Encadrant : Pr. Mohammed Bahaj</w:t>
        <w:br/>
      </w:r>
      <w:r>
        <w:rPr>
          <w:sz w:val="22"/>
        </w:rPr>
        <w:t>Établissement : FST Settat · Génie Informatique 2ème Année · 2025–2026</w:t>
      </w:r>
    </w:p>
    <w:p/>
    <w:p>
      <w:pPr>
        <w:spacing w:before="40" w:after="40"/>
        <w:pBdr>
          <w:bottom w:val="single" w:sz="6" w:space="1" w:color="E86B1A"/>
        </w:pBdr>
      </w:pPr>
    </w:p>
    <w:p/>
    <w:p>
      <w:pPr>
        <w:pStyle w:val="Heading1"/>
        <w:spacing w:before="120" w:after="160"/>
      </w:pPr>
      <w:r>
        <w:rPr>
          <w:color w:val="0D1B3E"/>
        </w:rPr>
        <w:t>Plan du Document</w:t>
      </w:r>
    </w:p>
    <w:p>
      <w:pPr>
        <w:pStyle w:val="ListBullet"/>
        <w:spacing w:after="80" w:before="40"/>
        <w:ind w:left="283"/>
      </w:pPr>
      <w:r>
        <w:rPr>
          <w:sz w:val="21"/>
        </w:rPr>
        <w:t>01 · Contexte et Objectifs du Projet</w:t>
      </w:r>
    </w:p>
    <w:p>
      <w:pPr>
        <w:pStyle w:val="ListBullet"/>
        <w:spacing w:after="80" w:before="40"/>
        <w:ind w:left="283"/>
      </w:pPr>
      <w:r>
        <w:rPr>
          <w:sz w:val="21"/>
        </w:rPr>
        <w:t>02 · Architecture du Système — 3 Nœuds Oracle XE</w:t>
      </w:r>
    </w:p>
    <w:p>
      <w:pPr>
        <w:pStyle w:val="ListBullet"/>
        <w:spacing w:after="80" w:before="40"/>
        <w:ind w:left="283"/>
      </w:pPr>
      <w:r>
        <w:rPr>
          <w:sz w:val="21"/>
        </w:rPr>
        <w:t>03 · Docker Compose et Configuration Réseau</w:t>
      </w:r>
    </w:p>
    <w:p>
      <w:pPr>
        <w:pStyle w:val="ListBullet"/>
        <w:spacing w:after="80" w:before="40"/>
        <w:ind w:left="283"/>
      </w:pPr>
      <w:r>
        <w:rPr>
          <w:sz w:val="21"/>
        </w:rPr>
        <w:t>04 · Fragmentation Horizontale — 2 Scénarios</w:t>
      </w:r>
    </w:p>
    <w:p>
      <w:pPr>
        <w:pStyle w:val="ListBullet"/>
        <w:spacing w:after="80" w:before="40"/>
        <w:ind w:left="283"/>
      </w:pPr>
      <w:r>
        <w:rPr>
          <w:sz w:val="21"/>
        </w:rPr>
        <w:t>05 · Database Links et Synonymes</w:t>
      </w:r>
    </w:p>
    <w:p>
      <w:pPr>
        <w:pStyle w:val="ListBullet"/>
        <w:spacing w:after="80" w:before="40"/>
        <w:ind w:left="283"/>
      </w:pPr>
      <w:r>
        <w:rPr>
          <w:sz w:val="21"/>
        </w:rPr>
        <w:t>06 · Procédures PL/SQL et Triggers</w:t>
      </w:r>
    </w:p>
    <w:p>
      <w:pPr>
        <w:pStyle w:val="ListBullet"/>
        <w:spacing w:after="80" w:before="40"/>
        <w:ind w:left="283"/>
      </w:pPr>
      <w:r>
        <w:rPr>
          <w:sz w:val="21"/>
        </w:rPr>
        <w:t>07 · Routage Automatique depuis le Site Central</w:t>
      </w:r>
    </w:p>
    <w:p>
      <w:pPr>
        <w:pStyle w:val="ListBullet"/>
        <w:spacing w:after="80" w:before="40"/>
        <w:ind w:left="283"/>
      </w:pPr>
      <w:r>
        <w:rPr>
          <w:sz w:val="21"/>
        </w:rPr>
        <w:t>08 · Optimisation et Stratégie d'Indexation</w:t>
      </w:r>
    </w:p>
    <w:p>
      <w:pPr>
        <w:pStyle w:val="ListBullet"/>
        <w:spacing w:after="80" w:before="40"/>
        <w:ind w:left="283"/>
      </w:pPr>
      <w:r>
        <w:rPr>
          <w:sz w:val="21"/>
        </w:rPr>
        <w:t>09 · Monitoring et Maintenance du Cluster</w:t>
      </w:r>
    </w:p>
    <w:p>
      <w:r>
        <w:br w:type="page"/>
      </w:r>
    </w:p>
    <w:p>
      <w:pPr>
        <w:pStyle w:val="Heading1"/>
        <w:spacing w:before="360" w:after="160"/>
      </w:pPr>
      <w:r>
        <w:rPr>
          <w:color w:val="0D1B3E"/>
        </w:rPr>
        <w:t>01 | Contexte et Objectifs du Projet</w:t>
      </w:r>
    </w:p>
    <w:p>
      <w:pPr>
        <w:spacing w:before="40" w:after="40"/>
        <w:pBdr>
          <w:bottom w:val="single" w:sz="6" w:space="1" w:color="E86B1A"/>
        </w:pBdr>
      </w:pPr>
    </w:p>
    <w:p>
      <w:pPr>
        <w:pStyle w:val="Heading2"/>
        <w:spacing w:before="360" w:after="160"/>
      </w:pPr>
      <w:r>
        <w:rPr>
          <w:color w:val="E86B1A"/>
        </w:rPr>
        <w:t>1.1 Contexte du Projet</w:t>
      </w:r>
    </w:p>
    <w:p>
      <w:pPr>
        <w:spacing w:after="120" w:before="40"/>
        <w:jc w:val="both"/>
      </w:pPr>
      <w:r>
        <w:rPr>
          <w:b w:val="0"/>
          <w:i w:val="0"/>
          <w:sz w:val="22"/>
        </w:rPr>
        <w:t>Ce projet académique, réalisé dans le cadre du module Bases de Données Avancées à la Faculté des Sciences et Techniques de Settat (FST Settat), a pour but de simuler un environnement Oracle distribué réaliste. Il s'appuie sur trois nœuds Oracle XE 21c déployés via Docker Compose, formant un cluster de bases de données distribuées dédié à un système de commerce électronique (EShop).</w:t>
      </w:r>
    </w:p>
    <w:p>
      <w:pPr>
        <w:spacing w:after="120" w:before="40"/>
        <w:jc w:val="both"/>
      </w:pPr>
      <w:r>
        <w:rPr>
          <w:b w:val="0"/>
          <w:i w:val="0"/>
          <w:sz w:val="22"/>
        </w:rPr>
        <w:t>Le domaine métier retenu est un système e-commerce composé de sept tables principales : Clients, Produits, Commandes, LigneCommandes, Catégories, Fournisseurs et Employés. L'ensemble des données est réparti sur 25 lignes de commande distribuées entre deux sites selon deux scénarios de fragmentation distincts. L'environnement est entièrement reproductible et isolé grâce à la conteneurisation Docker.</w:t>
      </w:r>
    </w:p>
    <w:p>
      <w:pPr>
        <w:pStyle w:val="Heading2"/>
        <w:spacing w:before="360" w:after="160"/>
      </w:pPr>
      <w:r>
        <w:rPr>
          <w:color w:val="E86B1A"/>
        </w:rPr>
        <w:t>1.2 Objectifs Atteints</w:t>
      </w:r>
    </w:p>
    <w:p>
      <w:pPr>
        <w:spacing w:after="120" w:before="40"/>
        <w:jc w:val="both"/>
      </w:pPr>
      <w:r>
        <w:rPr>
          <w:b w:val="0"/>
          <w:i w:val="0"/>
          <w:sz w:val="22"/>
        </w:rPr>
        <w:t>Le projet couvre un large spectre de compétences en bases de données distribuées. Les objectifs suivants ont été intégralement atteints :</w:t>
      </w:r>
    </w:p>
    <w:p>
      <w:pPr>
        <w:pStyle w:val="ListBullet"/>
        <w:spacing w:after="80" w:before="40"/>
        <w:ind w:left="283"/>
      </w:pPr>
      <w:r>
        <w:rPr>
          <w:sz w:val="21"/>
        </w:rPr>
        <w:t>Maîtriser la fragmentation horizontale Oracle en définissant et déployant deux scénarios de distribution des données.</w:t>
      </w:r>
    </w:p>
    <w:p>
      <w:pPr>
        <w:pStyle w:val="ListBullet"/>
        <w:spacing w:after="80" w:before="40"/>
        <w:ind w:left="283"/>
      </w:pPr>
      <w:r>
        <w:rPr>
          <w:sz w:val="21"/>
        </w:rPr>
        <w:t>Configurer des Database Links bidirectionnels entre les trois nœuds, permettant à chaque site d'interroger les données des autres sites de façon transparente.</w:t>
      </w:r>
    </w:p>
    <w:p>
      <w:pPr>
        <w:pStyle w:val="ListBullet"/>
        <w:spacing w:after="80" w:before="40"/>
        <w:ind w:left="283"/>
      </w:pPr>
      <w:r>
        <w:rPr>
          <w:sz w:val="21"/>
        </w:rPr>
        <w:t>Développer des procédures PL/SQL distribuées pour les opérations CRUD (Create, Read, Update, Delete) avec validation des règles de fragmentation.</w:t>
      </w:r>
    </w:p>
    <w:p>
      <w:pPr>
        <w:pStyle w:val="ListBullet"/>
        <w:spacing w:after="80" w:before="40"/>
        <w:ind w:left="283"/>
      </w:pPr>
      <w:r>
        <w:rPr>
          <w:sz w:val="21"/>
        </w:rPr>
        <w:t>Implémenter trois types de triggers : triggers de contrôle (BEFORE INSERT/UPDATE), triggers d'audit (AFTER DML → table de log), et trigger de routage (INSTEAD OF).</w:t>
      </w:r>
    </w:p>
    <w:p>
      <w:pPr>
        <w:pStyle w:val="ListBullet"/>
        <w:spacing w:after="80" w:before="40"/>
        <w:ind w:left="283"/>
      </w:pPr>
      <w:r>
        <w:rPr>
          <w:sz w:val="21"/>
        </w:rPr>
        <w:t>Analyser les performances des requêtes via l'outil EXPLAIN PLAN d'Oracle afin de mesurer l'impact des index sur le coût d'exécution.</w:t>
      </w:r>
    </w:p>
    <w:p>
      <w:pPr>
        <w:pStyle w:val="ListBullet"/>
        <w:spacing w:after="80" w:before="40"/>
        <w:ind w:left="283"/>
      </w:pPr>
      <w:r>
        <w:rPr>
          <w:sz w:val="21"/>
        </w:rPr>
        <w:t>Créer une stratégie d'indexation multi-niveaux comprenant des index B-Tree simples, composites et fonctionnels.</w:t>
      </w:r>
    </w:p>
    <w:p>
      <w:pPr>
        <w:pStyle w:val="ListBullet"/>
        <w:spacing w:after="80" w:before="40"/>
        <w:ind w:left="283"/>
      </w:pPr>
      <w:r>
        <w:rPr>
          <w:sz w:val="21"/>
        </w:rPr>
        <w:t>Mettre en place un système de monitoring complet pour la surveillance en temps réel du cluster, l'audit des opérations et la maintenance planifiée.</w:t>
      </w:r>
    </w:p>
    <w:p>
      <w:r>
        <w:br w:type="page"/>
      </w:r>
    </w:p>
    <w:p>
      <w:pPr>
        <w:pStyle w:val="Heading1"/>
        <w:spacing w:before="360" w:after="160"/>
      </w:pPr>
      <w:r>
        <w:rPr>
          <w:color w:val="0D1B3E"/>
        </w:rPr>
        <w:t>02 | Architecture du Système — 3 Nœuds Oracle XE</w:t>
      </w:r>
    </w:p>
    <w:p>
      <w:pPr>
        <w:spacing w:before="40" w:after="40"/>
        <w:pBdr>
          <w:bottom w:val="single" w:sz="6" w:space="1" w:color="E86B1A"/>
        </w:pBdr>
      </w:pPr>
    </w:p>
    <w:p>
      <w:pPr>
        <w:spacing w:after="120" w:before="40"/>
        <w:jc w:val="both"/>
      </w:pPr>
      <w:r>
        <w:rPr>
          <w:b w:val="0"/>
          <w:i w:val="0"/>
          <w:sz w:val="22"/>
        </w:rPr>
        <w:t>L'architecture du système repose sur trois conteneurs Docker indépendants, chacun hébergeant une instance Oracle XE 21c. Ces trois nœuds communiquent entre eux par Database Links sur un réseau bridge privé (172.20.0.0/16).</w:t>
      </w:r>
    </w:p>
    <w:p>
      <w:pPr>
        <w:pStyle w:val="Heading2"/>
        <w:spacing w:before="360" w:after="160"/>
      </w:pPr>
      <w:r>
        <w:rPr>
          <w:color w:val="E86B1A"/>
        </w:rPr>
        <w:t>2.1 Description des Nœuds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1A3F7A"/>
          </w:tcPr>
          <w:p>
            <w:pPr>
              <w:jc w:val="center"/>
            </w:pPr>
            <w:r>
              <w:rPr>
                <w:b/>
                <w:color w:val="FFFFFF"/>
                <w:sz w:val="20"/>
              </w:rPr>
              <w:t>Propriété</w:t>
            </w:r>
          </w:p>
        </w:tc>
        <w:tc>
          <w:tcPr>
            <w:tcW w:type="dxa" w:w="2266"/>
            <w:shd w:val="clear" w:color="auto" w:fill="1A3F7A"/>
          </w:tcPr>
          <w:p>
            <w:pPr>
              <w:jc w:val="center"/>
            </w:pPr>
            <w:r>
              <w:rPr>
                <w:b/>
                <w:color w:val="FFFFFF"/>
                <w:sz w:val="20"/>
              </w:rPr>
              <w:t>oracle-site1</w:t>
            </w:r>
          </w:p>
        </w:tc>
        <w:tc>
          <w:tcPr>
            <w:tcW w:type="dxa" w:w="2266"/>
            <w:shd w:val="clear" w:color="auto" w:fill="1A3F7A"/>
          </w:tcPr>
          <w:p>
            <w:pPr>
              <w:jc w:val="center"/>
            </w:pPr>
            <w:r>
              <w:rPr>
                <w:b/>
                <w:color w:val="FFFFFF"/>
                <w:sz w:val="20"/>
              </w:rPr>
              <w:t>oracle-site2</w:t>
            </w:r>
          </w:p>
        </w:tc>
        <w:tc>
          <w:tcPr>
            <w:tcW w:type="dxa" w:w="2266"/>
            <w:shd w:val="clear" w:color="auto" w:fill="1A3F7A"/>
          </w:tcPr>
          <w:p>
            <w:pPr>
              <w:jc w:val="center"/>
            </w:pPr>
            <w:r>
              <w:rPr>
                <w:b/>
                <w:color w:val="FFFFFF"/>
                <w:sz w:val="20"/>
              </w:rPr>
              <w:t>oracle-central</w:t>
            </w:r>
          </w:p>
        </w:tc>
      </w:tr>
      <w:tr>
        <w:tc>
          <w:tcPr>
            <w:tcW w:type="dxa" w:w="2266"/>
            <w:shd w:val="clear" w:color="auto" w:fill="FFFFFF"/>
          </w:tcPr>
          <w:p>
            <w:pPr>
              <w:jc w:val="center"/>
            </w:pPr>
            <w:r>
              <w:rPr>
                <w:b/>
                <w:sz w:val="20"/>
              </w:rPr>
              <w:t>Adresse IP</w:t>
            </w:r>
          </w:p>
        </w:tc>
        <w:tc>
          <w:tcPr>
            <w:tcW w:type="dxa" w:w="2266"/>
            <w:shd w:val="clear" w:color="auto" w:fill="FFFFFF"/>
          </w:tcPr>
          <w:p>
            <w:pPr>
              <w:jc w:val="center"/>
            </w:pPr>
            <w:r>
              <w:rPr>
                <w:sz w:val="20"/>
              </w:rPr>
              <w:t>172.20.0.10</w:t>
            </w:r>
          </w:p>
        </w:tc>
        <w:tc>
          <w:tcPr>
            <w:tcW w:type="dxa" w:w="2266"/>
            <w:shd w:val="clear" w:color="auto" w:fill="FFFFFF"/>
          </w:tcPr>
          <w:p>
            <w:pPr>
              <w:jc w:val="center"/>
            </w:pPr>
            <w:r>
              <w:rPr>
                <w:sz w:val="20"/>
              </w:rPr>
              <w:t>172.20.0.11</w:t>
            </w:r>
          </w:p>
        </w:tc>
        <w:tc>
          <w:tcPr>
            <w:tcW w:type="dxa" w:w="2266"/>
            <w:shd w:val="clear" w:color="auto" w:fill="FFFFFF"/>
          </w:tcPr>
          <w:p>
            <w:pPr>
              <w:jc w:val="center"/>
            </w:pPr>
            <w:r>
              <w:rPr>
                <w:sz w:val="20"/>
              </w:rPr>
              <w:t>172.20.0.12</w:t>
            </w:r>
          </w:p>
        </w:tc>
      </w:tr>
      <w:tr>
        <w:tc>
          <w:tcPr>
            <w:tcW w:type="dxa" w:w="2266"/>
            <w:shd w:val="clear" w:color="auto" w:fill="F5F5F5"/>
          </w:tcPr>
          <w:p>
            <w:pPr>
              <w:jc w:val="center"/>
            </w:pPr>
            <w:r>
              <w:rPr>
                <w:b/>
                <w:sz w:val="20"/>
              </w:rPr>
              <w:t>Port exposé</w:t>
            </w:r>
          </w:p>
        </w:tc>
        <w:tc>
          <w:tcPr>
            <w:tcW w:type="dxa" w:w="2266"/>
            <w:shd w:val="clear" w:color="auto" w:fill="F5F5F5"/>
          </w:tcPr>
          <w:p>
            <w:pPr>
              <w:jc w:val="center"/>
            </w:pPr>
            <w:r>
              <w:rPr>
                <w:sz w:val="20"/>
              </w:rPr>
              <w:t>1521</w:t>
            </w:r>
          </w:p>
        </w:tc>
        <w:tc>
          <w:tcPr>
            <w:tcW w:type="dxa" w:w="2266"/>
            <w:shd w:val="clear" w:color="auto" w:fill="F5F5F5"/>
          </w:tcPr>
          <w:p>
            <w:pPr>
              <w:jc w:val="center"/>
            </w:pPr>
            <w:r>
              <w:rPr>
                <w:sz w:val="20"/>
              </w:rPr>
              <w:t>1522</w:t>
            </w:r>
          </w:p>
        </w:tc>
        <w:tc>
          <w:tcPr>
            <w:tcW w:type="dxa" w:w="2266"/>
            <w:shd w:val="clear" w:color="auto" w:fill="F5F5F5"/>
          </w:tcPr>
          <w:p>
            <w:pPr>
              <w:jc w:val="center"/>
            </w:pPr>
            <w:r>
              <w:rPr>
                <w:sz w:val="20"/>
              </w:rPr>
              <w:t>1523</w:t>
            </w:r>
          </w:p>
        </w:tc>
      </w:tr>
      <w:tr>
        <w:tc>
          <w:tcPr>
            <w:tcW w:type="dxa" w:w="2266"/>
            <w:shd w:val="clear" w:color="auto" w:fill="FFFFFF"/>
          </w:tcPr>
          <w:p>
            <w:pPr>
              <w:jc w:val="center"/>
            </w:pPr>
            <w:r>
              <w:rPr>
                <w:b/>
                <w:sz w:val="20"/>
              </w:rPr>
              <w:t>SID / Service</w:t>
            </w:r>
          </w:p>
        </w:tc>
        <w:tc>
          <w:tcPr>
            <w:tcW w:type="dxa" w:w="2266"/>
            <w:shd w:val="clear" w:color="auto" w:fill="FFFFFF"/>
          </w:tcPr>
          <w:p>
            <w:pPr>
              <w:jc w:val="center"/>
            </w:pPr>
            <w:r>
              <w:rPr>
                <w:sz w:val="20"/>
              </w:rPr>
              <w:t>BDDVENTE</w:t>
            </w:r>
          </w:p>
        </w:tc>
        <w:tc>
          <w:tcPr>
            <w:tcW w:type="dxa" w:w="2266"/>
            <w:shd w:val="clear" w:color="auto" w:fill="FFFFFF"/>
          </w:tcPr>
          <w:p>
            <w:pPr>
              <w:jc w:val="center"/>
            </w:pPr>
            <w:r>
              <w:rPr>
                <w:sz w:val="20"/>
              </w:rPr>
              <w:t>BDDVENTE2</w:t>
            </w:r>
          </w:p>
        </w:tc>
        <w:tc>
          <w:tcPr>
            <w:tcW w:type="dxa" w:w="2266"/>
            <w:shd w:val="clear" w:color="auto" w:fill="FFFFFF"/>
          </w:tcPr>
          <w:p>
            <w:pPr>
              <w:jc w:val="center"/>
            </w:pPr>
            <w:r>
              <w:rPr>
                <w:sz w:val="20"/>
              </w:rPr>
              <w:t>BDDCENTRAL</w:t>
            </w:r>
          </w:p>
        </w:tc>
      </w:tr>
      <w:tr>
        <w:tc>
          <w:tcPr>
            <w:tcW w:type="dxa" w:w="2266"/>
            <w:shd w:val="clear" w:color="auto" w:fill="F5F5F5"/>
          </w:tcPr>
          <w:p>
            <w:pPr>
              <w:jc w:val="center"/>
            </w:pPr>
            <w:r>
              <w:rPr>
                <w:b/>
                <w:sz w:val="20"/>
              </w:rPr>
              <w:t>Utilisateur app</w:t>
            </w:r>
          </w:p>
        </w:tc>
        <w:tc>
          <w:tcPr>
            <w:tcW w:type="dxa" w:w="2266"/>
            <w:shd w:val="clear" w:color="auto" w:fill="F5F5F5"/>
          </w:tcPr>
          <w:p>
            <w:pPr>
              <w:jc w:val="center"/>
            </w:pPr>
            <w:r>
              <w:rPr>
                <w:sz w:val="20"/>
              </w:rPr>
              <w:t>eshop1</w:t>
            </w:r>
          </w:p>
        </w:tc>
        <w:tc>
          <w:tcPr>
            <w:tcW w:type="dxa" w:w="2266"/>
            <w:shd w:val="clear" w:color="auto" w:fill="F5F5F5"/>
          </w:tcPr>
          <w:p>
            <w:pPr>
              <w:jc w:val="center"/>
            </w:pPr>
            <w:r>
              <w:rPr>
                <w:sz w:val="20"/>
              </w:rPr>
              <w:t>eshop2</w:t>
            </w:r>
          </w:p>
        </w:tc>
        <w:tc>
          <w:tcPr>
            <w:tcW w:type="dxa" w:w="2266"/>
            <w:shd w:val="clear" w:color="auto" w:fill="F5F5F5"/>
          </w:tcPr>
          <w:p>
            <w:pPr>
              <w:jc w:val="center"/>
            </w:pPr>
            <w:r>
              <w:rPr>
                <w:sz w:val="20"/>
              </w:rPr>
              <w:t>eshopcentral</w:t>
            </w:r>
          </w:p>
        </w:tc>
      </w:tr>
    </w:tbl>
    <w:p>
      <w:pPr>
        <w:spacing w:after="160"/>
      </w:pPr>
    </w:p>
    <w:p>
      <w:pPr>
        <w:pStyle w:val="Heading2"/>
        <w:spacing w:before="360" w:after="160"/>
      </w:pPr>
      <w:r>
        <w:rPr>
          <w:color w:val="E86B1A"/>
        </w:rPr>
        <w:t>2.2 Rôle de chaque nœud</w:t>
      </w:r>
    </w:p>
    <w:p>
      <w:pPr>
        <w:spacing w:after="60" w:before="40"/>
        <w:jc w:val="both"/>
      </w:pPr>
      <w:r>
        <w:rPr>
          <w:b/>
          <w:i w:val="0"/>
          <w:color w:val="E86B1A"/>
          <w:sz w:val="22"/>
        </w:rPr>
        <w:t>oracle-site1 — Site Principal</w:t>
      </w:r>
    </w:p>
    <w:p>
      <w:pPr>
        <w:spacing w:after="120" w:before="40"/>
        <w:jc w:val="both"/>
      </w:pPr>
      <w:r>
        <w:rPr>
          <w:b w:val="0"/>
          <w:i w:val="0"/>
          <w:sz w:val="22"/>
        </w:rPr>
        <w:t>Ce nœud héberge le fragment de données correspondant aux grossistes (scénario 2, QUANTITE ≥ 100) ou aux produits Informatique (scénario 1, IDCATEG = 50). Il dispose de 12 index, 3 procédures stockées, 3 triggers et 4 synonymes permettant l'accès transparent aux données de Site2.</w:t>
      </w:r>
    </w:p>
    <w:p>
      <w:pPr>
        <w:spacing w:after="60" w:before="40"/>
        <w:jc w:val="both"/>
      </w:pPr>
      <w:r>
        <w:rPr>
          <w:b/>
          <w:i w:val="0"/>
          <w:color w:val="E86B1A"/>
          <w:sz w:val="22"/>
        </w:rPr>
        <w:t>oracle-site2 — Site Distant</w:t>
      </w:r>
    </w:p>
    <w:p>
      <w:pPr>
        <w:spacing w:after="120" w:before="40"/>
        <w:jc w:val="both"/>
      </w:pPr>
      <w:r>
        <w:rPr>
          <w:b w:val="0"/>
          <w:i w:val="0"/>
          <w:sz w:val="22"/>
        </w:rPr>
        <w:t>Ce nœud héberge le fragment complémentaire : les détaillants (scénario 2, QUANTITE &lt; 100) ou les produits Accessoires (scénario 1, IDCATEG = 35). Sa structure miroir contient 11 index, 3 procédures, 3 triggers et 4 synonymes.</w:t>
      </w:r>
    </w:p>
    <w:p>
      <w:pPr>
        <w:spacing w:after="60" w:before="40"/>
        <w:jc w:val="both"/>
      </w:pPr>
      <w:r>
        <w:rPr>
          <w:b/>
          <w:i w:val="0"/>
          <w:color w:val="E86B1A"/>
          <w:sz w:val="22"/>
        </w:rPr>
        <w:t>oracle-central — Nœud de Coordination</w:t>
      </w:r>
    </w:p>
    <w:p>
      <w:pPr>
        <w:spacing w:after="160" w:before="40"/>
        <w:jc w:val="both"/>
      </w:pPr>
      <w:r>
        <w:rPr>
          <w:b w:val="0"/>
          <w:i w:val="0"/>
          <w:sz w:val="22"/>
        </w:rPr>
        <w:t>Ce nœud joue le rôle de coordinateur. Il ne stocke pas directement les fragments mais expose des vues globales distribuées (unions des deux sites), des synonymes transparents masquant la notation @lien, et implémente le routage automatique via un trigger INSTEAD OF. Il démarre après que Site1 et Site2 soient déclarés opérationnels (service_healthy).</w:t>
      </w:r>
    </w:p>
    <w:p>
      <w:pPr>
        <w:pStyle w:val="ListBullet"/>
      </w:pPr>
      <w:r>
        <w:rPr>
          <w:b/>
          <w:sz w:val="21"/>
        </w:rPr>
        <w:t>14 · Synthese des corrections — Tableau récapitulatif</w:t>
      </w:r>
    </w:p>
    <w:p>
      <w:pPr>
        <w:pStyle w:val="Heading2"/>
        <w:spacing w:before="360" w:after="160"/>
      </w:pPr>
      <w:r>
        <w:rPr>
          <w:color w:val="E86B1A"/>
        </w:rPr>
        <w:t>2.3 Réseau de Database Links</w:t>
      </w:r>
    </w:p>
    <w:p>
      <w:pPr>
        <w:spacing w:after="120" w:before="40"/>
        <w:jc w:val="both"/>
      </w:pPr>
      <w:r>
        <w:rPr>
          <w:b w:val="0"/>
          <w:i w:val="0"/>
          <w:sz w:val="22"/>
        </w:rPr>
        <w:t>Six Database Links bidirectionnels sont établis entre les trois nœuds, permettant à chaque nœud d'accéder aux tables des autres :</w:t>
      </w:r>
    </w:p>
    <w:p>
      <w:pPr>
        <w:pStyle w:val="ListBullet"/>
        <w:spacing w:after="80" w:before="40"/>
        <w:ind w:left="283"/>
      </w:pPr>
      <w:r>
        <w:rPr>
          <w:b/>
          <w:sz w:val="21"/>
        </w:rPr>
        <w:t>Central → Site1 :</w:t>
      </w:r>
      <w:r>
        <w:rPr>
          <w:sz w:val="21"/>
        </w:rPr>
        <w:t xml:space="preserve"> via le lien site1_link</w:t>
      </w:r>
    </w:p>
    <w:p>
      <w:pPr>
        <w:pStyle w:val="ListBullet"/>
        <w:spacing w:after="80" w:before="40"/>
        <w:ind w:left="283"/>
      </w:pPr>
      <w:r>
        <w:rPr>
          <w:b/>
          <w:sz w:val="21"/>
        </w:rPr>
        <w:t>Central → Site2 :</w:t>
      </w:r>
      <w:r>
        <w:rPr>
          <w:sz w:val="21"/>
        </w:rPr>
        <w:t xml:space="preserve"> via le lien site2_link</w:t>
      </w:r>
    </w:p>
    <w:p>
      <w:pPr>
        <w:pStyle w:val="ListBullet"/>
        <w:spacing w:after="80" w:before="40"/>
        <w:ind w:left="283"/>
      </w:pPr>
      <w:r>
        <w:rPr>
          <w:b/>
          <w:sz w:val="21"/>
        </w:rPr>
        <w:t>Site1 → Site2 :</w:t>
      </w:r>
      <w:r>
        <w:rPr>
          <w:sz w:val="21"/>
        </w:rPr>
        <w:t xml:space="preserve"> via le lien site2_link (et retour Central via central_link)</w:t>
      </w:r>
    </w:p>
    <w:p>
      <w:pPr>
        <w:pStyle w:val="ListBullet"/>
        <w:spacing w:after="80" w:before="40"/>
        <w:ind w:left="283"/>
      </w:pPr>
      <w:r>
        <w:rPr>
          <w:b/>
          <w:sz w:val="21"/>
        </w:rPr>
        <w:t>Site2 → Site1 :</w:t>
      </w:r>
      <w:r>
        <w:rPr>
          <w:sz w:val="21"/>
        </w:rPr>
        <w:t xml:space="preserve"> via le lien site1_link (et retour Central via central_link)</w:t>
      </w:r>
    </w:p>
    <w:p>
      <w:r>
        <w:br w:type="page"/>
      </w:r>
    </w:p>
    <w:p>
      <w:pPr>
        <w:pStyle w:val="Heading1"/>
        <w:spacing w:before="360" w:after="160"/>
      </w:pPr>
      <w:r>
        <w:rPr>
          <w:color w:val="0D1B3E"/>
        </w:rPr>
        <w:t>03 | Docker Compose et Configuration Réseau</w:t>
      </w:r>
    </w:p>
    <w:p>
      <w:pPr>
        <w:spacing w:before="40" w:after="40"/>
        <w:pBdr>
          <w:bottom w:val="single" w:sz="6" w:space="1" w:color="E86B1A"/>
        </w:pBdr>
      </w:pPr>
    </w:p>
    <w:p>
      <w:pPr>
        <w:spacing w:after="120" w:before="40"/>
        <w:jc w:val="both"/>
      </w:pPr>
      <w:r>
        <w:rPr>
          <w:b w:val="0"/>
          <w:i w:val="0"/>
          <w:sz w:val="22"/>
        </w:rPr>
        <w:t>Le déploiement du cluster repose intégralement sur un fichier docker-compose.yml qui orchestre les trois services Oracle XE, configure le réseau et garantit un ordre d'initialisation strict et reproductible.</w:t>
      </w:r>
    </w:p>
    <w:p>
      <w:pPr>
        <w:pStyle w:val="Heading2"/>
        <w:spacing w:before="360" w:after="160"/>
      </w:pPr>
      <w:r>
        <w:rPr>
          <w:color w:val="E86B1A"/>
        </w:rPr>
        <w:t>3.1 Image Docker utilisée</w:t>
      </w:r>
    </w:p>
    <w:p>
      <w:pPr>
        <w:spacing w:after="120" w:before="40"/>
        <w:jc w:val="both"/>
      </w:pPr>
      <w:r>
        <w:rPr>
          <w:b w:val="0"/>
          <w:i w:val="0"/>
          <w:sz w:val="22"/>
        </w:rPr>
        <w:t>Chaque conteneur utilise l'image gvenzl/oracle-xe:21-slim, une version allégée d'Oracle XE 21c. Cette image consomme environ 2 Go de RAM par conteneur, nécessitant au minimum 8 Go de RAM disponibles sur la machine hôte pour faire fonctionner les trois nœuds simultanément.</w:t>
      </w:r>
    </w:p>
    <w:p>
      <w:pPr>
        <w:pStyle w:val="Heading2"/>
        <w:spacing w:before="360" w:after="160"/>
      </w:pPr>
      <w:r>
        <w:rPr>
          <w:color w:val="E86B1A"/>
        </w:rPr>
        <w:t>3.2 Ordre d'initialisation critique</w:t>
      </w:r>
    </w:p>
    <w:p>
      <w:pPr>
        <w:spacing w:after="120" w:before="40"/>
        <w:jc w:val="both"/>
      </w:pPr>
      <w:r>
        <w:rPr>
          <w:b w:val="0"/>
          <w:i w:val="0"/>
          <w:sz w:val="22"/>
        </w:rPr>
        <w:t>L'image gvenzl/oracle-xe exécute automatiquement tous les scripts présents dans le répertoire /docker-entrypoint-initdb.d/ par ordre alphabétique au premier démarrage. Pour garantir que les tables soient créées avant les fragments, et les fragments avant les procédures, les répertoires sont préfixés numériquement :</w:t>
      </w:r>
    </w:p>
    <w:p>
      <w:pPr>
        <w:pStyle w:val="ListBullet"/>
        <w:spacing w:after="80" w:before="40"/>
        <w:ind w:left="283"/>
      </w:pPr>
      <w:r>
        <w:rPr>
          <w:b/>
          <w:sz w:val="21"/>
        </w:rPr>
        <w:t>01_schema/</w:t>
      </w:r>
      <w:r>
        <w:rPr>
          <w:sz w:val="21"/>
        </w:rPr>
        <w:t xml:space="preserve"> → CREATE TABLE (tables globales vides)</w:t>
      </w:r>
    </w:p>
    <w:p>
      <w:pPr>
        <w:pStyle w:val="ListBullet"/>
        <w:spacing w:after="80" w:before="40"/>
        <w:ind w:left="283"/>
      </w:pPr>
      <w:r>
        <w:rPr>
          <w:b/>
          <w:sz w:val="21"/>
        </w:rPr>
        <w:t>02_data/</w:t>
      </w:r>
      <w:r>
        <w:rPr>
          <w:sz w:val="21"/>
        </w:rPr>
        <w:t xml:space="preserve"> → INSERT des données initiales (25 lignes de commande)</w:t>
      </w:r>
    </w:p>
    <w:p>
      <w:pPr>
        <w:pStyle w:val="ListBullet"/>
        <w:spacing w:after="80" w:before="40"/>
        <w:ind w:left="283"/>
      </w:pPr>
      <w:r>
        <w:rPr>
          <w:b/>
          <w:sz w:val="21"/>
        </w:rPr>
        <w:t>03_grants.sh</w:t>
      </w:r>
      <w:r>
        <w:rPr>
          <w:sz w:val="21"/>
        </w:rPr>
        <w:t xml:space="preserve"> → GRANT des privilèges SYS vers l'utilisateur applicatif</w:t>
      </w:r>
    </w:p>
    <w:p>
      <w:pPr>
        <w:pStyle w:val="ListBullet"/>
        <w:spacing w:after="80" w:before="40"/>
        <w:ind w:left="283"/>
      </w:pPr>
      <w:r>
        <w:rPr>
          <w:b/>
          <w:sz w:val="21"/>
        </w:rPr>
        <w:t>04_dblinks/</w:t>
      </w:r>
      <w:r>
        <w:rPr>
          <w:sz w:val="21"/>
        </w:rPr>
        <w:t xml:space="preserve"> → CREATE DATABASE LINK (nécessite le grant préalable)</w:t>
      </w:r>
    </w:p>
    <w:p>
      <w:pPr>
        <w:pStyle w:val="ListBullet"/>
        <w:spacing w:after="80" w:before="40"/>
        <w:ind w:left="283"/>
      </w:pPr>
      <w:r>
        <w:rPr>
          <w:b/>
          <w:sz w:val="21"/>
        </w:rPr>
        <w:t>05_fragments/</w:t>
      </w:r>
      <w:r>
        <w:rPr>
          <w:sz w:val="21"/>
        </w:rPr>
        <w:t xml:space="preserve"> → CREATE TABLE AS SELECT (fragmentation — nécessite les données de 02)</w:t>
      </w:r>
    </w:p>
    <w:p>
      <w:pPr>
        <w:pStyle w:val="ListBullet"/>
        <w:spacing w:after="80" w:before="40"/>
        <w:ind w:left="283"/>
      </w:pPr>
      <w:r>
        <w:rPr>
          <w:b/>
          <w:sz w:val="21"/>
        </w:rPr>
        <w:t>06_procedures/</w:t>
      </w:r>
      <w:r>
        <w:rPr>
          <w:sz w:val="21"/>
        </w:rPr>
        <w:t xml:space="preserve"> → CREATE PROCEDURE (nécessite que les tables fragmentées existent)</w:t>
      </w:r>
    </w:p>
    <w:p>
      <w:pPr>
        <w:pStyle w:val="ListBullet"/>
        <w:spacing w:after="80" w:before="40"/>
        <w:ind w:left="283"/>
      </w:pPr>
      <w:r>
        <w:rPr>
          <w:b/>
          <w:sz w:val="21"/>
        </w:rPr>
        <w:t>07_triggers/</w:t>
      </w:r>
      <w:r>
        <w:rPr>
          <w:sz w:val="21"/>
        </w:rPr>
        <w:t xml:space="preserve"> → CREATE TRIGGER (nécessite les tables et procédures)</w:t>
      </w:r>
    </w:p>
    <w:p>
      <w:pPr>
        <w:pStyle w:val="ListBullet"/>
        <w:spacing w:after="80" w:before="40"/>
        <w:ind w:left="283"/>
      </w:pPr>
      <w:r>
        <w:rPr>
          <w:b/>
          <w:sz w:val="21"/>
        </w:rPr>
        <w:t>08_indexes/</w:t>
      </w:r>
      <w:r>
        <w:rPr>
          <w:sz w:val="21"/>
        </w:rPr>
        <w:t xml:space="preserve"> → CREATE INDEX</w:t>
      </w:r>
    </w:p>
    <w:p>
      <w:pPr>
        <w:pStyle w:val="ListBullet"/>
        <w:spacing w:after="80" w:before="40"/>
        <w:ind w:left="283"/>
      </w:pPr>
      <w:r>
        <w:rPr>
          <w:b/>
          <w:sz w:val="21"/>
        </w:rPr>
        <w:t>09_synonyms/</w:t>
      </w:r>
      <w:r>
        <w:rPr>
          <w:sz w:val="21"/>
        </w:rPr>
        <w:t xml:space="preserve"> → CREATE SYNONYM</w:t>
      </w:r>
    </w:p>
    <w:p>
      <w:pPr>
        <w:spacing w:after="160" w:before="40"/>
        <w:jc w:val="both"/>
      </w:pPr>
      <w:r>
        <w:rPr>
          <w:b w:val="0"/>
          <w:i/>
          <w:color w:val="884400"/>
          <w:sz w:val="22"/>
        </w:rPr>
        <w:t>Sans ce préfixage numérique, l'ordre alphabétique brut (fragments/ &lt; schema/) aurait exécuté les scripts de fragmentation avant la création du schéma, causant des erreurs de table inexistante.</w:t>
      </w:r>
    </w:p>
    <w:p>
      <w:pPr>
        <w:pStyle w:val="Heading2"/>
        <w:spacing w:before="360" w:after="160"/>
      </w:pPr>
      <w:r>
        <w:rPr>
          <w:color w:val="E86B1A"/>
        </w:rPr>
        <w:t>3.3 Configuration réseau</w:t>
      </w:r>
    </w:p>
    <w:p>
      <w:pPr>
        <w:spacing w:after="120" w:before="40"/>
        <w:jc w:val="both"/>
      </w:pPr>
      <w:r>
        <w:rPr>
          <w:b w:val="0"/>
          <w:i w:val="0"/>
          <w:sz w:val="22"/>
        </w:rPr>
        <w:t>Un réseau bridge Docker nommé eshop-network est créé avec le sous-réseau 172.20.0.0/16. Les adresses IP fixes sont obligatoires pour que les Database Links puissent résoudre les connexions par nom d'hôte :</w:t>
      </w:r>
    </w:p>
    <w:p>
      <w:pPr>
        <w:pStyle w:val="ListBullet"/>
        <w:spacing w:after="80" w:before="40"/>
        <w:ind w:left="283"/>
      </w:pPr>
      <w:r>
        <w:rPr>
          <w:sz w:val="21"/>
        </w:rPr>
        <w:t>oracle-site1 → 172.20.0.10</w:t>
      </w:r>
    </w:p>
    <w:p>
      <w:pPr>
        <w:pStyle w:val="ListBullet"/>
        <w:spacing w:after="80" w:before="40"/>
        <w:ind w:left="283"/>
      </w:pPr>
      <w:r>
        <w:rPr>
          <w:sz w:val="21"/>
        </w:rPr>
        <w:t>oracle-site2 → 172.20.0.11</w:t>
      </w:r>
    </w:p>
    <w:p>
      <w:pPr>
        <w:pStyle w:val="ListBullet"/>
        <w:spacing w:after="80" w:before="40"/>
        <w:ind w:left="283"/>
      </w:pPr>
      <w:r>
        <w:rPr>
          <w:sz w:val="21"/>
        </w:rPr>
        <w:t>oracle-central → 172.20.0.12</w:t>
      </w:r>
    </w:p>
    <w:p>
      <w:pPr>
        <w:pStyle w:val="Heading2"/>
        <w:spacing w:before="360" w:after="160"/>
      </w:pPr>
      <w:r>
        <w:rPr>
          <w:color w:val="E86B1A"/>
        </w:rPr>
        <w:t>3.4 Healthcheck et démarrage ordonné</w:t>
      </w:r>
    </w:p>
    <w:p>
      <w:pPr>
        <w:spacing w:after="120" w:before="40"/>
        <w:jc w:val="both"/>
      </w:pPr>
      <w:r>
        <w:rPr>
          <w:b w:val="0"/>
          <w:i w:val="0"/>
          <w:sz w:val="22"/>
        </w:rPr>
        <w:t>Chaque service déclare un healthcheck basé sur le script healthcheck.sh fourni par l'image (intervalle : 30s, retries : 10, start_period : 120–180s). Le service oracle-central déclare une dépendance depends_on avec condition: service_healthy vers Site1 et Site2, garantissant que la couche de routage ne démarre que lorsque les deux sites sont pleinement opérationnels.</w:t>
      </w:r>
    </w:p>
    <w:p>
      <w:pPr>
        <w:spacing w:after="120" w:before="40"/>
        <w:jc w:val="both"/>
      </w:pPr>
      <w:r>
        <w:rPr>
          <w:b w:val="0"/>
          <w:i/>
          <w:sz w:val="22"/>
        </w:rPr>
        <w:t>Le script start.sh orchestre le démarrage en plusieurs étapes : suppression des volumes précédents (down -v), démarrage de Site1 et Site2, attente de l'état healthy, puis démarrage du Central.</w:t>
      </w:r>
    </w:p>
    <w:p>
      <w:pPr>
        <w:spacing w:before="80" w:after="80"/>
        <w:ind w:left="454"/>
        <w:shd w:val="clear" w:color="auto" w:fill="F0F0F0"/>
      </w:pPr>
      <w:r>
        <w:rPr>
          <w:rFonts w:ascii="Courier New" w:hAnsi="Courier New"/>
          <w:sz w:val="17"/>
        </w:rPr>
        <w:t>scripts/start.sh → down -v → up site1+site2 → attente healthy → up central</w:t>
      </w:r>
    </w:p>
    <w:p>
      <w:pPr>
        <w:pStyle w:val="Heading2"/>
        <w:spacing w:before="360" w:after="160"/>
      </w:pPr>
      <w:r>
        <w:rPr>
          <w:color w:val="E86B1A"/>
        </w:rPr>
        <w:t>3.5 Sécurité des volumes</w:t>
      </w:r>
    </w:p>
    <w:p>
      <w:pPr>
        <w:spacing w:after="120" w:before="40"/>
        <w:jc w:val="both"/>
      </w:pPr>
      <w:r>
        <w:rPr>
          <w:b w:val="0"/>
          <w:i w:val="0"/>
          <w:sz w:val="22"/>
        </w:rPr>
        <w:t>Tous les répertoires de scripts sont montés en mode lecture seule (:ro) dans les conteneurs, empêchant toute modification accidentelle depuis l'intérieur du conteneur. Chaque nœud possède son propre mot de passe Oracle distinct (oracle1, oracle2, oraclecentral) ainsi qu'un utilisateur applicatif dédié.</w:t>
      </w:r>
    </w:p>
    <w:p>
      <w:r>
        <w:br w:type="page"/>
      </w:r>
    </w:p>
    <w:p>
      <w:pPr>
        <w:pStyle w:val="Heading1"/>
        <w:spacing w:before="360" w:after="160"/>
      </w:pPr>
      <w:r>
        <w:rPr>
          <w:color w:val="0D1B3E"/>
        </w:rPr>
        <w:t>04 | Fragmentation Horizontale — 2 Scénarios</w:t>
      </w:r>
    </w:p>
    <w:p>
      <w:pPr>
        <w:spacing w:before="40" w:after="40"/>
        <w:pBdr>
          <w:bottom w:val="single" w:sz="6" w:space="1" w:color="E86B1A"/>
        </w:pBdr>
      </w:pPr>
    </w:p>
    <w:p>
      <w:pPr>
        <w:spacing w:after="120" w:before="40"/>
        <w:jc w:val="both"/>
      </w:pPr>
      <w:r>
        <w:rPr>
          <w:b w:val="0"/>
          <w:i w:val="0"/>
          <w:sz w:val="22"/>
        </w:rPr>
        <w:t>La fragmentation horizontale consiste à répartir les lignes d'une table entre plusieurs nœuds selon un critère de partitionnement. Chaque fragment ne contient qu'un sous-ensemble des lignes, et l'union de tous les fragments reconstitue la table globale. Deux scénarios de fragmentation sont implémentés dans ce projet.</w:t>
      </w:r>
    </w:p>
    <w:p>
      <w:pPr>
        <w:pStyle w:val="Heading2"/>
        <w:spacing w:before="360" w:after="160"/>
      </w:pPr>
      <w:r>
        <w:rPr>
          <w:color w:val="E86B1A"/>
        </w:rPr>
        <w:t>4.1 Scénario 1 — Fragmentation par Catégorie de Produit</w:t>
      </w:r>
    </w:p>
    <w:p>
      <w:pPr>
        <w:spacing w:after="120" w:before="40"/>
        <w:jc w:val="both"/>
      </w:pPr>
      <w:r>
        <w:rPr>
          <w:b w:val="0"/>
          <w:i w:val="0"/>
          <w:sz w:val="22"/>
        </w:rPr>
        <w:t>Le critère de distribution est la colonne IDCATEG (identifiant de catégorie de produit). Ce scénario est activé en changeant les volumes montés dans docker-compose.yml pour pointer vers les dossiers scenario1/.</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Critère</w:t>
            </w:r>
          </w:p>
        </w:tc>
        <w:tc>
          <w:tcPr>
            <w:tcW w:type="dxa" w:w="3022"/>
            <w:shd w:val="clear" w:color="auto" w:fill="1A3F7A"/>
          </w:tcPr>
          <w:p>
            <w:pPr>
              <w:jc w:val="center"/>
            </w:pPr>
            <w:r>
              <w:rPr>
                <w:b/>
                <w:color w:val="FFFFFF"/>
                <w:sz w:val="20"/>
              </w:rPr>
              <w:t>Site 1 (oracle-site1)</w:t>
            </w:r>
          </w:p>
        </w:tc>
        <w:tc>
          <w:tcPr>
            <w:tcW w:type="dxa" w:w="3022"/>
            <w:shd w:val="clear" w:color="auto" w:fill="1A3F7A"/>
          </w:tcPr>
          <w:p>
            <w:pPr>
              <w:jc w:val="center"/>
            </w:pPr>
            <w:r>
              <w:rPr>
                <w:b/>
                <w:color w:val="FFFFFF"/>
                <w:sz w:val="20"/>
              </w:rPr>
              <w:t>Site 2 (oracle-site2)</w:t>
            </w:r>
          </w:p>
        </w:tc>
      </w:tr>
      <w:tr>
        <w:tc>
          <w:tcPr>
            <w:tcW w:type="dxa" w:w="3022"/>
            <w:shd w:val="clear" w:color="auto" w:fill="FFFFFF"/>
          </w:tcPr>
          <w:p>
            <w:r>
              <w:rPr>
                <w:sz w:val="20"/>
              </w:rPr>
              <w:t>IDCATEG = ?</w:t>
            </w:r>
          </w:p>
        </w:tc>
        <w:tc>
          <w:tcPr>
            <w:tcW w:type="dxa" w:w="3022"/>
            <w:shd w:val="clear" w:color="auto" w:fill="FFFFFF"/>
          </w:tcPr>
          <w:p>
            <w:r>
              <w:rPr>
                <w:sz w:val="20"/>
              </w:rPr>
              <w:t>IDCATEG = 50 (Informatique)</w:t>
            </w:r>
          </w:p>
        </w:tc>
        <w:tc>
          <w:tcPr>
            <w:tcW w:type="dxa" w:w="3022"/>
            <w:shd w:val="clear" w:color="auto" w:fill="FFFFFF"/>
          </w:tcPr>
          <w:p>
            <w:r>
              <w:rPr>
                <w:sz w:val="20"/>
              </w:rPr>
              <w:t>IDCATEG = 35 (Accessoires)</w:t>
            </w:r>
          </w:p>
        </w:tc>
      </w:tr>
      <w:tr>
        <w:tc>
          <w:tcPr>
            <w:tcW w:type="dxa" w:w="3022"/>
            <w:shd w:val="clear" w:color="auto" w:fill="F5F8FF"/>
          </w:tcPr>
          <w:p>
            <w:r>
              <w:rPr>
                <w:sz w:val="20"/>
              </w:rPr>
              <w:t>Tables</w:t>
            </w:r>
          </w:p>
        </w:tc>
        <w:tc>
          <w:tcPr>
            <w:tcW w:type="dxa" w:w="3022"/>
            <w:shd w:val="clear" w:color="auto" w:fill="F5F8FF"/>
          </w:tcPr>
          <w:p>
            <w:r>
              <w:rPr>
                <w:sz w:val="20"/>
              </w:rPr>
              <w:t>Categories1_sc1, Produits1_sc1,</w:t>
              <w:br/>
              <w:t>LigneCommandes1_sc1</w:t>
            </w:r>
          </w:p>
        </w:tc>
        <w:tc>
          <w:tcPr>
            <w:tcW w:type="dxa" w:w="3022"/>
            <w:shd w:val="clear" w:color="auto" w:fill="F5F8FF"/>
          </w:tcPr>
          <w:p>
            <w:r>
              <w:rPr>
                <w:sz w:val="20"/>
              </w:rPr>
              <w:t>Categories2_sc1, Produits2_sc1,</w:t>
              <w:br/>
              <w:t>LigneCommandes2_sc1</w:t>
            </w:r>
          </w:p>
        </w:tc>
      </w:tr>
    </w:tbl>
    <w:p>
      <w:pPr>
        <w:spacing w:after="160"/>
      </w:pPr>
    </w:p>
    <w:p>
      <w:pPr>
        <w:pStyle w:val="Heading2"/>
        <w:spacing w:before="360" w:after="160"/>
      </w:pPr>
      <w:r>
        <w:rPr>
          <w:color w:val="E86B1A"/>
        </w:rPr>
        <w:t>4.2 Scénario 2 — Fragmentation par Volume (Déployé par défaut)</w:t>
      </w:r>
    </w:p>
    <w:p>
      <w:pPr>
        <w:spacing w:after="120" w:before="40"/>
        <w:jc w:val="both"/>
      </w:pPr>
      <w:r>
        <w:rPr>
          <w:b w:val="0"/>
          <w:i w:val="0"/>
          <w:sz w:val="22"/>
        </w:rPr>
        <w:t>Le scénario 2 est celui déployé par défaut dans le docker-compose.yml. Le critère de distribution est la colonne QUANTITE (quantité commandée). Ce scénario simule une architecture où les commandes en gros volume sont traitées sur un site spécialisé (grossistes) et les commandes de faible volume sur un autre (détaillants).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D4E2E"/>
          </w:tcPr>
          <w:p>
            <w:pPr>
              <w:jc w:val="center"/>
            </w:pPr>
            <w:r>
              <w:rPr>
                <w:b/>
                <w:color w:val="FFFFFF"/>
                <w:sz w:val="20"/>
              </w:rPr>
              <w:t>Critère</w:t>
            </w:r>
          </w:p>
        </w:tc>
        <w:tc>
          <w:tcPr>
            <w:tcW w:type="dxa" w:w="3022"/>
            <w:shd w:val="clear" w:color="auto" w:fill="0D4E2E"/>
          </w:tcPr>
          <w:p>
            <w:pPr>
              <w:jc w:val="center"/>
            </w:pPr>
            <w:r>
              <w:rPr>
                <w:b/>
                <w:color w:val="FFFFFF"/>
                <w:sz w:val="20"/>
              </w:rPr>
              <w:t>Site 1 (Grossistes)</w:t>
            </w:r>
          </w:p>
        </w:tc>
        <w:tc>
          <w:tcPr>
            <w:tcW w:type="dxa" w:w="3022"/>
            <w:shd w:val="clear" w:color="auto" w:fill="0D4E2E"/>
          </w:tcPr>
          <w:p>
            <w:pPr>
              <w:jc w:val="center"/>
            </w:pPr>
            <w:r>
              <w:rPr>
                <w:b/>
                <w:color w:val="FFFFFF"/>
                <w:sz w:val="20"/>
              </w:rPr>
              <w:t>Site 2 (Détaillants)</w:t>
            </w:r>
          </w:p>
        </w:tc>
      </w:tr>
      <w:tr>
        <w:tc>
          <w:tcPr>
            <w:tcW w:type="dxa" w:w="3022"/>
            <w:shd w:val="clear" w:color="auto" w:fill="FFFFFF"/>
          </w:tcPr>
          <w:p>
            <w:r>
              <w:rPr>
                <w:sz w:val="20"/>
              </w:rPr>
              <w:t>Règle QUANTITE</w:t>
            </w:r>
          </w:p>
        </w:tc>
        <w:tc>
          <w:tcPr>
            <w:tcW w:type="dxa" w:w="3022"/>
            <w:shd w:val="clear" w:color="auto" w:fill="FFFFFF"/>
          </w:tcPr>
          <w:p>
            <w:r>
              <w:rPr>
                <w:sz w:val="20"/>
              </w:rPr>
              <w:t>QUANTITE ≥ 100</w:t>
            </w:r>
          </w:p>
        </w:tc>
        <w:tc>
          <w:tcPr>
            <w:tcW w:type="dxa" w:w="3022"/>
            <w:shd w:val="clear" w:color="auto" w:fill="FFFFFF"/>
          </w:tcPr>
          <w:p>
            <w:r>
              <w:rPr>
                <w:sz w:val="20"/>
              </w:rPr>
              <w:t>QUANTITE &lt; 100</w:t>
            </w:r>
          </w:p>
        </w:tc>
      </w:tr>
      <w:tr>
        <w:tc>
          <w:tcPr>
            <w:tcW w:type="dxa" w:w="3022"/>
            <w:shd w:val="clear" w:color="auto" w:fill="F0FFF4"/>
          </w:tcPr>
          <w:p>
            <w:r>
              <w:rPr>
                <w:sz w:val="20"/>
              </w:rPr>
              <w:t>Nb lignes</w:t>
            </w:r>
          </w:p>
        </w:tc>
        <w:tc>
          <w:tcPr>
            <w:tcW w:type="dxa" w:w="3022"/>
            <w:shd w:val="clear" w:color="auto" w:fill="F0FFF4"/>
          </w:tcPr>
          <w:p>
            <w:r>
              <w:rPr>
                <w:sz w:val="20"/>
              </w:rPr>
              <w:t>12 lignes</w:t>
            </w:r>
          </w:p>
        </w:tc>
        <w:tc>
          <w:tcPr>
            <w:tcW w:type="dxa" w:w="3022"/>
            <w:shd w:val="clear" w:color="auto" w:fill="F0FFF4"/>
          </w:tcPr>
          <w:p>
            <w:r>
              <w:rPr>
                <w:sz w:val="20"/>
              </w:rPr>
              <w:t>13 lignes</w:t>
            </w:r>
          </w:p>
        </w:tc>
      </w:tr>
      <w:tr>
        <w:tc>
          <w:tcPr>
            <w:tcW w:type="dxa" w:w="3022"/>
            <w:shd w:val="clear" w:color="auto" w:fill="FFFFFF"/>
          </w:tcPr>
          <w:p>
            <w:r>
              <w:rPr>
                <w:sz w:val="20"/>
              </w:rPr>
              <w:t>Tables</w:t>
            </w:r>
          </w:p>
        </w:tc>
        <w:tc>
          <w:tcPr>
            <w:tcW w:type="dxa" w:w="3022"/>
            <w:shd w:val="clear" w:color="auto" w:fill="FFFFFF"/>
          </w:tcPr>
          <w:p>
            <w:r>
              <w:rPr>
                <w:sz w:val="20"/>
              </w:rPr>
              <w:t>LigneCommandes1, Commandes1,</w:t>
              <w:br/>
              <w:t>Clients1, Produits1</w:t>
            </w:r>
          </w:p>
        </w:tc>
        <w:tc>
          <w:tcPr>
            <w:tcW w:type="dxa" w:w="3022"/>
            <w:shd w:val="clear" w:color="auto" w:fill="FFFFFF"/>
          </w:tcPr>
          <w:p>
            <w:r>
              <w:rPr>
                <w:sz w:val="20"/>
              </w:rPr>
              <w:t>LigneCommandes2, Commandes2,</w:t>
              <w:br/>
              <w:t>Clients2, Produits2</w:t>
            </w:r>
          </w:p>
        </w:tc>
      </w:tr>
    </w:tbl>
    <w:p>
      <w:pPr>
        <w:spacing w:after="160"/>
      </w:pPr>
    </w:p>
    <w:p>
      <w:pPr>
        <w:pStyle w:val="Heading2"/>
        <w:spacing w:before="360" w:after="160"/>
      </w:pPr>
      <w:r>
        <w:rPr>
          <w:color w:val="E86B1A"/>
        </w:rPr>
        <w:t>4.3 Contraintes CHECK d'intégrité de fragmentation</w:t>
      </w:r>
    </w:p>
    <w:p>
      <w:pPr>
        <w:spacing w:after="120" w:before="40"/>
        <w:jc w:val="both"/>
      </w:pPr>
      <w:r>
        <w:rPr>
          <w:b w:val="0"/>
          <w:i w:val="0"/>
          <w:sz w:val="22"/>
        </w:rPr>
        <w:t>Chaque table de fragment porte une contrainte CHECK Oracle qui empêche physiquement l'insertion de données ne respectant pas la règle de fragmentation. Cette contrainte constitue un verrou de cohérence au niveau du moteur de base de données, indépendamment des procédures et triggers applicatifs :</w:t>
      </w:r>
    </w:p>
    <w:p>
      <w:pPr>
        <w:spacing w:before="80" w:after="80"/>
        <w:ind w:left="454"/>
        <w:shd w:val="clear" w:color="auto" w:fill="F0F0F0"/>
      </w:pPr>
      <w:r>
        <w:rPr>
          <w:rFonts w:ascii="Courier New" w:hAnsi="Courier New"/>
          <w:sz w:val="17"/>
        </w:rPr>
        <w:t>-- Sur LigneCommandes1 (Site 1)</w:t>
        <w:br/>
        <w:t>CHECK (QUANTITE &gt;= 100)</w:t>
        <w:br/>
        <w:br/>
        <w:t>-- Sur LigneCommandes2 (Site 2)</w:t>
        <w:br/>
        <w:t>CHECK (QUANTITE &lt; 100)</w:t>
      </w:r>
    </w:p>
    <w:p>
      <w:pPr>
        <w:pStyle w:val="Heading2"/>
        <w:spacing w:before="360" w:after="160"/>
      </w:pPr>
      <w:r>
        <w:rPr>
          <w:color w:val="E86B1A"/>
        </w:rPr>
        <w:t>4.4 Résultats des tests de fragmentation</w:t>
      </w:r>
    </w:p>
    <w:p>
      <w:pPr>
        <w:spacing w:after="120" w:before="40"/>
        <w:jc w:val="both"/>
      </w:pPr>
      <w:r>
        <w:rPr>
          <w:b w:val="0"/>
          <w:i w:val="0"/>
          <w:sz w:val="22"/>
        </w:rPr>
        <w:t>Les tests effectués sur les deux sites ont validé le comportement attendu du mécanisme de fragmentation :</w:t>
      </w:r>
    </w:p>
    <w:p>
      <w:pPr>
        <w:spacing w:after="60" w:before="40"/>
        <w:jc w:val="both"/>
      </w:pPr>
      <w:r>
        <w:rPr>
          <w:b/>
          <w:i w:val="0"/>
          <w:sz w:val="22"/>
        </w:rPr>
        <w:t>Site 1 (QUANTITE ≥ 100) — résultats observés :</w:t>
      </w:r>
    </w:p>
    <w:p>
      <w:pPr>
        <w:pStyle w:val="ListBullet"/>
        <w:spacing w:after="80" w:before="40"/>
        <w:ind w:left="283"/>
      </w:pPr>
      <w:r>
        <w:rPr>
          <w:sz w:val="21"/>
        </w:rPr>
        <w:t>Insertions avec Qte=150, 200, 100 → acceptées (OK)</w:t>
      </w:r>
    </w:p>
    <w:p>
      <w:pPr>
        <w:pStyle w:val="ListBullet"/>
        <w:spacing w:after="80" w:before="40"/>
        <w:ind w:left="283"/>
      </w:pPr>
      <w:r>
        <w:rPr>
          <w:sz w:val="21"/>
        </w:rPr>
        <w:t>Insertion avec Qte=50 → rejetée : ORA-20001 SITE1 ERROR (appartient à Site2)</w:t>
      </w:r>
    </w:p>
    <w:p>
      <w:pPr>
        <w:pStyle w:val="ListBullet"/>
        <w:spacing w:after="80" w:before="40"/>
        <w:ind w:left="283"/>
      </w:pPr>
      <w:r>
        <w:rPr>
          <w:sz w:val="21"/>
        </w:rPr>
        <w:t>Insertion avec commande inexistante (999) → rejetée : ORA-20002</w:t>
      </w:r>
    </w:p>
    <w:p>
      <w:pPr>
        <w:pStyle w:val="ListBullet"/>
        <w:spacing w:after="80" w:before="40"/>
        <w:ind w:left="283"/>
      </w:pPr>
      <w:r>
        <w:rPr>
          <w:sz w:val="21"/>
        </w:rPr>
        <w:t>UPDATE de la ligne 101 (Qte=300) → acceptée et vérifiée par SELECT</w:t>
      </w:r>
    </w:p>
    <w:p>
      <w:pPr>
        <w:spacing w:after="60" w:before="40"/>
        <w:jc w:val="both"/>
      </w:pPr>
      <w:r>
        <w:rPr>
          <w:b/>
          <w:i w:val="0"/>
          <w:sz w:val="22"/>
        </w:rPr>
        <w:t>Site 2 (QUANTITE &lt; 100) — résultats observés :</w:t>
      </w:r>
    </w:p>
    <w:p>
      <w:pPr>
        <w:pStyle w:val="ListBullet"/>
        <w:spacing w:after="80" w:before="40"/>
        <w:ind w:left="283"/>
      </w:pPr>
      <w:r>
        <w:rPr>
          <w:sz w:val="21"/>
        </w:rPr>
        <w:t>Insertions avec Qte=45, 80, 25 → acceptées (OK)</w:t>
      </w:r>
    </w:p>
    <w:p>
      <w:pPr>
        <w:pStyle w:val="ListBullet"/>
        <w:spacing w:after="80" w:before="40"/>
        <w:ind w:left="283"/>
      </w:pPr>
      <w:r>
        <w:rPr>
          <w:sz w:val="21"/>
        </w:rPr>
        <w:t>Insertion avec Qte=150 → rejetée : ORA-20001 SITE2 ERROR (appartient à Site1)</w:t>
      </w:r>
    </w:p>
    <w:p>
      <w:pPr>
        <w:pStyle w:val="ListBullet"/>
        <w:spacing w:after="80" w:before="40"/>
        <w:ind w:left="283"/>
      </w:pPr>
      <w:r>
        <w:rPr>
          <w:sz w:val="21"/>
        </w:rPr>
        <w:t>UPDATE valide sur ligne 301 → OK</w:t>
      </w:r>
    </w:p>
    <w:p>
      <w:pPr>
        <w:pStyle w:val="ListBullet"/>
        <w:spacing w:after="80" w:before="40"/>
        <w:ind w:left="283"/>
      </w:pPr>
      <w:r>
        <w:rPr>
          <w:sz w:val="21"/>
        </w:rPr>
        <w:t>UPDATE avec Qte=120 → rejeté : ORA-20006 (dépasse le seuil de 100)</w:t>
      </w:r>
    </w:p>
    <w:p>
      <w:pPr>
        <w:pStyle w:val="ListBullet"/>
        <w:spacing w:after="80" w:before="40"/>
        <w:ind w:left="283"/>
      </w:pPr>
      <w:r>
        <w:rPr>
          <w:sz w:val="21"/>
        </w:rPr>
        <w:t>DELETE de la ligne 303 et nettoyage de la commande orpheline 4 → OK</w:t>
      </w:r>
    </w:p>
    <w:p>
      <w:r>
        <w:br w:type="page"/>
      </w:r>
    </w:p>
    <w:p>
      <w:pPr>
        <w:pStyle w:val="Heading1"/>
        <w:spacing w:before="360" w:after="160"/>
      </w:pPr>
      <w:r>
        <w:rPr>
          <w:color w:val="0D1B3E"/>
        </w:rPr>
        <w:t>05 | Database Links et Synonymes</w:t>
      </w:r>
    </w:p>
    <w:p>
      <w:pPr>
        <w:spacing w:before="40" w:after="40"/>
        <w:pBdr>
          <w:bottom w:val="single" w:sz="6" w:space="1" w:color="E86B1A"/>
        </w:pBdr>
      </w:pPr>
    </w:p>
    <w:p>
      <w:pPr>
        <w:pStyle w:val="Heading2"/>
        <w:spacing w:before="360" w:after="160"/>
      </w:pPr>
      <w:r>
        <w:rPr>
          <w:color w:val="E86B1A"/>
        </w:rPr>
        <w:t>5.1 Les 6 Database Links bidirectionnels</w:t>
      </w:r>
    </w:p>
    <w:p>
      <w:pPr>
        <w:spacing w:after="120" w:before="40"/>
        <w:jc w:val="both"/>
      </w:pPr>
      <w:r>
        <w:rPr>
          <w:b w:val="0"/>
          <w:i w:val="0"/>
          <w:sz w:val="22"/>
        </w:rPr>
        <w:t>Un Database Link Oracle est un objet de schéma permettant à une session connectée à une base de données d'accéder aux objets d'une autre base distante. Six liens bidirectionnels sont créés dans ce projet, couvrant toutes les paires de nœuds :</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Depuis</w:t>
            </w:r>
          </w:p>
        </w:tc>
        <w:tc>
          <w:tcPr>
            <w:tcW w:type="dxa" w:w="3022"/>
            <w:shd w:val="clear" w:color="auto" w:fill="1A3F7A"/>
          </w:tcPr>
          <w:p>
            <w:pPr>
              <w:jc w:val="center"/>
            </w:pPr>
            <w:r>
              <w:rPr>
                <w:b/>
                <w:color w:val="FFFFFF"/>
                <w:sz w:val="20"/>
              </w:rPr>
              <w:t>Vers</w:t>
            </w:r>
          </w:p>
        </w:tc>
        <w:tc>
          <w:tcPr>
            <w:tcW w:type="dxa" w:w="3022"/>
            <w:shd w:val="clear" w:color="auto" w:fill="1A3F7A"/>
          </w:tcPr>
          <w:p>
            <w:pPr>
              <w:jc w:val="center"/>
            </w:pPr>
            <w:r>
              <w:rPr>
                <w:b/>
                <w:color w:val="FFFFFF"/>
                <w:sz w:val="20"/>
              </w:rPr>
              <w:t>Nom du lien</w:t>
            </w:r>
          </w:p>
        </w:tc>
      </w:tr>
      <w:tr>
        <w:tc>
          <w:tcPr>
            <w:tcW w:type="dxa" w:w="3022"/>
            <w:shd w:val="clear" w:color="auto" w:fill="FFFFFF"/>
          </w:tcPr>
          <w:p>
            <w:pPr>
              <w:jc w:val="center"/>
            </w:pPr>
            <w:r>
              <w:rPr>
                <w:sz w:val="20"/>
              </w:rPr>
              <w:t>oracle-central</w:t>
            </w:r>
          </w:p>
        </w:tc>
        <w:tc>
          <w:tcPr>
            <w:tcW w:type="dxa" w:w="3022"/>
            <w:shd w:val="clear" w:color="auto" w:fill="FFFFFF"/>
          </w:tcPr>
          <w:p>
            <w:pPr>
              <w:jc w:val="center"/>
            </w:pPr>
            <w:r>
              <w:rPr>
                <w:sz w:val="20"/>
              </w:rPr>
              <w:t>oracle-site1</w:t>
            </w:r>
          </w:p>
        </w:tc>
        <w:tc>
          <w:tcPr>
            <w:tcW w:type="dxa" w:w="3022"/>
            <w:shd w:val="clear" w:color="auto" w:fill="FFFFFF"/>
          </w:tcPr>
          <w:p>
            <w:pPr>
              <w:jc w:val="center"/>
            </w:pPr>
            <w:r>
              <w:rPr>
                <w:sz w:val="20"/>
              </w:rPr>
              <w:t>site1_link</w:t>
            </w:r>
          </w:p>
        </w:tc>
      </w:tr>
      <w:tr>
        <w:tc>
          <w:tcPr>
            <w:tcW w:type="dxa" w:w="3022"/>
            <w:shd w:val="clear" w:color="auto" w:fill="F5F8FF"/>
          </w:tcPr>
          <w:p>
            <w:pPr>
              <w:jc w:val="center"/>
            </w:pPr>
            <w:r>
              <w:rPr>
                <w:sz w:val="20"/>
              </w:rPr>
              <w:t>oracle-central</w:t>
            </w:r>
          </w:p>
        </w:tc>
        <w:tc>
          <w:tcPr>
            <w:tcW w:type="dxa" w:w="3022"/>
            <w:shd w:val="clear" w:color="auto" w:fill="F5F8FF"/>
          </w:tcPr>
          <w:p>
            <w:pPr>
              <w:jc w:val="center"/>
            </w:pPr>
            <w:r>
              <w:rPr>
                <w:sz w:val="20"/>
              </w:rPr>
              <w:t>oracle-site2</w:t>
            </w:r>
          </w:p>
        </w:tc>
        <w:tc>
          <w:tcPr>
            <w:tcW w:type="dxa" w:w="3022"/>
            <w:shd w:val="clear" w:color="auto" w:fill="F5F8FF"/>
          </w:tcPr>
          <w:p>
            <w:pPr>
              <w:jc w:val="center"/>
            </w:pPr>
            <w:r>
              <w:rPr>
                <w:sz w:val="20"/>
              </w:rPr>
              <w:t>site2_link</w:t>
            </w:r>
          </w:p>
        </w:tc>
      </w:tr>
      <w:tr>
        <w:tc>
          <w:tcPr>
            <w:tcW w:type="dxa" w:w="3022"/>
            <w:shd w:val="clear" w:color="auto" w:fill="FFFFFF"/>
          </w:tcPr>
          <w:p>
            <w:pPr>
              <w:jc w:val="center"/>
            </w:pPr>
            <w:r>
              <w:rPr>
                <w:sz w:val="20"/>
              </w:rPr>
              <w:t>oracle-site1</w:t>
            </w:r>
          </w:p>
        </w:tc>
        <w:tc>
          <w:tcPr>
            <w:tcW w:type="dxa" w:w="3022"/>
            <w:shd w:val="clear" w:color="auto" w:fill="FFFFFF"/>
          </w:tcPr>
          <w:p>
            <w:pPr>
              <w:jc w:val="center"/>
            </w:pPr>
            <w:r>
              <w:rPr>
                <w:sz w:val="20"/>
              </w:rPr>
              <w:t>oracle-site2</w:t>
            </w:r>
          </w:p>
        </w:tc>
        <w:tc>
          <w:tcPr>
            <w:tcW w:type="dxa" w:w="3022"/>
            <w:shd w:val="clear" w:color="auto" w:fill="FFFFFF"/>
          </w:tcPr>
          <w:p>
            <w:pPr>
              <w:jc w:val="center"/>
            </w:pPr>
            <w:r>
              <w:rPr>
                <w:sz w:val="20"/>
              </w:rPr>
              <w:t>site2_link</w:t>
            </w:r>
          </w:p>
        </w:tc>
      </w:tr>
      <w:tr>
        <w:tc>
          <w:tcPr>
            <w:tcW w:type="dxa" w:w="3022"/>
            <w:shd w:val="clear" w:color="auto" w:fill="F5F8FF"/>
          </w:tcPr>
          <w:p>
            <w:pPr>
              <w:jc w:val="center"/>
            </w:pPr>
            <w:r>
              <w:rPr>
                <w:sz w:val="20"/>
              </w:rPr>
              <w:t>oracle-site1</w:t>
            </w:r>
          </w:p>
        </w:tc>
        <w:tc>
          <w:tcPr>
            <w:tcW w:type="dxa" w:w="3022"/>
            <w:shd w:val="clear" w:color="auto" w:fill="F5F8FF"/>
          </w:tcPr>
          <w:p>
            <w:pPr>
              <w:jc w:val="center"/>
            </w:pPr>
            <w:r>
              <w:rPr>
                <w:sz w:val="20"/>
              </w:rPr>
              <w:t>oracle-central</w:t>
            </w:r>
          </w:p>
        </w:tc>
        <w:tc>
          <w:tcPr>
            <w:tcW w:type="dxa" w:w="3022"/>
            <w:shd w:val="clear" w:color="auto" w:fill="F5F8FF"/>
          </w:tcPr>
          <w:p>
            <w:pPr>
              <w:jc w:val="center"/>
            </w:pPr>
            <w:r>
              <w:rPr>
                <w:sz w:val="20"/>
              </w:rPr>
              <w:t>central_link</w:t>
            </w:r>
          </w:p>
        </w:tc>
      </w:tr>
      <w:tr>
        <w:tc>
          <w:tcPr>
            <w:tcW w:type="dxa" w:w="3022"/>
            <w:shd w:val="clear" w:color="auto" w:fill="FFFFFF"/>
          </w:tcPr>
          <w:p>
            <w:pPr>
              <w:jc w:val="center"/>
            </w:pPr>
            <w:r>
              <w:rPr>
                <w:sz w:val="20"/>
              </w:rPr>
              <w:t>oracle-site2</w:t>
            </w:r>
          </w:p>
        </w:tc>
        <w:tc>
          <w:tcPr>
            <w:tcW w:type="dxa" w:w="3022"/>
            <w:shd w:val="clear" w:color="auto" w:fill="FFFFFF"/>
          </w:tcPr>
          <w:p>
            <w:pPr>
              <w:jc w:val="center"/>
            </w:pPr>
            <w:r>
              <w:rPr>
                <w:sz w:val="20"/>
              </w:rPr>
              <w:t>oracle-site1</w:t>
            </w:r>
          </w:p>
        </w:tc>
        <w:tc>
          <w:tcPr>
            <w:tcW w:type="dxa" w:w="3022"/>
            <w:shd w:val="clear" w:color="auto" w:fill="FFFFFF"/>
          </w:tcPr>
          <w:p>
            <w:pPr>
              <w:jc w:val="center"/>
            </w:pPr>
            <w:r>
              <w:rPr>
                <w:sz w:val="20"/>
              </w:rPr>
              <w:t>site1_link</w:t>
            </w:r>
          </w:p>
        </w:tc>
      </w:tr>
      <w:tr>
        <w:tc>
          <w:tcPr>
            <w:tcW w:type="dxa" w:w="3022"/>
            <w:shd w:val="clear" w:color="auto" w:fill="F5F8FF"/>
          </w:tcPr>
          <w:p>
            <w:pPr>
              <w:jc w:val="center"/>
            </w:pPr>
            <w:r>
              <w:rPr>
                <w:sz w:val="20"/>
              </w:rPr>
              <w:t>oracle-site2</w:t>
            </w:r>
          </w:p>
        </w:tc>
        <w:tc>
          <w:tcPr>
            <w:tcW w:type="dxa" w:w="3022"/>
            <w:shd w:val="clear" w:color="auto" w:fill="F5F8FF"/>
          </w:tcPr>
          <w:p>
            <w:pPr>
              <w:jc w:val="center"/>
            </w:pPr>
            <w:r>
              <w:rPr>
                <w:sz w:val="20"/>
              </w:rPr>
              <w:t>oracle-central</w:t>
            </w:r>
          </w:p>
        </w:tc>
        <w:tc>
          <w:tcPr>
            <w:tcW w:type="dxa" w:w="3022"/>
            <w:shd w:val="clear" w:color="auto" w:fill="F5F8FF"/>
          </w:tcPr>
          <w:p>
            <w:pPr>
              <w:jc w:val="center"/>
            </w:pPr>
            <w:r>
              <w:rPr>
                <w:sz w:val="20"/>
              </w:rPr>
              <w:t>central_link</w:t>
            </w:r>
          </w:p>
        </w:tc>
      </w:tr>
    </w:tbl>
    <w:p>
      <w:pPr>
        <w:spacing w:after="160"/>
      </w:pPr>
    </w:p>
    <w:p>
      <w:pPr>
        <w:spacing w:after="120" w:before="40"/>
        <w:jc w:val="both"/>
      </w:pPr>
      <w:r>
        <w:rPr>
          <w:b w:val="0"/>
          <w:i w:val="0"/>
          <w:sz w:val="22"/>
        </w:rPr>
        <w:t>La connexion d'un lien utilise le protocole TCP avec l'adresse IP fixe du conteneur cible et le numéro de port 1521, par exemple : ADDRESS=(PROTOCOL=TCP)(HOST=oracle-site1)(PORT=1521) avec CONNECT_DATA=(SERVICE_NAME=BDDVENTE). La vue USER_DB_LINKS confirme les 6 liens actifs lors de la vérification post-déploiement.</w:t>
      </w:r>
    </w:p>
    <w:p>
      <w:pPr>
        <w:pStyle w:val="Heading2"/>
        <w:spacing w:before="360" w:after="160"/>
      </w:pPr>
      <w:r>
        <w:rPr>
          <w:color w:val="E86B1A"/>
        </w:rPr>
        <w:t>5.2 Synonymes — Accès transparent</w:t>
      </w:r>
    </w:p>
    <w:p>
      <w:pPr>
        <w:spacing w:after="120" w:before="40"/>
        <w:jc w:val="both"/>
      </w:pPr>
      <w:r>
        <w:rPr>
          <w:b w:val="0"/>
          <w:i w:val="0"/>
          <w:sz w:val="22"/>
        </w:rPr>
        <w:t>Les synonymes Oracle permettent de masquer la notation @lien dans les requêtes SQL, rendant l'accès aux tables distantes transparent pour les applications clientes. Huit synonymes sont créés sur oracle-central :</w:t>
      </w:r>
    </w:p>
    <w:p>
      <w:pPr>
        <w:pStyle w:val="ListBullet"/>
        <w:spacing w:after="80" w:before="40"/>
        <w:ind w:left="283"/>
      </w:pPr>
      <w:r>
        <w:rPr>
          <w:sz w:val="21"/>
        </w:rPr>
        <w:t>LigneCommandes1 → LigneCommandes1@site1_link</w:t>
      </w:r>
    </w:p>
    <w:p>
      <w:pPr>
        <w:pStyle w:val="ListBullet"/>
        <w:spacing w:after="80" w:before="40"/>
        <w:ind w:left="283"/>
      </w:pPr>
      <w:r>
        <w:rPr>
          <w:sz w:val="21"/>
        </w:rPr>
        <w:t>LigneCommandes2 → LigneCommandes2@site2_link</w:t>
      </w:r>
    </w:p>
    <w:p>
      <w:pPr>
        <w:pStyle w:val="ListBullet"/>
        <w:spacing w:after="80" w:before="40"/>
        <w:ind w:left="283"/>
      </w:pPr>
      <w:r>
        <w:rPr>
          <w:sz w:val="21"/>
        </w:rPr>
        <w:t>Commandes1      → Commandes1@site1_link</w:t>
      </w:r>
    </w:p>
    <w:p>
      <w:pPr>
        <w:pStyle w:val="ListBullet"/>
        <w:spacing w:after="80" w:before="40"/>
        <w:ind w:left="283"/>
      </w:pPr>
      <w:r>
        <w:rPr>
          <w:sz w:val="21"/>
        </w:rPr>
        <w:t>Commandes2      → Commandes2@site2_link</w:t>
      </w:r>
    </w:p>
    <w:p>
      <w:pPr>
        <w:pStyle w:val="ListBullet"/>
        <w:spacing w:after="80" w:before="40"/>
        <w:ind w:left="283"/>
      </w:pPr>
      <w:r>
        <w:rPr>
          <w:sz w:val="21"/>
        </w:rPr>
        <w:t>Clients1        → Clients1@site1_link</w:t>
      </w:r>
    </w:p>
    <w:p>
      <w:pPr>
        <w:pStyle w:val="ListBullet"/>
        <w:spacing w:after="80" w:before="40"/>
        <w:ind w:left="283"/>
      </w:pPr>
      <w:r>
        <w:rPr>
          <w:sz w:val="21"/>
        </w:rPr>
        <w:t>Clients2        → Clients2@site2_link</w:t>
      </w:r>
    </w:p>
    <w:p>
      <w:pPr>
        <w:pStyle w:val="ListBullet"/>
        <w:spacing w:after="80" w:before="40"/>
        <w:ind w:left="283"/>
      </w:pPr>
      <w:r>
        <w:rPr>
          <w:sz w:val="21"/>
        </w:rPr>
        <w:t>Produits1       → Produits1@site1_link</w:t>
      </w:r>
    </w:p>
    <w:p>
      <w:pPr>
        <w:pStyle w:val="ListBullet"/>
        <w:spacing w:after="80" w:before="40"/>
        <w:ind w:left="283"/>
      </w:pPr>
      <w:r>
        <w:rPr>
          <w:sz w:val="21"/>
        </w:rPr>
        <w:t>Produits2       → Produits2@site2_link</w:t>
      </w:r>
    </w:p>
    <w:p>
      <w:pPr>
        <w:spacing w:after="120" w:before="40"/>
        <w:jc w:val="both"/>
      </w:pPr>
      <w:r>
        <w:rPr>
          <w:b w:val="0"/>
          <w:i w:val="0"/>
          <w:sz w:val="22"/>
        </w:rPr>
        <w:t>Grâce à ces synonymes, une requête SELECT * FROM LigneCommandes1 sur le Central est automatiquement redirigée vers Site1 sans qu'il soit nécessaire d'écrire SELECT * FROM LigneCommandes1@site1_link.</w:t>
      </w:r>
    </w:p>
    <w:p>
      <w:pPr>
        <w:pStyle w:val="Heading2"/>
        <w:spacing w:before="360" w:after="160"/>
      </w:pPr>
      <w:r>
        <w:rPr>
          <w:color w:val="E86B1A"/>
        </w:rPr>
        <w:t>5.3 Vue globale distribuée</w:t>
      </w:r>
    </w:p>
    <w:p>
      <w:pPr>
        <w:spacing w:after="120" w:before="40"/>
        <w:jc w:val="both"/>
      </w:pPr>
      <w:r>
        <w:rPr>
          <w:b w:val="0"/>
          <w:i w:val="0"/>
          <w:sz w:val="22"/>
        </w:rPr>
        <w:t>Une vue V_LIGNECOMMANDES_GLOBAL_SYN est créée sur le Central en faisant l'union des fragments des deux sites. Cette vue permet d'interroger l'ensemble des 25 lignes de commande depuis un seul point d'entrée. Les résultats de la requête de test GROUP BY SITE révèlent :</w:t>
      </w:r>
    </w:p>
    <w:p>
      <w:pPr>
        <w:pStyle w:val="ListBullet"/>
        <w:spacing w:after="80" w:before="40"/>
        <w:ind w:left="283"/>
      </w:pPr>
      <w:r>
        <w:rPr>
          <w:sz w:val="21"/>
        </w:rPr>
        <w:t>SITE1 : 12 lignes, QTE_MIN = 100, QTE_MAX = 1000</w:t>
      </w:r>
    </w:p>
    <w:p>
      <w:pPr>
        <w:pStyle w:val="ListBullet"/>
        <w:spacing w:after="80" w:before="40"/>
        <w:ind w:left="283"/>
      </w:pPr>
      <w:r>
        <w:rPr>
          <w:sz w:val="21"/>
        </w:rPr>
        <w:t>SITE2 : 13 lignes, QTE_MIN = 2, QTE_MAX = 80</w:t>
      </w:r>
    </w:p>
    <w:p>
      <w:r>
        <w:br w:type="page"/>
      </w:r>
    </w:p>
    <w:p>
      <w:pPr>
        <w:pStyle w:val="Heading1"/>
        <w:spacing w:before="360" w:after="160"/>
      </w:pPr>
      <w:r>
        <w:rPr>
          <w:color w:val="0D1B3E"/>
        </w:rPr>
        <w:t>06 | Procédures PL/SQL et Triggers</w:t>
      </w:r>
    </w:p>
    <w:p>
      <w:pPr>
        <w:spacing w:before="40" w:after="40"/>
        <w:pBdr>
          <w:bottom w:val="single" w:sz="6" w:space="1" w:color="E86B1A"/>
        </w:pBdr>
      </w:pPr>
    </w:p>
    <w:p>
      <w:pPr>
        <w:spacing w:after="120" w:before="40"/>
        <w:jc w:val="both"/>
      </w:pPr>
      <w:r>
        <w:rPr>
          <w:b w:val="0"/>
          <w:i w:val="0"/>
          <w:sz w:val="22"/>
        </w:rPr>
        <w:t>Chaque site implémente un ensemble de procédures PL/SQL pour les opérations CRUD et trois triggers pour le contrôle d'intégrité, l'audit et le routage. Ces éléments constituent la logique applicative côté base de données.</w:t>
      </w:r>
    </w:p>
    <w:p>
      <w:pPr>
        <w:pStyle w:val="Heading2"/>
        <w:spacing w:before="360" w:after="160"/>
      </w:pPr>
      <w:r>
        <w:rPr>
          <w:color w:val="E86B1A"/>
        </w:rPr>
        <w:t>6.1 Procédures CRUD — Site 1 (Scénario 2)</w:t>
      </w:r>
    </w:p>
    <w:p>
      <w:pPr>
        <w:spacing w:after="60" w:before="40"/>
        <w:jc w:val="both"/>
      </w:pPr>
      <w:r>
        <w:rPr>
          <w:b/>
          <w:i w:val="0"/>
          <w:sz w:val="22"/>
        </w:rPr>
        <w:t>insertligne(p_id, p_idcmd, p_idprod, p_qte, p_remise)</w:t>
      </w:r>
    </w:p>
    <w:p>
      <w:pPr>
        <w:spacing w:after="120" w:before="40"/>
        <w:jc w:val="both"/>
      </w:pPr>
      <w:r>
        <w:rPr>
          <w:b w:val="0"/>
          <w:i w:val="0"/>
          <w:sz w:val="22"/>
        </w:rPr>
        <w:t>Cette procédure insère une nouvelle ligne de commande dans le fragment Site1. Elle applique trois gardes successives avant l'insertion :</w:t>
      </w:r>
    </w:p>
    <w:p>
      <w:pPr>
        <w:pStyle w:val="ListBullet"/>
        <w:spacing w:after="80" w:before="40"/>
        <w:ind w:left="283"/>
      </w:pPr>
      <w:r>
        <w:rPr>
          <w:sz w:val="21"/>
        </w:rPr>
        <w:t>Garde 1 (règle de fragmentation) : si p_qte &lt; 100, lève l'erreur -20001 indiquant que la ligne appartient à Site2.</w:t>
      </w:r>
    </w:p>
    <w:p>
      <w:pPr>
        <w:pStyle w:val="ListBullet"/>
        <w:spacing w:after="80" w:before="40"/>
        <w:ind w:left="283"/>
      </w:pPr>
      <w:r>
        <w:rPr>
          <w:sz w:val="21"/>
        </w:rPr>
        <w:t>Garde 2 (existence de la commande) : vérifie que la commande p_idcmd existe dans COMMANDES1 ; sinon lève l'erreur -20002.</w:t>
      </w:r>
    </w:p>
    <w:p>
      <w:pPr>
        <w:pStyle w:val="ListBullet"/>
        <w:spacing w:after="80" w:before="40"/>
        <w:ind w:left="283"/>
      </w:pPr>
      <w:r>
        <w:rPr>
          <w:sz w:val="21"/>
        </w:rPr>
        <w:t>Garde 3 (existence du produit) : vérifie que le produit p_idprod existe dans PRODUITS1 ; sinon lève l'erreur -20003.</w:t>
      </w:r>
    </w:p>
    <w:p>
      <w:pPr>
        <w:spacing w:after="120" w:before="40"/>
        <w:jc w:val="both"/>
      </w:pPr>
      <w:r>
        <w:rPr>
          <w:b w:val="0"/>
          <w:i w:val="0"/>
          <w:sz w:val="22"/>
        </w:rPr>
        <w:t>En cas de succès, la ligne est insérée dans LIGNECOMMANDES1 et un COMMIT est émis. En cas d'erreur de doublon (DUP_VAL_ON_INDEX), l'erreur -20004 est levée. Tout autre exception provoque un ROLLBACK automatique.</w:t>
      </w:r>
    </w:p>
    <w:p>
      <w:pPr>
        <w:spacing w:after="60" w:before="40"/>
        <w:jc w:val="both"/>
      </w:pPr>
      <w:r>
        <w:rPr>
          <w:b/>
          <w:i w:val="0"/>
          <w:sz w:val="22"/>
        </w:rPr>
        <w:t>updateligne(p_id, p_idprod, p_qte, p_remise)</w:t>
      </w:r>
    </w:p>
    <w:p>
      <w:pPr>
        <w:spacing w:after="120" w:before="40"/>
        <w:jc w:val="both"/>
      </w:pPr>
      <w:r>
        <w:rPr>
          <w:b w:val="0"/>
          <w:i w:val="0"/>
          <w:sz w:val="22"/>
        </w:rPr>
        <w:t>Procédure de mise à jour d'une ligne existante. Vérifie l'existence de la ligne (-20005 si absente), valide que la nouvelle quantité respecte la règle ≥ 100 (-20006 sinon), et contrôle l'existence du produit (-20007). En cas de violation, un ROLLBACK automatique est déclenché.</w:t>
      </w:r>
    </w:p>
    <w:p>
      <w:pPr>
        <w:spacing w:after="60" w:before="40"/>
        <w:jc w:val="both"/>
      </w:pPr>
      <w:r>
        <w:rPr>
          <w:b/>
          <w:i w:val="0"/>
          <w:sz w:val="22"/>
        </w:rPr>
        <w:t>deleteligne(p_id)</w:t>
      </w:r>
    </w:p>
    <w:p>
      <w:pPr>
        <w:spacing w:after="120" w:before="40"/>
        <w:jc w:val="both"/>
      </w:pPr>
      <w:r>
        <w:rPr>
          <w:b w:val="0"/>
          <w:i w:val="0"/>
          <w:sz w:val="22"/>
        </w:rPr>
        <w:t>Procédure de suppression d'une ligne. Après la suppression, elle effectue un nettoyage des commandes orphelines : si aucune autre ligne ne référence la commande parent, cette dernière est également supprimée. Ce mécanisme évite les commandes sans lignes dans la base.</w:t>
      </w:r>
    </w:p>
    <w:p>
      <w:pPr>
        <w:pStyle w:val="Heading2"/>
        <w:spacing w:before="360" w:after="160"/>
      </w:pPr>
      <w:r>
        <w:rPr>
          <w:color w:val="E86B1A"/>
        </w:rPr>
        <w:t>6.2 Triggers de Contrôle et d'Audit (Site 1)</w:t>
      </w:r>
    </w:p>
    <w:p>
      <w:pPr>
        <w:spacing w:after="120" w:before="40"/>
        <w:jc w:val="both"/>
      </w:pPr>
      <w:r>
        <w:rPr>
          <w:b w:val="0"/>
          <w:i w:val="0"/>
          <w:sz w:val="22"/>
        </w:rPr>
        <w:t>Trois triggers sont créés sur la table LIGNECOMMANDES1 de Site1 :</w:t>
      </w:r>
    </w:p>
    <w:p>
      <w:pPr>
        <w:spacing w:after="60" w:before="40"/>
        <w:jc w:val="both"/>
      </w:pPr>
      <w:r>
        <w:rPr>
          <w:b/>
          <w:i w:val="0"/>
          <w:sz w:val="22"/>
        </w:rPr>
        <w:t>trg_check_site1_insert (BEFORE INSERT)</w:t>
      </w:r>
    </w:p>
    <w:p>
      <w:pPr>
        <w:spacing w:after="120" w:before="40"/>
        <w:jc w:val="both"/>
      </w:pPr>
      <w:r>
        <w:rPr>
          <w:b w:val="0"/>
          <w:i w:val="0"/>
          <w:sz w:val="22"/>
        </w:rPr>
        <w:t>Ce trigger se déclenche avant chaque insertion sur LigneCommandes1 et vérifie que la valeur de :NEW.QUANTITE est bien supérieure ou égale à 100. Si la condition n'est pas respectée, il lève l'erreur personnalisée -20010 avec le message « TRIGGER SITE1 - INSERT bloqué : QUANTITE=XX &lt; 100 ». Ce trigger constitue une couche de sécurité supplémentaire au-delà de la procédure stockée.</w:t>
      </w:r>
    </w:p>
    <w:p>
      <w:pPr>
        <w:spacing w:after="60" w:before="40"/>
        <w:jc w:val="both"/>
      </w:pPr>
      <w:r>
        <w:rPr>
          <w:b/>
          <w:i w:val="0"/>
          <w:sz w:val="22"/>
        </w:rPr>
        <w:t>trg_check_site1_update (BEFORE UPDATE)</w:t>
      </w:r>
    </w:p>
    <w:p>
      <w:pPr>
        <w:spacing w:after="120" w:before="40"/>
        <w:jc w:val="both"/>
      </w:pPr>
      <w:r>
        <w:rPr>
          <w:b w:val="0"/>
          <w:i w:val="0"/>
          <w:sz w:val="22"/>
        </w:rPr>
        <w:t>Identique dans son principe au trigger d'insertion, ce trigger vérifie que la nouvelle valeur :NEW.QUANTITE lors d'une mise à jour reste ≥ 100. En cas de violation, il lève l'erreur -20011 : « TRIGGER SITE1 - UPDATE bloqué ».</w:t>
      </w:r>
    </w:p>
    <w:p>
      <w:pPr>
        <w:spacing w:after="60" w:before="40"/>
        <w:jc w:val="both"/>
      </w:pPr>
      <w:r>
        <w:rPr>
          <w:b/>
          <w:i w:val="0"/>
          <w:sz w:val="22"/>
        </w:rPr>
        <w:t>trg_log_site1_operations (AFTER INSERT OR UPDATE OR DELETE)</w:t>
      </w:r>
    </w:p>
    <w:p>
      <w:pPr>
        <w:spacing w:after="120" w:before="40"/>
        <w:jc w:val="both"/>
      </w:pPr>
      <w:r>
        <w:rPr>
          <w:b w:val="0"/>
          <w:i w:val="0"/>
          <w:sz w:val="22"/>
        </w:rPr>
        <w:t>Ce trigger d'audit enregistre dans la table LOG_SITE1 toutes les opérations DML sur LigneCommandes1. La table de log LOG_SITE1 contient : un identifiant auto-incrémenté (IDENTITY), le type d'opération (INSERT/UPDATE/DELETE), l'IDLIGNECOMMANDE concernée, les valeurs QUANTITE_OLD et QUANTITE_NEW, l'horodatage précis via SYSTIMESTAMP et l'utilisateur Oracle ayant effectué l'opération. Site2 dispose d'une structure de log équivalente (LOG_SITE2).</w:t>
      </w:r>
    </w:p>
    <w:p>
      <w:pPr>
        <w:pStyle w:val="Heading2"/>
        <w:spacing w:before="360" w:after="160"/>
      </w:pPr>
      <w:r>
        <w:rPr>
          <w:color w:val="E86B1A"/>
        </w:rPr>
        <w:t>6.3 Table de Log — Structure</w:t>
      </w:r>
    </w:p>
    <w:p>
      <w:pPr>
        <w:spacing w:before="80" w:after="80"/>
        <w:ind w:left="454"/>
        <w:shd w:val="clear" w:color="auto" w:fill="F0F0F0"/>
      </w:pPr>
      <w:r>
        <w:rPr>
          <w:rFonts w:ascii="Courier New" w:hAnsi="Courier New"/>
          <w:sz w:val="17"/>
        </w:rPr>
        <w:t>CREATE TABLE LOG_SITE1 (</w:t>
        <w:br/>
        <w:t xml:space="preserve">    ID_LOG          NUMBER GENERATED ALWAYS AS IDENTITY PRIMARY KEY,</w:t>
        <w:br/>
        <w:t xml:space="preserve">    OPERATION       VARCHAR2(10),        -- 'INSERT', 'UPDATE', 'DELETE'</w:t>
        <w:br/>
        <w:t xml:space="preserve">    IDLIGNECOMMANDE NUMBER,</w:t>
        <w:br/>
        <w:t xml:space="preserve">    QUANTITE_OLD    NUMBER,</w:t>
        <w:br/>
        <w:t xml:space="preserve">    QUANTITE_NEW    NUMBER,</w:t>
        <w:br/>
        <w:t xml:space="preserve">    DATE_OPERATION  TIMESTAMP DEFAULT SYSTIMESTAMP,</w:t>
        <w:br/>
        <w:t xml:space="preserve">    UTILISATEUR     VARCHAR2(100) DEFAULT USER</w:t>
        <w:br/>
        <w:t>);</w:t>
      </w:r>
    </w:p>
    <w:p>
      <w:r>
        <w:br w:type="page"/>
      </w:r>
    </w:p>
    <w:p>
      <w:pPr>
        <w:pStyle w:val="Heading1"/>
        <w:spacing w:before="360" w:after="160"/>
      </w:pPr>
      <w:r>
        <w:rPr>
          <w:color w:val="0D1B3E"/>
        </w:rPr>
        <w:t>07 | Routage Automatique depuis le Site Central</w:t>
      </w:r>
    </w:p>
    <w:p>
      <w:pPr>
        <w:spacing w:before="40" w:after="40"/>
        <w:pBdr>
          <w:bottom w:val="single" w:sz="6" w:space="1" w:color="E86B1A"/>
        </w:pBdr>
      </w:pPr>
    </w:p>
    <w:p>
      <w:pPr>
        <w:spacing w:after="120" w:before="40"/>
        <w:jc w:val="both"/>
      </w:pPr>
      <w:r>
        <w:rPr>
          <w:b w:val="0"/>
          <w:i w:val="0"/>
          <w:sz w:val="22"/>
        </w:rPr>
        <w:t>Le routage automatique est le mécanisme le plus sophistiqué du projet. Il permet à une application cliente d'effectuer des opérations DML sur une vue centrale unique (V_LIGNECOMMANDES_ROUTAGE), sans avoir connaissance de la distribution physique des données. Le moteur Oracle intercepte ces opérations via un trigger INSTEAD OF et les redirige vers le bon site.</w:t>
      </w:r>
    </w:p>
    <w:p>
      <w:pPr>
        <w:pStyle w:val="Heading2"/>
        <w:spacing w:before="360" w:after="160"/>
      </w:pPr>
      <w:r>
        <w:rPr>
          <w:color w:val="E86B1A"/>
        </w:rPr>
        <w:t>7.1 Flux de routage — INSERT</w:t>
      </w:r>
    </w:p>
    <w:p>
      <w:pPr>
        <w:spacing w:after="120" w:before="40"/>
        <w:jc w:val="both"/>
      </w:pPr>
      <w:r>
        <w:rPr>
          <w:b w:val="0"/>
          <w:i w:val="0"/>
          <w:sz w:val="22"/>
        </w:rPr>
        <w:t>Le flux complet d'une opération INSERT via la vue centrale se déroule en plusieurs étapes successives :</w:t>
      </w:r>
    </w:p>
    <w:p>
      <w:pPr>
        <w:pStyle w:val="ListBullet"/>
        <w:spacing w:after="80" w:before="40"/>
        <w:ind w:left="283"/>
      </w:pPr>
      <w:r>
        <w:rPr>
          <w:b/>
          <w:sz w:val="21"/>
        </w:rPr>
        <w:t xml:space="preserve">1. </w:t>
      </w:r>
      <w:r>
        <w:rPr>
          <w:sz w:val="21"/>
        </w:rPr>
        <w:t>L'application cliente émet un INSERT INTO V_LIGNECOMMANDES_ROUTAGE.</w:t>
      </w:r>
    </w:p>
    <w:p>
      <w:pPr>
        <w:pStyle w:val="ListBullet"/>
        <w:spacing w:after="80" w:before="40"/>
        <w:ind w:left="283"/>
      </w:pPr>
      <w:r>
        <w:rPr>
          <w:b/>
          <w:sz w:val="21"/>
        </w:rPr>
        <w:t xml:space="preserve">2. </w:t>
      </w:r>
      <w:r>
        <w:rPr>
          <w:sz w:val="21"/>
        </w:rPr>
        <w:t>Le trigger INSTEAD OF trg_route_lignecommandes intercepte immédiatement l'opération.</w:t>
      </w:r>
    </w:p>
    <w:p>
      <w:pPr>
        <w:pStyle w:val="ListBullet"/>
        <w:spacing w:after="80" w:before="40"/>
        <w:ind w:left="283"/>
      </w:pPr>
      <w:r>
        <w:rPr>
          <w:b/>
          <w:sz w:val="21"/>
        </w:rPr>
        <w:t xml:space="preserve">3. </w:t>
      </w:r>
      <w:r>
        <w:rPr>
          <w:sz w:val="21"/>
        </w:rPr>
        <w:t>Il appelle la procédure route_insert_ligne(id, cmd, prod, qte, remise).</w:t>
      </w:r>
    </w:p>
    <w:p>
      <w:pPr>
        <w:pStyle w:val="ListBullet"/>
        <w:spacing w:after="80" w:before="40"/>
        <w:ind w:left="283"/>
      </w:pPr>
      <w:r>
        <w:rPr>
          <w:b/>
          <w:sz w:val="21"/>
        </w:rPr>
        <w:t xml:space="preserve">4. </w:t>
      </w:r>
      <w:r>
        <w:rPr>
          <w:sz w:val="21"/>
        </w:rPr>
        <w:t>La procédure valide que la commande et le produit existent sur le Central.</w:t>
      </w:r>
    </w:p>
    <w:p>
      <w:pPr>
        <w:pStyle w:val="ListBullet"/>
        <w:spacing w:after="80" w:before="40"/>
        <w:ind w:left="283"/>
      </w:pPr>
      <w:r>
        <w:rPr>
          <w:b/>
          <w:sz w:val="21"/>
        </w:rPr>
        <w:t xml:space="preserve">5. </w:t>
      </w:r>
      <w:r>
        <w:rPr>
          <w:sz w:val="21"/>
        </w:rPr>
        <w:t>Elle vérifie qu'aucun doublon n'existe sur Site1 ou Site2.</w:t>
      </w:r>
    </w:p>
    <w:p>
      <w:pPr>
        <w:pStyle w:val="ListBullet"/>
        <w:spacing w:after="80" w:before="40"/>
        <w:ind w:left="283"/>
      </w:pPr>
      <w:r>
        <w:rPr>
          <w:b/>
          <w:sz w:val="21"/>
        </w:rPr>
        <w:t xml:space="preserve">6. </w:t>
      </w:r>
      <w:r>
        <w:rPr>
          <w:sz w:val="21"/>
        </w:rPr>
        <w:t>Si QTE ≥ 100 : appel de ensure_site1_refs() puis INSERT dans LigneCommandes1@site1_link.</w:t>
      </w:r>
    </w:p>
    <w:p>
      <w:pPr>
        <w:pStyle w:val="ListBullet"/>
        <w:spacing w:after="80" w:before="40"/>
        <w:ind w:left="283"/>
      </w:pPr>
      <w:r>
        <w:rPr>
          <w:b/>
          <w:sz w:val="21"/>
        </w:rPr>
        <w:t xml:space="preserve">7. </w:t>
      </w:r>
      <w:r>
        <w:rPr>
          <w:sz w:val="21"/>
        </w:rPr>
        <w:t>Si QTE &lt; 100 : appel de ensure_site2_refs() puis INSERT dans LigneCommandes2@site2_link.</w:t>
      </w:r>
    </w:p>
    <w:p>
      <w:pPr>
        <w:pStyle w:val="ListBullet"/>
        <w:spacing w:after="80" w:before="40"/>
        <w:ind w:left="283"/>
      </w:pPr>
      <w:r>
        <w:rPr>
          <w:b/>
          <w:sz w:val="21"/>
        </w:rPr>
        <w:t xml:space="preserve">8. </w:t>
      </w:r>
      <w:r>
        <w:rPr>
          <w:sz w:val="21"/>
        </w:rPr>
        <w:t>L'opération est consignée dans ROUTING_LOG avec le site cible.</w:t>
      </w:r>
    </w:p>
    <w:p>
      <w:pPr>
        <w:pStyle w:val="Heading2"/>
        <w:spacing w:before="360" w:after="160"/>
      </w:pPr>
      <w:r>
        <w:rPr>
          <w:color w:val="E86B1A"/>
        </w:rPr>
        <w:t>7.2 Procédure ensure_site_refs() — Copie de références</w:t>
      </w:r>
    </w:p>
    <w:p>
      <w:pPr>
        <w:spacing w:after="120" w:before="40"/>
        <w:jc w:val="both"/>
      </w:pPr>
      <w:r>
        <w:rPr>
          <w:b w:val="0"/>
          <w:i w:val="0"/>
          <w:sz w:val="22"/>
        </w:rPr>
        <w:t>Avant chaque INSERT distant, la procédure ensure_site1_refs() (ou ensure_site2_refs()) est appelée. Son rôle est de garantir que les tables de référence nécessaires pour satisfaire les clés étrangères existent bien sur le site cible. Elle copie automatiquement depuis le Central vers le site distant :</w:t>
      </w:r>
    </w:p>
    <w:p>
      <w:pPr>
        <w:pStyle w:val="ListBullet"/>
        <w:spacing w:after="80" w:before="40"/>
        <w:ind w:left="283"/>
      </w:pPr>
      <w:r>
        <w:rPr>
          <w:sz w:val="21"/>
        </w:rPr>
        <w:t>Le client associé à la commande (table Clients1 ou Clients2)</w:t>
      </w:r>
    </w:p>
    <w:p>
      <w:pPr>
        <w:pStyle w:val="ListBullet"/>
        <w:spacing w:after="80" w:before="40"/>
        <w:ind w:left="283"/>
      </w:pPr>
      <w:r>
        <w:rPr>
          <w:sz w:val="21"/>
        </w:rPr>
        <w:t>La commande elle-même (table Commandes1 ou Commandes2)</w:t>
      </w:r>
    </w:p>
    <w:p>
      <w:pPr>
        <w:pStyle w:val="ListBullet"/>
        <w:spacing w:after="80" w:before="40"/>
        <w:ind w:left="283"/>
      </w:pPr>
      <w:r>
        <w:rPr>
          <w:sz w:val="21"/>
        </w:rPr>
        <w:t>Le produit concerné (table Produits1 ou Produits2)</w:t>
      </w:r>
    </w:p>
    <w:p>
      <w:pPr>
        <w:spacing w:after="120" w:before="40"/>
        <w:jc w:val="both"/>
      </w:pPr>
      <w:r>
        <w:rPr>
          <w:b w:val="0"/>
          <w:i w:val="0"/>
          <w:sz w:val="22"/>
        </w:rPr>
        <w:t>Chaque copie est conditionnelle : si l'enregistrement existe déjà sur le site cible, il n'est pas recopié (évite les doublons). Ce mécanisme évite les erreurs ORA-02291 (violation de clé étrangère) lors des insertions distantes.</w:t>
      </w:r>
    </w:p>
    <w:p>
      <w:pPr>
        <w:pStyle w:val="Heading2"/>
        <w:spacing w:before="360" w:after="160"/>
      </w:pPr>
      <w:r>
        <w:rPr>
          <w:color w:val="E86B1A"/>
        </w:rPr>
        <w:t>7.3 Migration inter-sites — route_upsert_ligne()</w:t>
      </w:r>
    </w:p>
    <w:p>
      <w:pPr>
        <w:spacing w:after="120" w:before="40"/>
        <w:jc w:val="both"/>
      </w:pPr>
      <w:r>
        <w:rPr>
          <w:b w:val="0"/>
          <w:i w:val="0"/>
          <w:sz w:val="22"/>
        </w:rPr>
        <w:t>La procédure de mise à jour est plus complexe car elle gère la migration d'une ligne d'un site vers l'autre lorsque la quantité change de seuil. Exemple concret décrit dans la présentation : une ligne avec QTE=150 (sur Site1) est mise à jour avec QTE=25 (ce qui la fait basculer dans le fragment Site2). La séquence est :</w:t>
      </w:r>
    </w:p>
    <w:p>
      <w:pPr>
        <w:pStyle w:val="ListBullet"/>
        <w:spacing w:after="80" w:before="40"/>
        <w:ind w:left="283"/>
      </w:pPr>
      <w:r>
        <w:rPr>
          <w:b/>
          <w:sz w:val="21"/>
        </w:rPr>
        <w:t xml:space="preserve">1. </w:t>
      </w:r>
      <w:r>
        <w:rPr>
          <w:sz w:val="21"/>
        </w:rPr>
        <w:t>Vérifier sur quel site la ligne existe actuellement (Site1 ou Site2).</w:t>
      </w:r>
    </w:p>
    <w:p>
      <w:pPr>
        <w:pStyle w:val="ListBullet"/>
        <w:spacing w:after="80" w:before="40"/>
        <w:ind w:left="283"/>
      </w:pPr>
      <w:r>
        <w:rPr>
          <w:b/>
          <w:sz w:val="21"/>
        </w:rPr>
        <w:t xml:space="preserve">2. </w:t>
      </w:r>
      <w:r>
        <w:rPr>
          <w:sz w:val="21"/>
        </w:rPr>
        <w:t>DELETE de la ligne sur l'ancien site.</w:t>
      </w:r>
    </w:p>
    <w:p>
      <w:pPr>
        <w:pStyle w:val="ListBullet"/>
        <w:spacing w:after="80" w:before="40"/>
        <w:ind w:left="283"/>
      </w:pPr>
      <w:r>
        <w:rPr>
          <w:b/>
          <w:sz w:val="21"/>
        </w:rPr>
        <w:t xml:space="preserve">3. </w:t>
      </w:r>
      <w:r>
        <w:rPr>
          <w:sz w:val="21"/>
        </w:rPr>
        <w:t>Appel de ensure_site2_refs() pour préparer le site cible.</w:t>
      </w:r>
    </w:p>
    <w:p>
      <w:pPr>
        <w:pStyle w:val="ListBullet"/>
        <w:spacing w:after="80" w:before="40"/>
        <w:ind w:left="283"/>
      </w:pPr>
      <w:r>
        <w:rPr>
          <w:b/>
          <w:sz w:val="21"/>
        </w:rPr>
        <w:t xml:space="preserve">4. </w:t>
      </w:r>
      <w:r>
        <w:rPr>
          <w:sz w:val="21"/>
        </w:rPr>
        <w:t>INSERT de la ligne avec les nouvelles valeurs sur le nouveau site (Site2).</w:t>
      </w:r>
    </w:p>
    <w:p>
      <w:pPr>
        <w:pStyle w:val="ListBullet"/>
        <w:spacing w:after="80" w:before="40"/>
        <w:ind w:left="283"/>
      </w:pPr>
      <w:r>
        <w:rPr>
          <w:b/>
          <w:sz w:val="21"/>
        </w:rPr>
        <w:t xml:space="preserve">5. </w:t>
      </w:r>
      <w:r>
        <w:rPr>
          <w:sz w:val="21"/>
        </w:rPr>
        <w:t>Enregistrement dans ROUTING_LOG avec l'opération UPSERT.</w:t>
      </w:r>
    </w:p>
    <w:p>
      <w:pPr>
        <w:spacing w:after="120" w:before="40"/>
        <w:jc w:val="both"/>
      </w:pPr>
      <w:r>
        <w:rPr>
          <w:b w:val="0"/>
          <w:i/>
          <w:sz w:val="22"/>
        </w:rPr>
        <w:t>Ce mécanisme garantit zéro doublon entre les deux sites et assure la transparence totale pour l'application : elle n'a jamais besoin de savoir sur quel site physique réside la donnée.</w:t>
      </w:r>
    </w:p>
    <w:p>
      <w:pPr>
        <w:pStyle w:val="Heading2"/>
        <w:spacing w:before="360" w:after="160"/>
      </w:pPr>
      <w:r>
        <w:rPr>
          <w:color w:val="E86B1A"/>
        </w:rPr>
        <w:t>7.4 Table ROUTING_LOG</w:t>
      </w:r>
    </w:p>
    <w:p>
      <w:pPr>
        <w:spacing w:after="120" w:before="40"/>
        <w:jc w:val="both"/>
      </w:pPr>
      <w:r>
        <w:rPr>
          <w:b w:val="0"/>
          <w:i w:val="0"/>
          <w:sz w:val="22"/>
        </w:rPr>
        <w:t>Toutes les opérations de routage sont tracées dans la table ROUTING_LOG hébergée sur le Central. Cette table enregistre pour chaque opération : le type d'opération (INSERT, UPSERT, DELETE, INSERT_SC1, UPSERT_SC1, DELETE_SC1), le site cible, les identifiants de la ligne, de la commande, du produit et de la quantité, ainsi que l'horodatage et l'utilisateur Oracle.</w:t>
      </w:r>
    </w:p>
    <w:p>
      <w:pPr>
        <w:pStyle w:val="Heading2"/>
        <w:spacing w:before="360" w:after="160"/>
      </w:pPr>
      <w:r>
        <w:rPr>
          <w:color w:val="E86B1A"/>
        </w:rPr>
        <w:t>7.5 Routage pour le Scénario 1</w:t>
      </w:r>
    </w:p>
    <w:p>
      <w:pPr>
        <w:spacing w:after="120" w:before="40"/>
        <w:jc w:val="both"/>
      </w:pPr>
      <w:r>
        <w:rPr>
          <w:b w:val="0"/>
          <w:i w:val="0"/>
          <w:sz w:val="22"/>
        </w:rPr>
        <w:t>Lorsque les fragments du Scénario 1 sont déployés (tables _sc1 présentes sur les deux sites), le script routing_central.sh crée automatiquement les procédures et la vue de routage pour ce scénario : route_insert_ligne_sc1, route_upsert_ligne_sc1, route_delete_ligne_sc1, et la vue V_LIGNECOMMANDES_ROUTAGE_SC1. Le critère de routage devient alors IDCATEG : IDCATEG=50 → Site1, IDCATEG=35 → Site2.</w:t>
      </w:r>
    </w:p>
    <w:p>
      <w:pPr>
        <w:pStyle w:val="Heading2"/>
        <w:spacing w:before="360" w:after="160"/>
      </w:pPr>
      <w:r>
        <w:rPr>
          <w:color w:val="E86B1A"/>
        </w:rPr>
        <w:t>7.6 Résultats des tests de routage</w:t>
      </w:r>
    </w:p>
    <w:p>
      <w:pPr>
        <w:spacing w:after="60" w:before="40"/>
        <w:jc w:val="both"/>
      </w:pPr>
      <w:r>
        <w:rPr>
          <w:b/>
          <w:i w:val="0"/>
          <w:sz w:val="22"/>
        </w:rPr>
        <w:t>Test 1 — Insertion via la vue centrale :</w:t>
      </w:r>
    </w:p>
    <w:p>
      <w:pPr>
        <w:spacing w:after="120" w:before="40"/>
        <w:jc w:val="both"/>
      </w:pPr>
      <w:r>
        <w:rPr>
          <w:b w:val="0"/>
          <w:i w:val="0"/>
          <w:sz w:val="22"/>
        </w:rPr>
        <w:t>Un INSERT avec QUANTITE=150 via V_LIGNECOMMANDES_ROUTAGE a correctement redirigé la ligne vers Site1 (SITE=SITE1, IDLIGNECOMMANDE=9001). Un UPDATE de cette même ligne avec QUANTITE=25 a déclenché la migration inter-sites : la ligne est passée sur Site2 (SITE=SITE2, IDLIGNECOMMANDE=9001, QUANTITE=25).</w:t>
      </w:r>
    </w:p>
    <w:p>
      <w:pPr>
        <w:spacing w:after="60" w:before="40"/>
        <w:jc w:val="both"/>
      </w:pPr>
      <w:r>
        <w:rPr>
          <w:b/>
          <w:i w:val="0"/>
          <w:sz w:val="22"/>
        </w:rPr>
        <w:t>Test 2 — Insertion directe dans la table centrale :</w:t>
      </w:r>
    </w:p>
    <w:p>
      <w:pPr>
        <w:spacing w:after="120" w:before="40"/>
        <w:jc w:val="both"/>
      </w:pPr>
      <w:r>
        <w:rPr>
          <w:b w:val="0"/>
          <w:i w:val="0"/>
          <w:sz w:val="22"/>
        </w:rPr>
        <w:t>Un INSERT direct dans la table LIGNECOMMANDES du Central (non via la vue) avec QUANTITE=150 a également été routé vers Site1 grâce au trigger trg_route_lignecommandes_table. La vérification tri-nœuds (CENTRAL=1, SITE1=1, SITE2=0) confirme que la ligne a été créée sur Site1.</w:t>
      </w:r>
    </w:p>
    <w:p>
      <w:r>
        <w:br w:type="page"/>
      </w:r>
    </w:p>
    <w:p>
      <w:pPr>
        <w:pStyle w:val="Heading1"/>
        <w:spacing w:before="360" w:after="160"/>
      </w:pPr>
      <w:r>
        <w:rPr>
          <w:color w:val="0D1B3E"/>
        </w:rPr>
        <w:t>08 | Optimisation et Stratégie d'Indexation</w:t>
      </w:r>
    </w:p>
    <w:p>
      <w:pPr>
        <w:spacing w:before="40" w:after="40"/>
        <w:pBdr>
          <w:bottom w:val="single" w:sz="6" w:space="1" w:color="E86B1A"/>
        </w:pBdr>
      </w:pPr>
    </w:p>
    <w:p>
      <w:pPr>
        <w:spacing w:after="120" w:before="40"/>
        <w:jc w:val="both"/>
      </w:pPr>
      <w:r>
        <w:rPr>
          <w:b w:val="0"/>
          <w:i w:val="0"/>
          <w:sz w:val="22"/>
        </w:rPr>
        <w:t>L'optimisation des performances dans un environnement distribué est cruciale car les requêtes inter-sites ajoutent une latence réseau incompressible. Une stratégie d'indexation adaptée permet de réduire significativement le coût des opérations locales, compensant en partie cette surcharge réseau.</w:t>
      </w:r>
    </w:p>
    <w:p>
      <w:pPr>
        <w:pStyle w:val="Heading2"/>
        <w:spacing w:before="360" w:after="160"/>
      </w:pPr>
      <w:r>
        <w:rPr>
          <w:color w:val="E86B1A"/>
        </w:rPr>
        <w:t>8.1 Index créés sur Site 1 (Scénario 2)</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Nom de l'index</w:t>
            </w:r>
          </w:p>
        </w:tc>
        <w:tc>
          <w:tcPr>
            <w:tcW w:type="dxa" w:w="3022"/>
            <w:shd w:val="clear" w:color="auto" w:fill="1A3F7A"/>
          </w:tcPr>
          <w:p>
            <w:pPr>
              <w:jc w:val="center"/>
            </w:pPr>
            <w:r>
              <w:rPr>
                <w:b/>
                <w:color w:val="FFFFFF"/>
                <w:sz w:val="20"/>
              </w:rPr>
              <w:t>Table / Colonnes</w:t>
            </w:r>
          </w:p>
        </w:tc>
        <w:tc>
          <w:tcPr>
            <w:tcW w:type="dxa" w:w="3022"/>
            <w:shd w:val="clear" w:color="auto" w:fill="1A3F7A"/>
          </w:tcPr>
          <w:p>
            <w:pPr>
              <w:jc w:val="center"/>
            </w:pPr>
            <w:r>
              <w:rPr>
                <w:b/>
                <w:color w:val="FFFFFF"/>
                <w:sz w:val="20"/>
              </w:rPr>
              <w:t>Rôle</w:t>
            </w:r>
          </w:p>
        </w:tc>
      </w:tr>
      <w:tr>
        <w:tc>
          <w:tcPr>
            <w:tcW w:type="dxa" w:w="3022"/>
            <w:shd w:val="clear" w:color="auto" w:fill="FFFFFF"/>
          </w:tcPr>
          <w:p>
            <w:r>
              <w:rPr>
                <w:sz w:val="19"/>
              </w:rPr>
              <w:t>idx_lc1_quantite</w:t>
            </w:r>
          </w:p>
        </w:tc>
        <w:tc>
          <w:tcPr>
            <w:tcW w:type="dxa" w:w="3022"/>
            <w:shd w:val="clear" w:color="auto" w:fill="FFFFFF"/>
          </w:tcPr>
          <w:p>
            <w:r>
              <w:rPr>
                <w:sz w:val="19"/>
              </w:rPr>
              <w:t>LigneCommandes1 (QUANTITE)</w:t>
            </w:r>
          </w:p>
        </w:tc>
        <w:tc>
          <w:tcPr>
            <w:tcW w:type="dxa" w:w="3022"/>
            <w:shd w:val="clear" w:color="auto" w:fill="FFFFFF"/>
          </w:tcPr>
          <w:p>
            <w:r>
              <w:rPr>
                <w:sz w:val="19"/>
              </w:rPr>
              <w:t>Filtre par règle de fragmentation</w:t>
            </w:r>
          </w:p>
        </w:tc>
      </w:tr>
      <w:tr>
        <w:tc>
          <w:tcPr>
            <w:tcW w:type="dxa" w:w="3022"/>
            <w:shd w:val="clear" w:color="auto" w:fill="F5F8FF"/>
          </w:tcPr>
          <w:p>
            <w:r>
              <w:rPr>
                <w:sz w:val="19"/>
              </w:rPr>
              <w:t>idx_lc1_idcommande</w:t>
            </w:r>
          </w:p>
        </w:tc>
        <w:tc>
          <w:tcPr>
            <w:tcW w:type="dxa" w:w="3022"/>
            <w:shd w:val="clear" w:color="auto" w:fill="F5F8FF"/>
          </w:tcPr>
          <w:p>
            <w:r>
              <w:rPr>
                <w:sz w:val="19"/>
              </w:rPr>
              <w:t>LigneCommandes1 (IDCOMMANDE)</w:t>
            </w:r>
          </w:p>
        </w:tc>
        <w:tc>
          <w:tcPr>
            <w:tcW w:type="dxa" w:w="3022"/>
            <w:shd w:val="clear" w:color="auto" w:fill="F5F8FF"/>
          </w:tcPr>
          <w:p>
            <w:r>
              <w:rPr>
                <w:sz w:val="19"/>
              </w:rPr>
              <w:t>Jointures LC → Commandes</w:t>
            </w:r>
          </w:p>
        </w:tc>
      </w:tr>
      <w:tr>
        <w:tc>
          <w:tcPr>
            <w:tcW w:type="dxa" w:w="3022"/>
            <w:shd w:val="clear" w:color="auto" w:fill="FFFFFF"/>
          </w:tcPr>
          <w:p>
            <w:r>
              <w:rPr>
                <w:sz w:val="19"/>
              </w:rPr>
              <w:t>idx_lc1_idproduit</w:t>
            </w:r>
          </w:p>
        </w:tc>
        <w:tc>
          <w:tcPr>
            <w:tcW w:type="dxa" w:w="3022"/>
            <w:shd w:val="clear" w:color="auto" w:fill="FFFFFF"/>
          </w:tcPr>
          <w:p>
            <w:r>
              <w:rPr>
                <w:sz w:val="19"/>
              </w:rPr>
              <w:t>LigneCommandes1 (IDPRODUIT)</w:t>
            </w:r>
          </w:p>
        </w:tc>
        <w:tc>
          <w:tcPr>
            <w:tcW w:type="dxa" w:w="3022"/>
            <w:shd w:val="clear" w:color="auto" w:fill="FFFFFF"/>
          </w:tcPr>
          <w:p>
            <w:r>
              <w:rPr>
                <w:sz w:val="19"/>
              </w:rPr>
              <w:t>Jointures LC → Produits</w:t>
            </w:r>
          </w:p>
        </w:tc>
      </w:tr>
      <w:tr>
        <w:tc>
          <w:tcPr>
            <w:tcW w:type="dxa" w:w="3022"/>
            <w:shd w:val="clear" w:color="auto" w:fill="F5F8FF"/>
          </w:tcPr>
          <w:p>
            <w:r>
              <w:rPr>
                <w:sz w:val="19"/>
              </w:rPr>
              <w:t>idx_lc1_cmd_qte</w:t>
            </w:r>
          </w:p>
        </w:tc>
        <w:tc>
          <w:tcPr>
            <w:tcW w:type="dxa" w:w="3022"/>
            <w:shd w:val="clear" w:color="auto" w:fill="F5F8FF"/>
          </w:tcPr>
          <w:p>
            <w:r>
              <w:rPr>
                <w:sz w:val="19"/>
              </w:rPr>
              <w:t>LigneCommandes1 (IDCOMMANDE, QUANTITE)</w:t>
            </w:r>
          </w:p>
        </w:tc>
        <w:tc>
          <w:tcPr>
            <w:tcW w:type="dxa" w:w="3022"/>
            <w:shd w:val="clear" w:color="auto" w:fill="F5F8FF"/>
          </w:tcPr>
          <w:p>
            <w:r>
              <w:rPr>
                <w:sz w:val="19"/>
              </w:rPr>
              <w:t>Index composite — filtrage simultané</w:t>
            </w:r>
          </w:p>
        </w:tc>
      </w:tr>
      <w:tr>
        <w:tc>
          <w:tcPr>
            <w:tcW w:type="dxa" w:w="3022"/>
            <w:shd w:val="clear" w:color="auto" w:fill="FFFFFF"/>
          </w:tcPr>
          <w:p>
            <w:r>
              <w:rPr>
                <w:sz w:val="19"/>
              </w:rPr>
              <w:t>idx_cmd1_idclient</w:t>
            </w:r>
          </w:p>
        </w:tc>
        <w:tc>
          <w:tcPr>
            <w:tcW w:type="dxa" w:w="3022"/>
            <w:shd w:val="clear" w:color="auto" w:fill="FFFFFF"/>
          </w:tcPr>
          <w:p>
            <w:r>
              <w:rPr>
                <w:sz w:val="19"/>
              </w:rPr>
              <w:t>Commandes1 (IDCLIENT)</w:t>
            </w:r>
          </w:p>
        </w:tc>
        <w:tc>
          <w:tcPr>
            <w:tcW w:type="dxa" w:w="3022"/>
            <w:shd w:val="clear" w:color="auto" w:fill="FFFFFF"/>
          </w:tcPr>
          <w:p>
            <w:r>
              <w:rPr>
                <w:sz w:val="19"/>
              </w:rPr>
              <w:t>Jointures Commandes → Clients</w:t>
            </w:r>
          </w:p>
        </w:tc>
      </w:tr>
      <w:tr>
        <w:tc>
          <w:tcPr>
            <w:tcW w:type="dxa" w:w="3022"/>
            <w:shd w:val="clear" w:color="auto" w:fill="F5F8FF"/>
          </w:tcPr>
          <w:p>
            <w:r>
              <w:rPr>
                <w:sz w:val="19"/>
              </w:rPr>
              <w:t>idx_cmd1_date</w:t>
            </w:r>
          </w:p>
        </w:tc>
        <w:tc>
          <w:tcPr>
            <w:tcW w:type="dxa" w:w="3022"/>
            <w:shd w:val="clear" w:color="auto" w:fill="F5F8FF"/>
          </w:tcPr>
          <w:p>
            <w:r>
              <w:rPr>
                <w:sz w:val="19"/>
              </w:rPr>
              <w:t>Commandes1 (DATECOMMANDE)</w:t>
            </w:r>
          </w:p>
        </w:tc>
        <w:tc>
          <w:tcPr>
            <w:tcW w:type="dxa" w:w="3022"/>
            <w:shd w:val="clear" w:color="auto" w:fill="F5F8FF"/>
          </w:tcPr>
          <w:p>
            <w:r>
              <w:rPr>
                <w:sz w:val="19"/>
              </w:rPr>
              <w:t>Filtrage temporel des commandes</w:t>
            </w:r>
          </w:p>
        </w:tc>
      </w:tr>
      <w:tr>
        <w:tc>
          <w:tcPr>
            <w:tcW w:type="dxa" w:w="3022"/>
            <w:shd w:val="clear" w:color="auto" w:fill="FFFFFF"/>
          </w:tcPr>
          <w:p>
            <w:r>
              <w:rPr>
                <w:sz w:val="19"/>
              </w:rPr>
              <w:t>IDX_CMD_YEAR_FUNC</w:t>
            </w:r>
          </w:p>
        </w:tc>
        <w:tc>
          <w:tcPr>
            <w:tcW w:type="dxa" w:w="3022"/>
            <w:shd w:val="clear" w:color="auto" w:fill="FFFFFF"/>
          </w:tcPr>
          <w:p>
            <w:r>
              <w:rPr>
                <w:sz w:val="19"/>
              </w:rPr>
              <w:t>EXTRACT(YEAR FROM DATECOMMANDE)</w:t>
            </w:r>
          </w:p>
        </w:tc>
        <w:tc>
          <w:tcPr>
            <w:tcW w:type="dxa" w:w="3022"/>
            <w:shd w:val="clear" w:color="auto" w:fill="FFFFFF"/>
          </w:tcPr>
          <w:p>
            <w:r>
              <w:rPr>
                <w:sz w:val="19"/>
              </w:rPr>
              <w:t>Index fonctionnel — requêtes par année</w:t>
            </w:r>
          </w:p>
        </w:tc>
      </w:tr>
      <w:tr>
        <w:tc>
          <w:tcPr>
            <w:tcW w:type="dxa" w:w="3022"/>
            <w:shd w:val="clear" w:color="auto" w:fill="F5F8FF"/>
          </w:tcPr>
          <w:p>
            <w:r>
              <w:rPr>
                <w:sz w:val="19"/>
              </w:rPr>
              <w:t>idx_prod1_idcateg</w:t>
            </w:r>
          </w:p>
        </w:tc>
        <w:tc>
          <w:tcPr>
            <w:tcW w:type="dxa" w:w="3022"/>
            <w:shd w:val="clear" w:color="auto" w:fill="F5F8FF"/>
          </w:tcPr>
          <w:p>
            <w:r>
              <w:rPr>
                <w:sz w:val="19"/>
              </w:rPr>
              <w:t>Produits1 (IDCATEG)</w:t>
            </w:r>
          </w:p>
        </w:tc>
        <w:tc>
          <w:tcPr>
            <w:tcW w:type="dxa" w:w="3022"/>
            <w:shd w:val="clear" w:color="auto" w:fill="F5F8FF"/>
          </w:tcPr>
          <w:p>
            <w:r>
              <w:rPr>
                <w:sz w:val="19"/>
              </w:rPr>
              <w:t>Filtres par catégorie de produit</w:t>
            </w:r>
          </w:p>
        </w:tc>
      </w:tr>
      <w:tr>
        <w:tc>
          <w:tcPr>
            <w:tcW w:type="dxa" w:w="3022"/>
            <w:shd w:val="clear" w:color="auto" w:fill="FFFFFF"/>
          </w:tcPr>
          <w:p>
            <w:r>
              <w:rPr>
                <w:sz w:val="19"/>
              </w:rPr>
              <w:t>idx_prod1_prix</w:t>
            </w:r>
          </w:p>
        </w:tc>
        <w:tc>
          <w:tcPr>
            <w:tcW w:type="dxa" w:w="3022"/>
            <w:shd w:val="clear" w:color="auto" w:fill="FFFFFF"/>
          </w:tcPr>
          <w:p>
            <w:r>
              <w:rPr>
                <w:sz w:val="19"/>
              </w:rPr>
              <w:t>Produits1 (PRIXUNITAIRE)</w:t>
            </w:r>
          </w:p>
        </w:tc>
        <w:tc>
          <w:tcPr>
            <w:tcW w:type="dxa" w:w="3022"/>
            <w:shd w:val="clear" w:color="auto" w:fill="FFFFFF"/>
          </w:tcPr>
          <w:p>
            <w:r>
              <w:rPr>
                <w:sz w:val="19"/>
              </w:rPr>
              <w:t>Filtres et tri par prix</w:t>
            </w:r>
          </w:p>
        </w:tc>
      </w:tr>
      <w:tr>
        <w:tc>
          <w:tcPr>
            <w:tcW w:type="dxa" w:w="3022"/>
            <w:shd w:val="clear" w:color="auto" w:fill="F5F8FF"/>
          </w:tcPr>
          <w:p>
            <w:r>
              <w:rPr>
                <w:sz w:val="19"/>
              </w:rPr>
              <w:t>idx_cli1_pays</w:t>
            </w:r>
          </w:p>
        </w:tc>
        <w:tc>
          <w:tcPr>
            <w:tcW w:type="dxa" w:w="3022"/>
            <w:shd w:val="clear" w:color="auto" w:fill="F5F8FF"/>
          </w:tcPr>
          <w:p>
            <w:r>
              <w:rPr>
                <w:sz w:val="19"/>
              </w:rPr>
              <w:t>Clients1 (PAYS)</w:t>
            </w:r>
          </w:p>
        </w:tc>
        <w:tc>
          <w:tcPr>
            <w:tcW w:type="dxa" w:w="3022"/>
            <w:shd w:val="clear" w:color="auto" w:fill="F5F8FF"/>
          </w:tcPr>
          <w:p>
            <w:r>
              <w:rPr>
                <w:sz w:val="19"/>
              </w:rPr>
              <w:t>Filtres géographiques</w:t>
            </w:r>
          </w:p>
        </w:tc>
      </w:tr>
    </w:tbl>
    <w:p>
      <w:pPr>
        <w:spacing w:after="160"/>
      </w:pPr>
    </w:p>
    <w:p>
      <w:pPr>
        <w:spacing w:after="120" w:before="40"/>
        <w:jc w:val="both"/>
      </w:pPr>
      <w:r>
        <w:rPr>
          <w:b w:val="0"/>
          <w:i w:val="0"/>
          <w:sz w:val="22"/>
        </w:rPr>
        <w:t>Site2 dispose d'une structure d'indexation similaire (11 index au total), portant sur LigneCommandes2, Commandes2, Produits2 et Clients2.</w:t>
      </w:r>
    </w:p>
    <w:p>
      <w:pPr>
        <w:pStyle w:val="Heading2"/>
        <w:spacing w:before="360" w:after="160"/>
      </w:pPr>
      <w:r>
        <w:rPr>
          <w:color w:val="E86B1A"/>
        </w:rPr>
        <w:t>8.2 L'index fonctionnel IDX_CMD_YEAR_FUNC</w:t>
      </w:r>
    </w:p>
    <w:p>
      <w:pPr>
        <w:spacing w:after="120" w:before="40"/>
        <w:jc w:val="both"/>
      </w:pPr>
      <w:r>
        <w:rPr>
          <w:b w:val="0"/>
          <w:i w:val="0"/>
          <w:sz w:val="22"/>
        </w:rPr>
        <w:t>Un index B-Tree standard créé sur la colonne DATECOMMANDE ne peut pas être utilisé par Oracle lorsque la requête applique une fonction sur cette colonne, comme EXTRACT(YEAR FROM DATECOMMANDE). L'optimiseur considère alors que l'index ne correspond pas au prédicat et effectue un TABLE ACCESS FULL.</w:t>
      </w:r>
    </w:p>
    <w:p>
      <w:pPr>
        <w:spacing w:after="120" w:before="40"/>
        <w:jc w:val="both"/>
      </w:pPr>
      <w:r>
        <w:rPr>
          <w:b w:val="0"/>
          <w:i w:val="0"/>
          <w:sz w:val="22"/>
        </w:rPr>
        <w:t>La solution est de créer un index fonctionnel directement sur l'expression EXTRACT(YEAR FROM DATECOMMANDE). Oracle peut alors utiliser cet index pour les requêtes filtrant par année, passant d'un FULL TABLE SCAN à un INDEX RANGE SCAN. C'est l'enseignement clé souligné dans la conclusion de la présentation.</w:t>
      </w:r>
    </w:p>
    <w:p>
      <w:pPr>
        <w:spacing w:before="80" w:after="80"/>
        <w:ind w:left="454"/>
        <w:shd w:val="clear" w:color="auto" w:fill="F0F0F0"/>
      </w:pPr>
      <w:r>
        <w:rPr>
          <w:rFonts w:ascii="Courier New" w:hAnsi="Courier New"/>
          <w:sz w:val="17"/>
        </w:rPr>
        <w:t>CREATE INDEX IDX_CMD_YEAR_FUNC</w:t>
        <w:br/>
        <w:t>ON Commandes1 (EXTRACT(YEAR FROM DATECOMMANDE));</w:t>
      </w:r>
    </w:p>
    <w:p>
      <w:pPr>
        <w:pStyle w:val="Heading2"/>
        <w:spacing w:before="360" w:after="160"/>
      </w:pPr>
      <w:r>
        <w:rPr>
          <w:color w:val="E86B1A"/>
        </w:rPr>
        <w:t>8.3 Analyse comparative AVANT / APRÈS indexation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Scénario</w:t>
            </w:r>
          </w:p>
        </w:tc>
        <w:tc>
          <w:tcPr>
            <w:tcW w:type="dxa" w:w="3022"/>
            <w:shd w:val="clear" w:color="auto" w:fill="1A3F7A"/>
          </w:tcPr>
          <w:p>
            <w:pPr>
              <w:jc w:val="center"/>
            </w:pPr>
            <w:r>
              <w:rPr>
                <w:b/>
                <w:color w:val="FFFFFF"/>
                <w:sz w:val="20"/>
              </w:rPr>
              <w:t>Plan d'exécution (EXPLAIN PLAN)</w:t>
            </w:r>
          </w:p>
        </w:tc>
        <w:tc>
          <w:tcPr>
            <w:tcW w:type="dxa" w:w="3022"/>
            <w:shd w:val="clear" w:color="auto" w:fill="1A3F7A"/>
          </w:tcPr>
          <w:p>
            <w:pPr>
              <w:jc w:val="center"/>
            </w:pPr>
            <w:r>
              <w:rPr>
                <w:b/>
                <w:color w:val="FFFFFF"/>
                <w:sz w:val="20"/>
              </w:rPr>
              <w:t>Temps estimé</w:t>
            </w:r>
          </w:p>
        </w:tc>
      </w:tr>
      <w:tr>
        <w:tc>
          <w:tcPr>
            <w:tcW w:type="dxa" w:w="3022"/>
            <w:shd w:val="clear" w:color="auto" w:fill="FFFFFF"/>
          </w:tcPr>
          <w:p>
            <w:pPr>
              <w:jc w:val="center"/>
            </w:pPr>
            <w:r>
              <w:rPr>
                <w:sz w:val="20"/>
              </w:rPr>
              <w:t>Sans index</w:t>
            </w:r>
          </w:p>
        </w:tc>
        <w:tc>
          <w:tcPr>
            <w:tcW w:type="dxa" w:w="3022"/>
            <w:shd w:val="clear" w:color="auto" w:fill="FFFFFF"/>
          </w:tcPr>
          <w:p>
            <w:pPr>
              <w:jc w:val="center"/>
            </w:pPr>
            <w:r>
              <w:rPr>
                <w:sz w:val="20"/>
              </w:rPr>
              <w:t>TABLE ACCESS FULL (coût ~15)</w:t>
            </w:r>
          </w:p>
        </w:tc>
        <w:tc>
          <w:tcPr>
            <w:tcW w:type="dxa" w:w="3022"/>
            <w:shd w:val="clear" w:color="auto" w:fill="FFFFFF"/>
          </w:tcPr>
          <w:p>
            <w:pPr>
              <w:jc w:val="center"/>
            </w:pPr>
            <w:r>
              <w:rPr>
                <w:sz w:val="20"/>
              </w:rPr>
              <w:t>~12 ms</w:t>
            </w:r>
          </w:p>
        </w:tc>
      </w:tr>
      <w:tr>
        <w:tc>
          <w:tcPr>
            <w:tcW w:type="dxa" w:w="3022"/>
            <w:shd w:val="clear" w:color="auto" w:fill="FFF5E0"/>
          </w:tcPr>
          <w:p>
            <w:pPr>
              <w:jc w:val="center"/>
            </w:pPr>
            <w:r>
              <w:rPr>
                <w:sz w:val="20"/>
              </w:rPr>
              <w:t>Avec B-Tree</w:t>
            </w:r>
          </w:p>
        </w:tc>
        <w:tc>
          <w:tcPr>
            <w:tcW w:type="dxa" w:w="3022"/>
            <w:shd w:val="clear" w:color="auto" w:fill="FFF5E0"/>
          </w:tcPr>
          <w:p>
            <w:pPr>
              <w:jc w:val="center"/>
            </w:pPr>
            <w:r>
              <w:rPr>
                <w:sz w:val="20"/>
              </w:rPr>
              <w:t>INDEX RANGE SCAN (coût réduit)</w:t>
            </w:r>
          </w:p>
        </w:tc>
        <w:tc>
          <w:tcPr>
            <w:tcW w:type="dxa" w:w="3022"/>
            <w:shd w:val="clear" w:color="auto" w:fill="FFF5E0"/>
          </w:tcPr>
          <w:p>
            <w:pPr>
              <w:jc w:val="center"/>
            </w:pPr>
            <w:r>
              <w:rPr>
                <w:sz w:val="20"/>
              </w:rPr>
              <w:t>~4 ms</w:t>
            </w:r>
          </w:p>
        </w:tc>
      </w:tr>
      <w:tr>
        <w:tc>
          <w:tcPr>
            <w:tcW w:type="dxa" w:w="3022"/>
            <w:shd w:val="clear" w:color="auto" w:fill="FFFFFF"/>
          </w:tcPr>
          <w:p>
            <w:pPr>
              <w:jc w:val="center"/>
            </w:pPr>
            <w:r>
              <w:rPr>
                <w:sz w:val="20"/>
              </w:rPr>
              <w:t>Avec index fonctionnel</w:t>
            </w:r>
          </w:p>
        </w:tc>
        <w:tc>
          <w:tcPr>
            <w:tcW w:type="dxa" w:w="3022"/>
            <w:shd w:val="clear" w:color="auto" w:fill="FFFFFF"/>
          </w:tcPr>
          <w:p>
            <w:pPr>
              <w:jc w:val="center"/>
            </w:pPr>
            <w:r>
              <w:rPr>
                <w:sz w:val="20"/>
              </w:rPr>
              <w:t>INDEX RANGE SCAN sur EXTRACT (coût ~4)</w:t>
            </w:r>
          </w:p>
        </w:tc>
        <w:tc>
          <w:tcPr>
            <w:tcW w:type="dxa" w:w="3022"/>
            <w:shd w:val="clear" w:color="auto" w:fill="FFFFFF"/>
          </w:tcPr>
          <w:p>
            <w:pPr>
              <w:jc w:val="center"/>
            </w:pPr>
            <w:r>
              <w:rPr>
                <w:sz w:val="20"/>
              </w:rPr>
              <w:t>~3 ms</w:t>
            </w:r>
          </w:p>
        </w:tc>
      </w:tr>
      <w:tr>
        <w:tc>
          <w:tcPr>
            <w:tcW w:type="dxa" w:w="3022"/>
            <w:shd w:val="clear" w:color="auto" w:fill="FFF5E0"/>
          </w:tcPr>
          <w:p>
            <w:pPr>
              <w:jc w:val="center"/>
            </w:pPr>
            <w:r>
              <w:rPr>
                <w:sz w:val="20"/>
              </w:rPr>
              <w:t>Distribué (2 sites)</w:t>
            </w:r>
          </w:p>
        </w:tc>
        <w:tc>
          <w:tcPr>
            <w:tcW w:type="dxa" w:w="3022"/>
            <w:shd w:val="clear" w:color="auto" w:fill="FFF5E0"/>
          </w:tcPr>
          <w:p>
            <w:pPr>
              <w:jc w:val="center"/>
            </w:pPr>
            <w:r>
              <w:rPr>
                <w:sz w:val="20"/>
              </w:rPr>
              <w:t>REMOTE + JOIN inter-nœuds</w:t>
            </w:r>
          </w:p>
        </w:tc>
        <w:tc>
          <w:tcPr>
            <w:tcW w:type="dxa" w:w="3022"/>
            <w:shd w:val="clear" w:color="auto" w:fill="FFF5E0"/>
          </w:tcPr>
          <w:p>
            <w:pPr>
              <w:jc w:val="center"/>
            </w:pPr>
            <w:r>
              <w:rPr>
                <w:sz w:val="20"/>
              </w:rPr>
              <w:t>~28 ms</w:t>
            </w:r>
          </w:p>
        </w:tc>
      </w:tr>
    </w:tbl>
    <w:p>
      <w:pPr>
        <w:spacing w:after="160"/>
      </w:pPr>
    </w:p>
    <w:p>
      <w:pPr>
        <w:spacing w:after="120" w:before="40"/>
        <w:jc w:val="both"/>
      </w:pPr>
      <w:r>
        <w:rPr>
          <w:b w:val="0"/>
          <w:i w:val="0"/>
          <w:sz w:val="21"/>
        </w:rPr>
        <w:t>Gain global mesuré avec EXPLAIN PLAN : réduction du coût de 73% entre l'absence d'index (coût ~15, TABLE ACCESS FULL sur CLIENTS et COMMANDES, HASH JOIN, SORT GROUP BY) et l'utilisation de l'index fonctionnel (coût ~4, INDEX RANGE SCAN sur IDX_CMD_YEAR_FUNC, NESTED LOOPS, INDEX FAST FULL sur CLIENTS). Les captures d'écran de la présentation montrent le plan AVANT (PLAN_TABLE_OUTPUT avec TABLE ACCESS FULL CLIENTS, TABLE ACCESS FULL COMMANDES) et APRÈS (INDEX FULL SCAN IDX_CMD_CLIENT_DATE).</w:t>
      </w:r>
    </w:p>
    <w:p>
      <w:r>
        <w:br w:type="page"/>
      </w:r>
    </w:p>
    <w:p>
      <w:pPr>
        <w:pStyle w:val="Heading1"/>
        <w:spacing w:before="360" w:after="160"/>
      </w:pPr>
      <w:r>
        <w:rPr>
          <w:color w:val="0D1B3E"/>
        </w:rPr>
        <w:t>09 | Monitoring et Maintenance du Cluster</w:t>
      </w:r>
    </w:p>
    <w:p>
      <w:pPr>
        <w:spacing w:before="40" w:after="40"/>
        <w:pBdr>
          <w:bottom w:val="single" w:sz="6" w:space="1" w:color="E86B1A"/>
        </w:pBdr>
      </w:pPr>
    </w:p>
    <w:p>
      <w:pPr>
        <w:spacing w:after="120" w:before="40"/>
        <w:jc w:val="both"/>
      </w:pPr>
      <w:r>
        <w:rPr>
          <w:b w:val="0"/>
          <w:i w:val="0"/>
          <w:sz w:val="22"/>
        </w:rPr>
        <w:t>Un système complet de surveillance et de maintenance est mis en place pour assurer la disponibilité et les performances du cluster sur la durée. Il se compose de trois piliers : la surveillance temps réel, l'audit des opérations et la maintenance planifiée.</w:t>
      </w:r>
    </w:p>
    <w:p>
      <w:pPr>
        <w:pStyle w:val="Heading2"/>
        <w:spacing w:before="360" w:after="160"/>
      </w:pPr>
      <w:r>
        <w:rPr>
          <w:color w:val="E86B1A"/>
        </w:rPr>
        <w:t>9.1 Surveillance temps réel — check_health.sh</w:t>
      </w:r>
    </w:p>
    <w:p>
      <w:pPr>
        <w:spacing w:after="120" w:before="40"/>
        <w:jc w:val="both"/>
      </w:pPr>
      <w:r>
        <w:rPr>
          <w:b w:val="0"/>
          <w:i w:val="0"/>
          <w:sz w:val="22"/>
        </w:rPr>
        <w:t>Le script shell monitoring/check_health.sh effectue une vérification complète en sept étapes et affiche les résultats avec un code couleur (vert = OK, rouge = erreur, jaune = en cours) :</w:t>
      </w:r>
    </w:p>
    <w:p>
      <w:pPr>
        <w:pStyle w:val="ListBullet"/>
        <w:spacing w:after="80" w:before="40"/>
        <w:ind w:left="283"/>
      </w:pPr>
      <w:r>
        <w:rPr>
          <w:b/>
          <w:sz w:val="21"/>
        </w:rPr>
        <w:t xml:space="preserve">État des conteneurs : </w:t>
      </w:r>
      <w:r>
        <w:rPr>
          <w:sz w:val="21"/>
        </w:rPr>
        <w:t>inspecte le statut Docker (running/stopped) et l'état healthcheck (healthy/unhealthy/starting) de chaque conteneur.</w:t>
      </w:r>
    </w:p>
    <w:p>
      <w:pPr>
        <w:pStyle w:val="ListBullet"/>
        <w:spacing w:after="80" w:before="40"/>
        <w:ind w:left="283"/>
      </w:pPr>
      <w:r>
        <w:rPr>
          <w:b/>
          <w:sz w:val="21"/>
        </w:rPr>
        <w:t xml:space="preserve">Ressources système : </w:t>
      </w:r>
      <w:r>
        <w:rPr>
          <w:sz w:val="21"/>
        </w:rPr>
        <w:t>exécute docker stats --no-stream pour afficher la consommation CPU, RAM et réseau de chaque nœud.</w:t>
      </w:r>
    </w:p>
    <w:p>
      <w:pPr>
        <w:pStyle w:val="ListBullet"/>
        <w:spacing w:after="80" w:before="40"/>
        <w:ind w:left="283"/>
      </w:pPr>
      <w:r>
        <w:rPr>
          <w:b/>
          <w:sz w:val="21"/>
        </w:rPr>
        <w:t xml:space="preserve">Connectivité réseau : </w:t>
      </w:r>
      <w:r>
        <w:rPr>
          <w:sz w:val="21"/>
        </w:rPr>
        <w:t>effectue des ping inter-conteneurs dans les 6 directions possibles pour valider la topologie réseau.</w:t>
      </w:r>
    </w:p>
    <w:p>
      <w:pPr>
        <w:pStyle w:val="ListBullet"/>
        <w:spacing w:after="80" w:before="40"/>
        <w:ind w:left="283"/>
      </w:pPr>
      <w:r>
        <w:rPr>
          <w:b/>
          <w:sz w:val="21"/>
        </w:rPr>
        <w:t xml:space="preserve">Connexions SQL*Plus : </w:t>
      </w:r>
      <w:r>
        <w:rPr>
          <w:sz w:val="21"/>
        </w:rPr>
        <w:t>teste la connexion de chaque utilisateur applicatif (eshop1, eshop2, eshopcentral) en exécutant SELECT 'CONNECTED' FROM DUAL.</w:t>
      </w:r>
    </w:p>
    <w:p>
      <w:pPr>
        <w:pStyle w:val="ListBullet"/>
        <w:spacing w:after="80" w:before="40"/>
        <w:ind w:left="283"/>
      </w:pPr>
      <w:r>
        <w:rPr>
          <w:b/>
          <w:sz w:val="21"/>
        </w:rPr>
        <w:t xml:space="preserve">Database Links : </w:t>
      </w:r>
      <w:r>
        <w:rPr>
          <w:sz w:val="21"/>
        </w:rPr>
        <w:t>teste les deux liens depuis oracle-central (site1_link et site2_link) en comptant les lignes de LigneCommandes1 et LigneCommandes2.</w:t>
      </w:r>
    </w:p>
    <w:p>
      <w:pPr>
        <w:pStyle w:val="ListBullet"/>
        <w:spacing w:after="80" w:before="40"/>
        <w:ind w:left="283"/>
      </w:pPr>
      <w:r>
        <w:rPr>
          <w:b/>
          <w:sz w:val="21"/>
        </w:rPr>
        <w:t xml:space="preserve">Données dans les fragments : </w:t>
      </w:r>
      <w:r>
        <w:rPr>
          <w:sz w:val="21"/>
        </w:rPr>
        <w:t>effectue un COUNT(*) sur chaque table de fragment pour vérifier l'intégrité des données.</w:t>
      </w:r>
    </w:p>
    <w:p>
      <w:pPr>
        <w:pStyle w:val="ListBullet"/>
        <w:spacing w:after="80" w:before="40"/>
        <w:ind w:left="283"/>
      </w:pPr>
      <w:r>
        <w:rPr>
          <w:b/>
          <w:sz w:val="21"/>
        </w:rPr>
        <w:t xml:space="preserve">Résumé final : </w:t>
      </w:r>
      <w:r>
        <w:rPr>
          <w:sz w:val="21"/>
        </w:rPr>
        <w:t>affiche l'heure de fin du health check.</w:t>
      </w:r>
    </w:p>
    <w:p>
      <w:pPr>
        <w:pStyle w:val="Heading2"/>
        <w:spacing w:before="360" w:after="160"/>
      </w:pPr>
      <w:r>
        <w:rPr>
          <w:color w:val="E86B1A"/>
        </w:rPr>
        <w:t>9.2 Audit des opérations — monitor_logs.sql</w:t>
      </w:r>
    </w:p>
    <w:p>
      <w:pPr>
        <w:spacing w:after="120" w:before="40"/>
        <w:jc w:val="both"/>
      </w:pPr>
      <w:r>
        <w:rPr>
          <w:b w:val="0"/>
          <w:i w:val="0"/>
          <w:sz w:val="22"/>
        </w:rPr>
        <w:t>Le script monitor_logs.sql exécuté sur chaque site fournit plusieurs requêtes de surveillance des tables de log :</w:t>
      </w:r>
    </w:p>
    <w:p>
      <w:pPr>
        <w:pStyle w:val="ListBullet"/>
        <w:spacing w:after="80" w:before="40"/>
        <w:ind w:left="283"/>
      </w:pPr>
      <w:r>
        <w:rPr>
          <w:sz w:val="21"/>
        </w:rPr>
        <w:t>Résumé des opérations par type (INSERT/UPDATE/DELETE) avec comptage</w:t>
      </w:r>
    </w:p>
    <w:p>
      <w:pPr>
        <w:pStyle w:val="ListBullet"/>
        <w:spacing w:after="80" w:before="40"/>
        <w:ind w:left="283"/>
      </w:pPr>
      <w:r>
        <w:rPr>
          <w:sz w:val="21"/>
        </w:rPr>
        <w:t>Affichage des 20 dernières opérations par horodatage décroissant</w:t>
      </w:r>
    </w:p>
    <w:p>
      <w:pPr>
        <w:pStyle w:val="ListBullet"/>
        <w:spacing w:after="80" w:before="40"/>
        <w:ind w:left="283"/>
      </w:pPr>
      <w:r>
        <w:rPr>
          <w:sz w:val="21"/>
        </w:rPr>
        <w:t>Activité par utilisateur Oracle (groupement par UTILISATEUR)</w:t>
      </w:r>
    </w:p>
    <w:p>
      <w:pPr>
        <w:pStyle w:val="ListBullet"/>
        <w:spacing w:after="80" w:before="40"/>
        <w:ind w:left="283"/>
      </w:pPr>
      <w:r>
        <w:rPr>
          <w:sz w:val="21"/>
        </w:rPr>
        <w:t>Alertes : liste des opérations effectuées dans les 24 dernières heures</w:t>
      </w:r>
    </w:p>
    <w:p>
      <w:pPr>
        <w:pStyle w:val="ListBullet"/>
        <w:spacing w:after="80" w:before="40"/>
        <w:ind w:left="283"/>
      </w:pPr>
      <w:r>
        <w:rPr>
          <w:sz w:val="21"/>
        </w:rPr>
        <w:t>Volume total des quatre tables de log (LOG_SITE1, LOG_SITE2, LOG_CENTRAL, ROUTING_LOG)</w:t>
      </w:r>
    </w:p>
    <w:p>
      <w:pPr>
        <w:pStyle w:val="Heading2"/>
        <w:spacing w:before="360" w:after="160"/>
      </w:pPr>
      <w:r>
        <w:rPr>
          <w:color w:val="E86B1A"/>
        </w:rPr>
        <w:t>9.3 Maintenance planifiée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D4E2E"/>
          </w:tcPr>
          <w:p>
            <w:pPr>
              <w:jc w:val="center"/>
            </w:pPr>
            <w:r>
              <w:rPr>
                <w:b/>
                <w:color w:val="FFFFFF"/>
                <w:sz w:val="20"/>
              </w:rPr>
              <w:t>Fréquence</w:t>
            </w:r>
          </w:p>
        </w:tc>
        <w:tc>
          <w:tcPr>
            <w:tcW w:type="dxa" w:w="3022"/>
            <w:shd w:val="clear" w:color="auto" w:fill="0D4E2E"/>
          </w:tcPr>
          <w:p>
            <w:pPr>
              <w:jc w:val="center"/>
            </w:pPr>
            <w:r>
              <w:rPr>
                <w:b/>
                <w:color w:val="FFFFFF"/>
                <w:sz w:val="20"/>
              </w:rPr>
              <w:t>Script</w:t>
            </w:r>
          </w:p>
        </w:tc>
        <w:tc>
          <w:tcPr>
            <w:tcW w:type="dxa" w:w="3022"/>
            <w:shd w:val="clear" w:color="auto" w:fill="0D4E2E"/>
          </w:tcPr>
          <w:p>
            <w:pPr>
              <w:jc w:val="center"/>
            </w:pPr>
            <w:r>
              <w:rPr>
                <w:b/>
                <w:color w:val="FFFFFF"/>
                <w:sz w:val="20"/>
              </w:rPr>
              <w:t>Action</w:t>
            </w:r>
          </w:p>
        </w:tc>
      </w:tr>
      <w:tr>
        <w:tc>
          <w:tcPr>
            <w:tcW w:type="dxa" w:w="3022"/>
            <w:shd w:val="clear" w:color="auto" w:fill="FFFFFF"/>
          </w:tcPr>
          <w:p>
            <w:r>
              <w:rPr>
                <w:sz w:val="20"/>
              </w:rPr>
              <w:t>Quotidienne</w:t>
            </w:r>
          </w:p>
        </w:tc>
        <w:tc>
          <w:tcPr>
            <w:tcW w:type="dxa" w:w="3022"/>
            <w:shd w:val="clear" w:color="auto" w:fill="FFFFFF"/>
          </w:tcPr>
          <w:p>
            <w:r>
              <w:rPr>
                <w:sz w:val="20"/>
              </w:rPr>
              <w:t>check_health.sh</w:t>
            </w:r>
          </w:p>
        </w:tc>
        <w:tc>
          <w:tcPr>
            <w:tcW w:type="dxa" w:w="3022"/>
            <w:shd w:val="clear" w:color="auto" w:fill="FFFFFF"/>
          </w:tcPr>
          <w:p>
            <w:r>
              <w:rPr>
                <w:sz w:val="20"/>
              </w:rPr>
              <w:t>Vérification complète du cluster</w:t>
            </w:r>
          </w:p>
        </w:tc>
      </w:tr>
      <w:tr>
        <w:tc>
          <w:tcPr>
            <w:tcW w:type="dxa" w:w="3022"/>
            <w:shd w:val="clear" w:color="auto" w:fill="F0FFF4"/>
          </w:tcPr>
          <w:p>
            <w:r>
              <w:rPr>
                <w:sz w:val="20"/>
              </w:rPr>
              <w:t>Hebdomadaire</w:t>
            </w:r>
          </w:p>
        </w:tc>
        <w:tc>
          <w:tcPr>
            <w:tcW w:type="dxa" w:w="3022"/>
            <w:shd w:val="clear" w:color="auto" w:fill="F0FFF4"/>
          </w:tcPr>
          <w:p>
            <w:r>
              <w:rPr>
                <w:sz w:val="20"/>
              </w:rPr>
              <w:t>rebuild_indexes.sql</w:t>
            </w:r>
          </w:p>
        </w:tc>
        <w:tc>
          <w:tcPr>
            <w:tcW w:type="dxa" w:w="3022"/>
            <w:shd w:val="clear" w:color="auto" w:fill="F0FFF4"/>
          </w:tcPr>
          <w:p>
            <w:r>
              <w:rPr>
                <w:sz w:val="20"/>
              </w:rPr>
              <w:t>Reconstruction et réorganisation des index</w:t>
            </w:r>
          </w:p>
        </w:tc>
      </w:tr>
      <w:tr>
        <w:tc>
          <w:tcPr>
            <w:tcW w:type="dxa" w:w="3022"/>
            <w:shd w:val="clear" w:color="auto" w:fill="FFFFFF"/>
          </w:tcPr>
          <w:p>
            <w:r>
              <w:rPr>
                <w:sz w:val="20"/>
              </w:rPr>
              <w:t>Hebdomadaire</w:t>
            </w:r>
          </w:p>
        </w:tc>
        <w:tc>
          <w:tcPr>
            <w:tcW w:type="dxa" w:w="3022"/>
            <w:shd w:val="clear" w:color="auto" w:fill="FFFFFF"/>
          </w:tcPr>
          <w:p>
            <w:r>
              <w:rPr>
                <w:sz w:val="20"/>
              </w:rPr>
              <w:t>check_dblinks.sql</w:t>
            </w:r>
          </w:p>
        </w:tc>
        <w:tc>
          <w:tcPr>
            <w:tcW w:type="dxa" w:w="3022"/>
            <w:shd w:val="clear" w:color="auto" w:fill="FFFFFF"/>
          </w:tcPr>
          <w:p>
            <w:r>
              <w:rPr>
                <w:sz w:val="20"/>
              </w:rPr>
              <w:t>Validation de tous les Database Links</w:t>
            </w:r>
          </w:p>
        </w:tc>
      </w:tr>
      <w:tr>
        <w:tc>
          <w:tcPr>
            <w:tcW w:type="dxa" w:w="3022"/>
            <w:shd w:val="clear" w:color="auto" w:fill="F0FFF4"/>
          </w:tcPr>
          <w:p>
            <w:r>
              <w:rPr>
                <w:sz w:val="20"/>
              </w:rPr>
              <w:t>Mensuelle</w:t>
            </w:r>
          </w:p>
        </w:tc>
        <w:tc>
          <w:tcPr>
            <w:tcW w:type="dxa" w:w="3022"/>
            <w:shd w:val="clear" w:color="auto" w:fill="F0FFF4"/>
          </w:tcPr>
          <w:p>
            <w:r>
              <w:rPr>
                <w:sz w:val="20"/>
              </w:rPr>
              <w:t>purge_logs.sql</w:t>
            </w:r>
          </w:p>
        </w:tc>
        <w:tc>
          <w:tcPr>
            <w:tcW w:type="dxa" w:w="3022"/>
            <w:shd w:val="clear" w:color="auto" w:fill="F0FFF4"/>
          </w:tcPr>
          <w:p>
            <w:r>
              <w:rPr>
                <w:sz w:val="20"/>
              </w:rPr>
              <w:t>Suppression des entrées de log &gt; 30 jours</w:t>
            </w:r>
          </w:p>
        </w:tc>
      </w:tr>
      <w:tr>
        <w:tc>
          <w:tcPr>
            <w:tcW w:type="dxa" w:w="3022"/>
            <w:shd w:val="clear" w:color="auto" w:fill="FFFFFF"/>
          </w:tcPr>
          <w:p>
            <w:r>
              <w:rPr>
                <w:sz w:val="20"/>
              </w:rPr>
              <w:t>Après forte charge</w:t>
            </w:r>
          </w:p>
        </w:tc>
        <w:tc>
          <w:tcPr>
            <w:tcW w:type="dxa" w:w="3022"/>
            <w:shd w:val="clear" w:color="auto" w:fill="FFFFFF"/>
          </w:tcPr>
          <w:p>
            <w:r>
              <w:rPr>
                <w:sz w:val="20"/>
              </w:rPr>
              <w:t>analyze_tables.sql</w:t>
            </w:r>
          </w:p>
        </w:tc>
        <w:tc>
          <w:tcPr>
            <w:tcW w:type="dxa" w:w="3022"/>
            <w:shd w:val="clear" w:color="auto" w:fill="FFFFFF"/>
          </w:tcPr>
          <w:p>
            <w:r>
              <w:rPr>
                <w:sz w:val="20"/>
              </w:rPr>
              <w:t>Collecte de statistiques via DBMS_STATS.GATHER_TABLE_STATS</w:t>
            </w:r>
          </w:p>
        </w:tc>
      </w:tr>
    </w:tbl>
    <w:p>
      <w:pPr>
        <w:spacing w:after="160"/>
      </w:pPr>
    </w:p>
    <w:p>
      <w:pPr>
        <w:spacing w:after="120" w:before="40"/>
        <w:jc w:val="both"/>
      </w:pPr>
      <w:r>
        <w:rPr>
          <w:b w:val="0"/>
          <w:i w:val="0"/>
          <w:sz w:val="22"/>
        </w:rPr>
        <w:t>La procédure DBMS_STATS.GATHER_TABLE_STATS est particulièrement importante après des insertions massives car elle met à jour les statistiques utilisées par l'optimiseur Oracle pour choisir le plan d'exécution optimal. Sans statistiques à jour, l'optimiseur peut choisir un plan sous-optimal même si des index existent.</w:t>
      </w:r>
    </w:p>
    <w:p>
      <w:r>
        <w:br w:type="page"/>
      </w:r>
    </w:p>
    <w:p>
      <w:pPr>
        <w:pStyle w:val="Heading1"/>
        <w:spacing w:before="360" w:after="160"/>
      </w:pPr>
      <w:r>
        <w:rPr>
          <w:color w:val="0D1B3E"/>
        </w:rPr>
        <w:t>10 | Conclusion et Bilan</w:t>
      </w:r>
    </w:p>
    <w:p>
      <w:pPr>
        <w:spacing w:before="40" w:after="40"/>
        <w:pBdr>
          <w:bottom w:val="single" w:sz="6" w:space="1" w:color="E86B1A"/>
        </w:pBdr>
      </w:pPr>
    </w:p>
    <w:p>
      <w:pPr>
        <w:spacing w:after="120" w:before="40"/>
        <w:jc w:val="both"/>
      </w:pPr>
      <w:r>
        <w:rPr>
          <w:b w:val="0"/>
          <w:i w:val="0"/>
          <w:sz w:val="22"/>
        </w:rPr>
        <w:t>Ce projet a permis de concevoir et de déployer un système de bases de données distribuées complet, couvrant toutes les couches d'une architecture Oracle distribuée : déploiement, fragmentation, communication inter-nœuds, logique applicative, optimisation et surveillance.</w:t>
      </w:r>
    </w:p>
    <w:p>
      <w:pPr>
        <w:pStyle w:val="Heading2"/>
        <w:spacing w:before="360" w:after="160"/>
      </w:pPr>
      <w:r>
        <w:rPr>
          <w:color w:val="E86B1A"/>
        </w:rPr>
        <w:t>10.1 Bilan par pilier</w:t>
      </w:r>
    </w:p>
    <w:p>
      <w:pPr>
        <w:spacing w:after="60" w:before="40"/>
        <w:jc w:val="both"/>
      </w:pPr>
      <w:r>
        <w:rPr>
          <w:b/>
          <w:i w:val="0"/>
          <w:color w:val="1A3F7A"/>
          <w:sz w:val="22"/>
        </w:rPr>
        <w:t>Architecture Distribuée</w:t>
      </w:r>
    </w:p>
    <w:p>
      <w:pPr>
        <w:pStyle w:val="ListBullet"/>
        <w:spacing w:after="80" w:before="40"/>
        <w:ind w:left="283"/>
      </w:pPr>
      <w:r>
        <w:rPr>
          <w:sz w:val="21"/>
        </w:rPr>
        <w:t>3 nœuds Oracle XE 21c déployés via Docker Compose</w:t>
      </w:r>
    </w:p>
    <w:p>
      <w:pPr>
        <w:pStyle w:val="ListBullet"/>
        <w:spacing w:after="80" w:before="40"/>
        <w:ind w:left="283"/>
      </w:pPr>
      <w:r>
        <w:rPr>
          <w:sz w:val="21"/>
        </w:rPr>
        <w:t>Réseau bridge privé avec IPs fixes (172.20.0.0/16)</w:t>
      </w:r>
    </w:p>
    <w:p>
      <w:pPr>
        <w:pStyle w:val="ListBullet"/>
        <w:spacing w:after="80" w:before="40"/>
        <w:ind w:left="283"/>
      </w:pPr>
      <w:r>
        <w:rPr>
          <w:sz w:val="21"/>
        </w:rPr>
        <w:t>6 Database Links actifs et bidirectionnels</w:t>
      </w:r>
    </w:p>
    <w:p>
      <w:pPr>
        <w:pStyle w:val="ListBullet"/>
        <w:spacing w:after="80" w:before="40"/>
        <w:ind w:left="283"/>
      </w:pPr>
      <w:r>
        <w:rPr>
          <w:sz w:val="21"/>
        </w:rPr>
        <w:t>Ordre d'initialisation garanti par préfixage numérique</w:t>
      </w:r>
    </w:p>
    <w:p>
      <w:pPr>
        <w:spacing w:after="80"/>
      </w:pPr>
    </w:p>
    <w:p>
      <w:pPr>
        <w:spacing w:after="60" w:before="40"/>
        <w:jc w:val="both"/>
      </w:pPr>
      <w:r>
        <w:rPr>
          <w:b/>
          <w:i w:val="0"/>
          <w:color w:val="1A3F7A"/>
          <w:sz w:val="22"/>
        </w:rPr>
        <w:t>Fragmentation PL/SQL</w:t>
      </w:r>
    </w:p>
    <w:p>
      <w:pPr>
        <w:pStyle w:val="ListBullet"/>
        <w:spacing w:after="80" w:before="40"/>
        <w:ind w:left="283"/>
      </w:pPr>
      <w:r>
        <w:rPr>
          <w:sz w:val="21"/>
        </w:rPr>
        <w:t>2 scénarios de fragmentation horizontale entièrement déployés</w:t>
      </w:r>
    </w:p>
    <w:p>
      <w:pPr>
        <w:pStyle w:val="ListBullet"/>
        <w:spacing w:after="80" w:before="40"/>
        <w:ind w:left="283"/>
      </w:pPr>
      <w:r>
        <w:rPr>
          <w:sz w:val="21"/>
        </w:rPr>
        <w:t>6 procédures CRUD distribuées avec validation de règles</w:t>
      </w:r>
    </w:p>
    <w:p>
      <w:pPr>
        <w:pStyle w:val="ListBullet"/>
        <w:spacing w:after="80" w:before="40"/>
        <w:ind w:left="283"/>
      </w:pPr>
      <w:r>
        <w:rPr>
          <w:sz w:val="21"/>
        </w:rPr>
        <w:t>12 triggers actifs (contrôle, audit, routage)</w:t>
      </w:r>
    </w:p>
    <w:p>
      <w:pPr>
        <w:pStyle w:val="ListBullet"/>
        <w:spacing w:after="80" w:before="40"/>
        <w:ind w:left="283"/>
      </w:pPr>
      <w:r>
        <w:rPr>
          <w:sz w:val="21"/>
        </w:rPr>
        <w:t>Contraintes CHECK pour l'intégrité physique des fragments</w:t>
      </w:r>
    </w:p>
    <w:p>
      <w:pPr>
        <w:spacing w:after="80"/>
      </w:pPr>
    </w:p>
    <w:p>
      <w:pPr>
        <w:spacing w:after="60" w:before="40"/>
        <w:jc w:val="both"/>
      </w:pPr>
      <w:r>
        <w:rPr>
          <w:b/>
          <w:i w:val="0"/>
          <w:color w:val="1A3F7A"/>
          <w:sz w:val="22"/>
        </w:rPr>
        <w:t>Routage Automatique</w:t>
      </w:r>
    </w:p>
    <w:p>
      <w:pPr>
        <w:pStyle w:val="ListBullet"/>
        <w:spacing w:after="80" w:before="40"/>
        <w:ind w:left="283"/>
      </w:pPr>
      <w:r>
        <w:rPr>
          <w:sz w:val="21"/>
        </w:rPr>
        <w:t>Trigger INSTEAD OF sur V_LIGNECOMMANDES_ROUTAGE</w:t>
      </w:r>
    </w:p>
    <w:p>
      <w:pPr>
        <w:pStyle w:val="ListBullet"/>
        <w:spacing w:after="80" w:before="40"/>
        <w:ind w:left="283"/>
      </w:pPr>
      <w:r>
        <w:rPr>
          <w:sz w:val="21"/>
        </w:rPr>
        <w:t>Migration inter-sites automatique lors des changements de seuil</w:t>
      </w:r>
    </w:p>
    <w:p>
      <w:pPr>
        <w:pStyle w:val="ListBullet"/>
        <w:spacing w:after="80" w:before="40"/>
        <w:ind w:left="283"/>
      </w:pPr>
      <w:r>
        <w:rPr>
          <w:sz w:val="21"/>
        </w:rPr>
        <w:t>Zéro doublon garanti entre les deux sites</w:t>
      </w:r>
    </w:p>
    <w:p>
      <w:pPr>
        <w:pStyle w:val="ListBullet"/>
        <w:spacing w:after="80" w:before="40"/>
        <w:ind w:left="283"/>
      </w:pPr>
      <w:r>
        <w:rPr>
          <w:sz w:val="21"/>
        </w:rPr>
        <w:t>Traçabilité complète dans ROUTING_LOG</w:t>
      </w:r>
    </w:p>
    <w:p>
      <w:pPr>
        <w:spacing w:after="80"/>
      </w:pPr>
    </w:p>
    <w:p>
      <w:pPr>
        <w:spacing w:after="60" w:before="40"/>
        <w:jc w:val="both"/>
      </w:pPr>
      <w:r>
        <w:rPr>
          <w:b/>
          <w:i w:val="0"/>
          <w:color w:val="1A3F7A"/>
          <w:sz w:val="22"/>
        </w:rPr>
        <w:t>Performance et Monitoring</w:t>
      </w:r>
    </w:p>
    <w:p>
      <w:pPr>
        <w:pStyle w:val="ListBullet"/>
        <w:spacing w:after="80" w:before="40"/>
        <w:ind w:left="283"/>
      </w:pPr>
      <w:r>
        <w:rPr>
          <w:sz w:val="21"/>
        </w:rPr>
        <w:t>20+ index au total sur les deux sites</w:t>
      </w:r>
    </w:p>
    <w:p>
      <w:pPr>
        <w:pStyle w:val="ListBullet"/>
        <w:spacing w:after="80" w:before="40"/>
        <w:ind w:left="283"/>
      </w:pPr>
      <w:r>
        <w:rPr>
          <w:sz w:val="21"/>
        </w:rPr>
        <w:t>Gain de 73% sur le coût d'exécution mesuré par EXPLAIN PLAN</w:t>
      </w:r>
    </w:p>
    <w:p>
      <w:pPr>
        <w:pStyle w:val="ListBullet"/>
        <w:spacing w:after="80" w:before="40"/>
        <w:ind w:left="283"/>
      </w:pPr>
      <w:r>
        <w:rPr>
          <w:sz w:val="21"/>
        </w:rPr>
        <w:t>Index fonctionnel résolvant la non-utilisation avec EXTRACT()</w:t>
      </w:r>
    </w:p>
    <w:p>
      <w:pPr>
        <w:pStyle w:val="ListBullet"/>
        <w:spacing w:after="80" w:before="40"/>
        <w:ind w:left="283"/>
      </w:pPr>
      <w:r>
        <w:rPr>
          <w:sz w:val="21"/>
        </w:rPr>
        <w:t>Scripts de surveillance, d'audit et de maintenance planifiée</w:t>
      </w:r>
    </w:p>
    <w:p>
      <w:pPr>
        <w:spacing w:after="80"/>
      </w:pPr>
    </w:p>
    <w:p>
      <w:pPr>
        <w:pStyle w:val="Heading2"/>
        <w:spacing w:before="360" w:after="160"/>
      </w:pPr>
      <w:r>
        <w:rPr>
          <w:color w:val="E86B1A"/>
        </w:rPr>
        <w:t>10.2 Enseignements Clés</w:t>
      </w:r>
    </w:p>
    <w:p>
      <w:pPr>
        <w:spacing w:after="120" w:before="40"/>
        <w:jc w:val="both"/>
      </w:pPr>
      <w:r>
        <w:rPr>
          <w:b w:val="0"/>
          <w:i w:val="0"/>
          <w:sz w:val="22"/>
        </w:rPr>
        <w:t>Trois enseignements techniques majeurs sont mis en avant dans la conclusion de la présentation :</w:t>
      </w:r>
    </w:p>
    <w:p>
      <w:pPr>
        <w:pStyle w:val="ListBullet"/>
        <w:spacing w:after="80" w:before="40"/>
        <w:ind w:left="283"/>
      </w:pPr>
      <w:r>
        <w:rPr>
          <w:b/>
          <w:sz w:val="21"/>
        </w:rPr>
        <w:t xml:space="preserve">Ordre d'initialisation Docker critique : </w:t>
      </w:r>
      <w:r>
        <w:rPr>
          <w:sz w:val="21"/>
        </w:rPr>
        <w:t>Le préfixage numérique des répertoires (01_schema → … → 09_synonyms) est indispensable pour éviter les erreurs de dépendance lors de la création des objets Oracle. Sans cet ordre, les fragments seraient créés avant les tables globales, causant des erreurs ORA-00942 (table inexistante).</w:t>
      </w:r>
    </w:p>
    <w:p>
      <w:pPr>
        <w:pStyle w:val="ListBullet"/>
        <w:spacing w:after="80" w:before="40"/>
        <w:ind w:left="283"/>
      </w:pPr>
      <w:r>
        <w:rPr>
          <w:b/>
          <w:sz w:val="21"/>
        </w:rPr>
        <w:t xml:space="preserve">Index fonctionnel pour les expressions : </w:t>
      </w:r>
      <w:r>
        <w:rPr>
          <w:sz w:val="21"/>
        </w:rPr>
        <w:t>Un index B-Tree standard sur DATECOMMANDE ne peut pas être utilisé quand la requête applique EXTRACT() sur cette colonne. La création d'un index fonctionnel IDX_CMD_YEAR_FUNC sur EXTRACT(YEAR FROM DATECOMMANDE) résout ce problème et réduit le coût d'exécution de 73%.</w:t>
      </w:r>
    </w:p>
    <w:p>
      <w:pPr>
        <w:pStyle w:val="ListBullet"/>
        <w:spacing w:after="80" w:before="40"/>
        <w:ind w:left="283"/>
      </w:pPr>
      <w:r>
        <w:rPr>
          <w:b/>
          <w:sz w:val="21"/>
        </w:rPr>
        <w:t xml:space="preserve">Pattern Trigger INSTEAD OF + procédure de routage : </w:t>
      </w:r>
      <w:r>
        <w:rPr>
          <w:sz w:val="21"/>
        </w:rPr>
        <w:t>Ce pattern rend la distribution totalement transparente pour l'application cliente. Celle-ci écrit dans une vue comme si c'était une table locale, et le moteur Oracle prend en charge le routage, la migration inter-sites et la journalisation de façon entièrement automatique.</w:t>
      </w:r>
    </w:p>
    <w:p>
      <w:pPr>
        <w:spacing w:before="40" w:after="40"/>
        <w:pBdr>
          <w:bottom w:val="single" w:sz="6" w:space="1" w:color="E86B1A"/>
        </w:pBdr>
      </w:pPr>
    </w:p>
    <w:p>
      <w:pPr>
        <w:spacing w:after="240" w:before="40"/>
        <w:jc w:val="both"/>
      </w:pPr>
      <w:r>
        <w:rPr>
          <w:b w:val="0"/>
          <w:i w:val="0"/>
          <w:sz w:val="22"/>
        </w:rPr>
        <w:t>En synthèse, ce projet constitue une implémentation aboutie d'un système de bases de données distribuées Oracle, reproduisant les architectures rencontrées en environnement de production dans les grandes entreprises, tout en étant entièrement reproductible sur une machine locale grâce à la conteneurisation Docker.</w:t>
      </w:r>
    </w:p>
    <w:p>
      <w:pPr>
        <w:pStyle w:val="ListBullet"/>
      </w:pPr>
      <w:r>
        <w:rPr>
          <w:sz w:val="21"/>
        </w:rPr>
        <w:t>11 · Correction du Problème de Doublon — Trigger BEFORE INSERT</w:t>
      </w:r>
    </w:p>
    <w:p>
      <w:pPr>
        <w:pStyle w:val="ListBullet"/>
      </w:pPr>
      <w:r>
        <w:rPr>
          <w:sz w:val="21"/>
        </w:rPr>
        <w:t>12 · Correction de la Redondance — TRUNCATE LIGNECOMMANDES</w:t>
      </w:r>
    </w:p>
    <w:p>
      <w:pPr>
        <w:pStyle w:val="ListBullet"/>
      </w:pPr>
      <w:r>
        <w:rPr>
          <w:sz w:val="21"/>
        </w:rPr>
        <w:t>13 · Correction de la faille de doublons sur Site1 et Site2</w:t>
      </w:r>
    </w:p>
    <w:p>
      <w:pPr>
        <w:pStyle w:val="ListBullet"/>
        <w:spacing w:after="80" w:before="40"/>
        <w:ind w:left="283"/>
      </w:pPr>
      <w:r>
        <w:rPr>
          <w:sz w:val="21"/>
        </w:rPr>
        <w:t>10 · Conclusion et Bilan</w:t>
      </w:r>
    </w:p>
    <w:p>
      <w:r>
        <w:br w:type="page"/>
      </w:r>
    </w:p>
    <w:p>
      <w:pPr>
        <w:pStyle w:val="Heading1"/>
        <w:spacing w:before="360" w:after="160"/>
      </w:pPr>
      <w:r>
        <w:rPr>
          <w:color w:val="0D1B3E"/>
        </w:rPr>
        <w:t>11. CORRECTION DU PROBLÈME DE DOUBLON — TRIGGER BEFORE INSERT</w:t>
      </w:r>
    </w:p>
    <w:p>
      <w:pPr>
        <w:spacing w:before="40" w:after="40"/>
        <w:pBdr>
          <w:bottom w:val="single" w:sz="6" w:space="1" w:color="E86B1A"/>
        </w:pBdr>
      </w:pPr>
    </w:p>
    <w:p>
      <w:pPr>
        <w:spacing w:after="80" w:before="40"/>
        <w:jc w:val="both"/>
      </w:pPr>
      <w:r>
        <w:rPr>
          <w:b/>
          <w:i w:val="0"/>
          <w:color w:val="E86B1A"/>
          <w:sz w:val="24"/>
        </w:rPr>
        <w:t>11.1 Identification du problème</w:t>
      </w:r>
    </w:p>
    <w:p>
      <w:pPr>
        <w:spacing w:after="120" w:before="40"/>
        <w:jc w:val="both"/>
      </w:pPr>
      <w:r>
        <w:rPr>
          <w:b w:val="0"/>
          <w:i w:val="0"/>
          <w:sz w:val="22"/>
        </w:rPr>
        <w:t>Lors de l'analyse approfondie du mécanisme de routage, un problème de cohérence a été identifié dans la conception initiale du trigger trg_route_lignecommandes_table défini sur la table LIGNECOMMANDES du site Central.</w:t>
      </w:r>
    </w:p>
    <w:p>
      <w:pPr>
        <w:spacing w:after="120" w:before="40"/>
        <w:jc w:val="both"/>
      </w:pPr>
      <w:r>
        <w:rPr>
          <w:b w:val="0"/>
          <w:i w:val="0"/>
          <w:sz w:val="22"/>
        </w:rPr>
        <w:t>Le trigger original était de type AFTER INSERT OR UPDATE OR DELETE. Ce type de trigger laisse d'abord l'opération DML s'exécuter normalement sur la table cible, puis déclenche son code. Appliqué à la table centrale LIGNECOMMANDES, ce comportement produisait le problème suivant :</w:t>
      </w:r>
    </w:p>
    <w:p>
      <w:pPr>
        <w:pStyle w:val="ListBullet"/>
        <w:spacing w:after="80" w:before="40"/>
        <w:ind w:left="283"/>
      </w:pPr>
      <w:r>
        <w:rPr>
          <w:b/>
          <w:sz w:val="21"/>
        </w:rPr>
        <w:t xml:space="preserve">Étape 1 — </w:t>
      </w:r>
      <w:r>
        <w:rPr>
          <w:sz w:val="21"/>
        </w:rPr>
        <w:t>La ligne était insérée dans LIGNECOMMANDES du Central (ligne stockée sur le Central).</w:t>
      </w:r>
    </w:p>
    <w:p>
      <w:pPr>
        <w:pStyle w:val="ListBullet"/>
        <w:spacing w:after="80" w:before="40"/>
        <w:ind w:left="283"/>
      </w:pPr>
      <w:r>
        <w:rPr>
          <w:b/>
          <w:sz w:val="21"/>
        </w:rPr>
        <w:t xml:space="preserve">Étape 2 — </w:t>
      </w:r>
      <w:r>
        <w:rPr>
          <w:sz w:val="21"/>
        </w:rPr>
        <w:t>Le trigger se déclenchait APRÈS et routait la même ligne vers Site1 ou Site2.</w:t>
      </w:r>
    </w:p>
    <w:p>
      <w:pPr>
        <w:pStyle w:val="ListBullet"/>
        <w:spacing w:after="80" w:before="40"/>
        <w:ind w:left="283"/>
      </w:pPr>
      <w:r>
        <w:rPr>
          <w:b/>
          <w:sz w:val="21"/>
        </w:rPr>
        <w:t xml:space="preserve">Conséquence — </w:t>
      </w:r>
      <w:r>
        <w:rPr>
          <w:sz w:val="21"/>
        </w:rPr>
        <w:t>Résultat : la même ligne existait en double — une fois sur le Central et une fois sur le site distant.</w:t>
      </w:r>
    </w:p>
    <w:p>
      <w:pPr>
        <w:spacing w:after="120" w:before="40"/>
        <w:jc w:val="both"/>
      </w:pP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Méthode d'insertion</w:t>
            </w:r>
          </w:p>
        </w:tc>
        <w:tc>
          <w:tcPr>
            <w:tcW w:type="dxa" w:w="3022"/>
            <w:shd w:val="clear" w:color="auto" w:fill="1A3F7A"/>
          </w:tcPr>
          <w:p>
            <w:pPr>
              <w:jc w:val="center"/>
            </w:pPr>
            <w:r>
              <w:rPr>
                <w:b/>
                <w:color w:val="FFFFFF"/>
                <w:sz w:val="20"/>
              </w:rPr>
              <w:t>Données sur Central</w:t>
            </w:r>
          </w:p>
        </w:tc>
        <w:tc>
          <w:tcPr>
            <w:tcW w:type="dxa" w:w="3022"/>
            <w:shd w:val="clear" w:color="auto" w:fill="1A3F7A"/>
          </w:tcPr>
          <w:p>
            <w:pPr>
              <w:jc w:val="center"/>
            </w:pPr>
            <w:r>
              <w:rPr>
                <w:b/>
                <w:color w:val="FFFFFF"/>
                <w:sz w:val="20"/>
              </w:rPr>
              <w:t>Données sur Site1/Site2</w:t>
            </w:r>
          </w:p>
        </w:tc>
      </w:tr>
      <w:tr>
        <w:tc>
          <w:tcPr>
            <w:tcW w:type="dxa" w:w="3022"/>
            <w:shd w:val="clear" w:color="auto" w:fill="FFF0F0"/>
          </w:tcPr>
          <w:p>
            <w:pPr>
              <w:jc w:val="center"/>
            </w:pPr>
            <w:r>
              <w:rPr>
                <w:b/>
                <w:sz w:val="20"/>
              </w:rPr>
              <w:t>INSERT direct dans LIGNECOMMANDES</w:t>
              <w:br/>
              <w:t>(avant le fix)</w:t>
            </w:r>
          </w:p>
        </w:tc>
        <w:tc>
          <w:tcPr>
            <w:tcW w:type="dxa" w:w="3022"/>
            <w:shd w:val="clear" w:color="auto" w:fill="FFF0F0"/>
          </w:tcPr>
          <w:p>
            <w:pPr>
              <w:jc w:val="center"/>
            </w:pPr>
            <w:r>
              <w:rPr>
                <w:sz w:val="20"/>
              </w:rPr>
              <w:t>✅ Oui — doublon !</w:t>
            </w:r>
          </w:p>
        </w:tc>
        <w:tc>
          <w:tcPr>
            <w:tcW w:type="dxa" w:w="3022"/>
            <w:shd w:val="clear" w:color="auto" w:fill="FFF0F0"/>
          </w:tcPr>
          <w:p>
            <w:pPr>
              <w:jc w:val="center"/>
            </w:pPr>
            <w:r>
              <w:rPr>
                <w:sz w:val="20"/>
              </w:rPr>
              <w:t>✅ Oui — routé</w:t>
            </w:r>
          </w:p>
        </w:tc>
      </w:tr>
      <w:tr>
        <w:tc>
          <w:tcPr>
            <w:tcW w:type="dxa" w:w="3022"/>
            <w:shd w:val="clear" w:color="auto" w:fill="F0FFF4"/>
          </w:tcPr>
          <w:p>
            <w:pPr>
              <w:jc w:val="center"/>
            </w:pPr>
            <w:r>
              <w:rPr>
                <w:b/>
                <w:sz w:val="20"/>
              </w:rPr>
              <w:t>INSERT via V_LIGNECOMMANDES_ROUTAGE</w:t>
              <w:br/>
              <w:t>(méthode correcte)</w:t>
            </w:r>
          </w:p>
        </w:tc>
        <w:tc>
          <w:tcPr>
            <w:tcW w:type="dxa" w:w="3022"/>
            <w:shd w:val="clear" w:color="auto" w:fill="F0FFF4"/>
          </w:tcPr>
          <w:p>
            <w:pPr>
              <w:jc w:val="center"/>
            </w:pPr>
            <w:r>
              <w:rPr>
                <w:sz w:val="20"/>
              </w:rPr>
              <w:t>❌ Non — jamais stocké</w:t>
            </w:r>
          </w:p>
        </w:tc>
        <w:tc>
          <w:tcPr>
            <w:tcW w:type="dxa" w:w="3022"/>
            <w:shd w:val="clear" w:color="auto" w:fill="F0FFF4"/>
          </w:tcPr>
          <w:p>
            <w:pPr>
              <w:jc w:val="center"/>
            </w:pPr>
            <w:r>
              <w:rPr>
                <w:sz w:val="20"/>
              </w:rPr>
              <w:t>✅ Oui — routé</w:t>
            </w:r>
          </w:p>
        </w:tc>
      </w:tr>
    </w:tbl>
    <w:p>
      <w:pPr>
        <w:spacing w:after="120" w:before="40"/>
        <w:jc w:val="both"/>
      </w:pPr>
    </w:p>
    <w:p>
      <w:pPr>
        <w:spacing w:after="80" w:before="40"/>
        <w:jc w:val="both"/>
      </w:pPr>
      <w:r>
        <w:rPr>
          <w:b/>
          <w:i w:val="0"/>
          <w:color w:val="E86B1A"/>
          <w:sz w:val="24"/>
        </w:rPr>
        <w:t>11.2 Solution appliquée</w:t>
      </w:r>
    </w:p>
    <w:p>
      <w:pPr>
        <w:spacing w:after="120" w:before="40"/>
        <w:jc w:val="both"/>
      </w:pPr>
      <w:r>
        <w:rPr>
          <w:b w:val="0"/>
          <w:i w:val="0"/>
          <w:sz w:val="22"/>
        </w:rPr>
        <w:t>La correction consiste à remplacer le trigger AFTER par un trigger BEFORE qui bloque immédiatement toute tentative d'opération DML directe sur la table LIGNECOMMANDES du Central, avec un message d'erreur explicite orientant l'utilisateur vers la méthode correcte.</w:t>
      </w:r>
    </w:p>
    <w:p>
      <w:pPr>
        <w:spacing w:after="60" w:before="40"/>
        <w:jc w:val="both"/>
      </w:pPr>
      <w:r>
        <w:rPr>
          <w:b/>
          <w:i w:val="0"/>
          <w:sz w:val="20"/>
        </w:rPr>
        <w:t>Code avant la correction :</w:t>
      </w:r>
    </w:p>
    <w:p>
      <w:pPr>
        <w:spacing w:before="80" w:after="80"/>
        <w:ind w:left="454"/>
        <w:shd w:val="clear" w:color="auto" w:fill="F0F0F0"/>
      </w:pPr>
      <w:r>
        <w:rPr>
          <w:rFonts w:ascii="Courier New" w:hAnsi="Courier New"/>
          <w:sz w:val="17"/>
        </w:rPr>
        <w:t>-- AVANT (comportement incorrect)</w:t>
        <w:br/>
        <w:t>CREATE OR REPLACE TRIGGER trg_route_lignecommandes_table</w:t>
        <w:br/>
        <w:t>AFTER INSERT OR UPDATE OR DELETE ON LIGNECOMMANDES  -- laisse l'insert se faire</w:t>
        <w:br/>
        <w:t>FOR EACH ROW</w:t>
        <w:br/>
        <w:t>DECLARE</w:t>
        <w:br/>
        <w:t xml:space="preserve">    v_use_sc1 NUMBER;</w:t>
        <w:br/>
        <w:t>BEGIN</w:t>
        <w:br/>
        <w:t xml:space="preserve">    -- ... routage vers site1 ou site2 APRES l'insertion centrale</w:t>
        <w:br/>
        <w:t xml:space="preserve">    -- PROBLEME : la ligne existe deja dans LIGNECOMMANDES + dans le site</w:t>
        <w:br/>
        <w:t>END;</w:t>
        <w:br/>
        <w:t>/</w:t>
      </w:r>
    </w:p>
    <w:p>
      <w:pPr>
        <w:spacing w:after="60" w:before="40"/>
        <w:jc w:val="both"/>
      </w:pPr>
      <w:r>
        <w:rPr>
          <w:b/>
          <w:i w:val="0"/>
          <w:sz w:val="20"/>
        </w:rPr>
        <w:t>Code après la correction :</w:t>
      </w:r>
    </w:p>
    <w:p>
      <w:pPr>
        <w:spacing w:before="80" w:after="80"/>
        <w:ind w:left="454"/>
        <w:shd w:val="clear" w:color="auto" w:fill="F0F0F0"/>
      </w:pPr>
      <w:r>
        <w:rPr>
          <w:rFonts w:ascii="Courier New" w:hAnsi="Courier New"/>
          <w:sz w:val="17"/>
        </w:rPr>
        <w:t>-- APRES (comportement correct)</w:t>
        <w:br/>
        <w:t>CREATE OR REPLACE TRIGGER trg_route_lignecommandes_table</w:t>
        <w:br/>
        <w:t>BEFORE INSERT OR UPDATE OR DELETE ON LIGNECOMMANDES  -- bloque AVANT l'insert</w:t>
        <w:br/>
        <w:t>FOR EACH ROW</w:t>
        <w:br/>
        <w:t>BEGIN</w:t>
        <w:br/>
        <w:t xml:space="preserve">    RAISE_APPLICATION_ERROR(-20300,</w:t>
        <w:br/>
        <w:t xml:space="preserve">        'DML direct sur LIGNECOMMANDES interdit. '</w:t>
        <w:br/>
        <w:t xml:space="preserve">        || 'Utilisez la vue V_LIGNECOMMANDES_ROUTAGE a la place.');</w:t>
        <w:br/>
        <w:t>END;</w:t>
        <w:br/>
        <w:t>/</w:t>
      </w:r>
    </w:p>
    <w:p>
      <w:pPr>
        <w:spacing w:after="120" w:before="40"/>
        <w:jc w:val="both"/>
      </w:pPr>
      <w:r>
        <w:rPr>
          <w:b w:val="0"/>
          <w:i w:val="0"/>
          <w:sz w:val="22"/>
        </w:rPr>
        <w:t>Le changement clé est le passage de AFTER à BEFORE : Oracle intercepte maintenant l'opération AVANT qu'elle ne soit écrite sur le disque. L'erreur applicative -20300 est levée et toute l'opération est annulée automatiquement — rien n'est stocké sur le Central.</w:t>
      </w:r>
    </w:p>
    <w:p>
      <w:pPr>
        <w:spacing w:after="80" w:before="40"/>
        <w:jc w:val="both"/>
      </w:pPr>
      <w:r>
        <w:rPr>
          <w:b/>
          <w:i w:val="0"/>
          <w:color w:val="E86B1A"/>
          <w:sz w:val="24"/>
        </w:rPr>
        <w:t>11.3 Résultats des tests de validation</w:t>
      </w:r>
    </w:p>
    <w:p>
      <w:pPr>
        <w:spacing w:after="120" w:before="40"/>
        <w:jc w:val="both"/>
      </w:pPr>
      <w:r>
        <w:rPr>
          <w:b w:val="0"/>
          <w:i w:val="0"/>
          <w:sz w:val="22"/>
        </w:rPr>
        <w:t>Les tests ont été exécutés directement sur oracle-central après redéploiement complet du cluster (docker-compose down -v &amp;&amp; docker-compose up -d). Voici la sortie console obtenue :</w:t>
      </w:r>
    </w:p>
    <w:p>
      <w:pPr>
        <w:spacing w:before="80" w:after="80"/>
        <w:ind w:left="454"/>
        <w:shd w:val="clear" w:color="auto" w:fill="F0F0F0"/>
      </w:pPr>
      <w:r>
        <w:rPr>
          <w:rFonts w:ascii="Courier New" w:hAnsi="Courier New"/>
          <w:sz w:val="17"/>
        </w:rPr>
        <w:t>=== Test 1 : INSERT direct dans LIGNECOMMANDES (doit etre bloque) ===</w:t>
        <w:br/>
        <w:t>OK - Insert direct bloque : ORA-20300: DML direct sur LIGNECOMMANDES interdit.</w:t>
        <w:br/>
        <w:t>Utilisez la vue V_LIGNECOMMANDES_ROUTAGE a la place.</w:t>
        <w:br/>
        <w:t>ORA-06512: at "ESHOPCENTRAL.TRG_ROUTE_LIGNECOMMANDES_TABLE", line 2</w:t>
        <w:br/>
        <w:br/>
        <w:t>=== Test 2 : INSERT via V_LIGNECOMMANDES_ROUTAGE (doit reussir) ===</w:t>
        <w:br/>
        <w:t>OK - Insert via vue reussi, route vers SITE1 (QTE=150 &gt;= 100)</w:t>
        <w:br/>
        <w:br/>
        <w:t>=== Verification : la ligne 9999 est bien sur SITE1 uniquement ===</w:t>
        <w:br/>
        <w:t>SITE    IDLIGNECOMMANDE   QUANTITE</w:t>
        <w:br/>
        <w:t>------- --------------- ----------</w:t>
        <w:br/>
        <w:t>SITE1              9999        150</w:t>
        <w:br/>
        <w:t>-- SITE2  : aucune ligne  (zero doublon confirme)</w:t>
        <w:br/>
        <w:t>-- CENTRAL: aucune ligne  (zero doublon confirme)</w:t>
      </w:r>
    </w:p>
    <w:p>
      <w:pPr>
        <w:spacing w:after="120" w:before="40"/>
        <w:jc w:val="both"/>
      </w:pPr>
      <w:r>
        <w:rPr>
          <w:b w:val="0"/>
          <w:i w:val="0"/>
          <w:sz w:val="22"/>
        </w:rPr>
        <w:t>Les trois tests valident le comportement attendu :</w:t>
      </w:r>
    </w:p>
    <w:p>
      <w:pPr>
        <w:pStyle w:val="ListBullet"/>
        <w:spacing w:after="80" w:before="40"/>
        <w:ind w:left="283"/>
      </w:pPr>
      <w:r>
        <w:rPr>
          <w:b/>
          <w:sz w:val="21"/>
        </w:rPr>
        <w:t xml:space="preserve">Test 1 — </w:t>
      </w:r>
      <w:r>
        <w:rPr>
          <w:sz w:val="21"/>
        </w:rPr>
        <w:t>INSERT direct bloqué avec ORA-20300 et message orientant vers la vue.</w:t>
      </w:r>
    </w:p>
    <w:p>
      <w:pPr>
        <w:pStyle w:val="ListBullet"/>
        <w:spacing w:after="80" w:before="40"/>
        <w:ind w:left="283"/>
      </w:pPr>
      <w:r>
        <w:rPr>
          <w:b/>
          <w:sz w:val="21"/>
        </w:rPr>
        <w:t xml:space="preserve">Test 2 — </w:t>
      </w:r>
      <w:r>
        <w:rPr>
          <w:sz w:val="21"/>
        </w:rPr>
        <w:t>INSERT via la vue accepté et routé correctement vers Site1 (QTE ≥ 100).</w:t>
      </w:r>
    </w:p>
    <w:p>
      <w:pPr>
        <w:pStyle w:val="ListBullet"/>
        <w:spacing w:after="80" w:before="40"/>
        <w:ind w:left="283"/>
      </w:pPr>
      <w:r>
        <w:rPr>
          <w:b/>
          <w:sz w:val="21"/>
        </w:rPr>
        <w:t xml:space="preserve">Vérification — </w:t>
      </w:r>
      <w:r>
        <w:rPr>
          <w:sz w:val="21"/>
        </w:rPr>
        <w:t>La ligne existe uniquement sur SITE1 — zéro doublon sur Central et Site2.</w:t>
      </w:r>
    </w:p>
    <w:p>
      <w:pPr>
        <w:spacing w:after="80" w:before="40"/>
        <w:jc w:val="both"/>
      </w:pPr>
      <w:r>
        <w:rPr>
          <w:b/>
          <w:i w:val="0"/>
          <w:color w:val="E86B1A"/>
          <w:sz w:val="24"/>
        </w:rPr>
        <w:t>11.4 Impact sur l'architecture</w:t>
      </w:r>
    </w:p>
    <w:p>
      <w:pPr>
        <w:spacing w:after="120" w:before="40"/>
        <w:jc w:val="both"/>
      </w:pPr>
      <w:r>
        <w:rPr>
          <w:b w:val="0"/>
          <w:i w:val="0"/>
          <w:sz w:val="22"/>
        </w:rPr>
        <w:t>Ce correctif renforce la conformité du projet avec le modèle théorique d'une base de données distribuée :</w:t>
      </w:r>
    </w:p>
    <w:p>
      <w:pPr>
        <w:pStyle w:val="ListBullet"/>
        <w:spacing w:after="80" w:before="40"/>
        <w:ind w:left="283"/>
      </w:pPr>
      <w:r>
        <w:rPr>
          <w:b/>
          <w:sz w:val="21"/>
        </w:rPr>
        <w:t xml:space="preserve">Transparence : </w:t>
      </w:r>
      <w:r>
        <w:rPr>
          <w:sz w:val="21"/>
        </w:rPr>
        <w:t>Le Central joue désormais un rôle de coordinateur pur — il ne stocke aucune ligne de commande dans LIGNECOMMANDES, uniquement dans ROUTING_LOG.</w:t>
      </w:r>
    </w:p>
    <w:p>
      <w:pPr>
        <w:pStyle w:val="ListBullet"/>
        <w:spacing w:after="80" w:before="40"/>
        <w:ind w:left="283"/>
      </w:pPr>
      <w:r>
        <w:rPr>
          <w:b/>
          <w:sz w:val="21"/>
        </w:rPr>
        <w:t xml:space="preserve">Point d'entrée unique : </w:t>
      </w:r>
      <w:r>
        <w:rPr>
          <w:sz w:val="21"/>
        </w:rPr>
        <w:t>Toute application cliente est forcée de passer par V_LIGNECOMMANDES_ROUTAGE, garantissant que le routage est toujours appliqué.</w:t>
      </w:r>
    </w:p>
    <w:p>
      <w:pPr>
        <w:pStyle w:val="ListBullet"/>
        <w:spacing w:after="80" w:before="40"/>
        <w:ind w:left="283"/>
      </w:pPr>
      <w:r>
        <w:rPr>
          <w:b/>
          <w:sz w:val="21"/>
        </w:rPr>
        <w:t xml:space="preserve">Cohérence : </w:t>
      </w:r>
      <w:r>
        <w:rPr>
          <w:sz w:val="21"/>
        </w:rPr>
        <w:t>Les données ne peuvent exister qu'à un seul endroit (Site1 OU Site2), jamais en double, préservant la cohérence du système distribué.</w:t>
      </w:r>
    </w:p>
    <w:p>
      <w:pPr>
        <w:pStyle w:val="ListBullet"/>
        <w:spacing w:after="80" w:before="40"/>
        <w:ind w:left="283"/>
      </w:pPr>
      <w:r>
        <w:rPr>
          <w:b/>
          <w:sz w:val="21"/>
        </w:rPr>
        <w:t xml:space="preserve">Flux garanti : </w:t>
      </w:r>
      <w:r>
        <w:rPr>
          <w:sz w:val="21"/>
        </w:rPr>
        <w:t>Le flux correct est désormais : Application → V_LIGNECOMMANDES_ROUTAGE → Trigger INSTEAD OF → Site1 ou Site2.</w:t>
      </w:r>
    </w:p>
    <w:p>
      <w:pPr>
        <w:spacing w:after="120" w:before="40"/>
        <w:jc w:val="both"/>
      </w:pPr>
    </w:p>
    <w:p>
      <w:r>
        <w:br w:type="page"/>
      </w:r>
    </w:p>
    <w:p>
      <w:pPr>
        <w:pStyle w:val="Heading1"/>
        <w:spacing w:before="360" w:after="160"/>
      </w:pPr>
      <w:r>
        <w:rPr>
          <w:color w:val="0D1B3E"/>
        </w:rPr>
        <w:t>12. CORRECTION DE LA REDONDANCE — TRUNCATE LIGNECOMMANDES</w:t>
      </w:r>
    </w:p>
    <w:p>
      <w:pPr>
        <w:spacing w:before="40" w:after="40"/>
        <w:pBdr>
          <w:bottom w:val="single" w:sz="6" w:space="1" w:color="E86B1A"/>
        </w:pBdr>
      </w:pPr>
    </w:p>
    <w:p>
      <w:pPr>
        <w:spacing w:after="80" w:before="40"/>
        <w:jc w:val="both"/>
      </w:pPr>
      <w:r>
        <w:rPr>
          <w:b/>
          <w:i w:val="0"/>
          <w:color w:val="E86B1A"/>
          <w:sz w:val="24"/>
        </w:rPr>
        <w:t>12.1 Identification du problème</w:t>
      </w:r>
    </w:p>
    <w:p>
      <w:pPr>
        <w:spacing w:after="120" w:before="40"/>
        <w:jc w:val="both"/>
      </w:pPr>
      <w:r>
        <w:rPr>
          <w:b w:val="0"/>
          <w:i w:val="0"/>
          <w:sz w:val="22"/>
        </w:rPr>
        <w:t>Lors de l'analyse de l'ordre d'initialisation du cluster, un second problème de redondance a été identifié, distinct du problème de doublon corrigé précédemment. Ce problème est structurel et concerne les données initiales insérées au démarrage.</w:t>
      </w:r>
    </w:p>
    <w:p>
      <w:pPr>
        <w:spacing w:after="120" w:before="40"/>
        <w:jc w:val="both"/>
      </w:pPr>
      <w:r>
        <w:rPr>
          <w:b w:val="0"/>
          <w:i w:val="0"/>
          <w:sz w:val="22"/>
        </w:rPr>
        <w:t>Le script eshop_data.sh est monté sur les trois conteneurs (Site1, Site2 et Central). À l'étape 02, les 25 lignes de commande sont donc insérées simultanément dans la table LIGNECOMMANDES de chaque nœud. À l'étape 05, chaque site crée ses tables fragmentées via CREATE TABLE AS SELECT, extrayant la portion qui lui revient. Cependant, la table source LIGNECOMMANDES n'est jamais vidée après cette opération.</w:t>
      </w:r>
    </w:p>
    <w:p>
      <w:pPr>
        <w:spacing w:after="60" w:before="40"/>
        <w:jc w:val="both"/>
      </w:pPr>
      <w:r>
        <w:rPr>
          <w:b/>
          <w:i w:val="0"/>
          <w:sz w:val="20"/>
        </w:rPr>
        <w:t>Résultat avant correction :</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Nœud</w:t>
            </w:r>
          </w:p>
        </w:tc>
        <w:tc>
          <w:tcPr>
            <w:tcW w:type="dxa" w:w="3022"/>
            <w:shd w:val="clear" w:color="auto" w:fill="1A3F7A"/>
          </w:tcPr>
          <w:p>
            <w:pPr>
              <w:jc w:val="center"/>
            </w:pPr>
            <w:r>
              <w:rPr>
                <w:b/>
                <w:color w:val="FFFFFF"/>
                <w:sz w:val="20"/>
              </w:rPr>
              <w:t>Table</w:t>
            </w:r>
          </w:p>
        </w:tc>
        <w:tc>
          <w:tcPr>
            <w:tcW w:type="dxa" w:w="3022"/>
            <w:shd w:val="clear" w:color="auto" w:fill="1A3F7A"/>
          </w:tcPr>
          <w:p>
            <w:pPr>
              <w:jc w:val="center"/>
            </w:pPr>
            <w:r>
              <w:rPr>
                <w:b/>
                <w:color w:val="FFFFFF"/>
                <w:sz w:val="20"/>
              </w:rPr>
              <w:t>Lignes</w:t>
            </w:r>
          </w:p>
        </w:tc>
      </w:tr>
      <w:tr>
        <w:tc>
          <w:tcPr>
            <w:tcW w:type="dxa" w:w="3022"/>
            <w:shd w:val="clear" w:color="auto" w:fill="FFF0F0"/>
          </w:tcPr>
          <w:p>
            <w:pPr>
              <w:jc w:val="center"/>
            </w:pPr>
            <w:r>
              <w:rPr>
                <w:sz w:val="20"/>
              </w:rPr>
              <w:t>Site1</w:t>
            </w:r>
          </w:p>
        </w:tc>
        <w:tc>
          <w:tcPr>
            <w:tcW w:type="dxa" w:w="3022"/>
            <w:shd w:val="clear" w:color="auto" w:fill="FFF0F0"/>
          </w:tcPr>
          <w:p>
            <w:pPr>
              <w:jc w:val="center"/>
            </w:pPr>
            <w:r>
              <w:rPr>
                <w:sz w:val="20"/>
              </w:rPr>
              <w:t>LIGNECOMMANDES (redondante)</w:t>
            </w:r>
          </w:p>
        </w:tc>
        <w:tc>
          <w:tcPr>
            <w:tcW w:type="dxa" w:w="3022"/>
            <w:shd w:val="clear" w:color="auto" w:fill="FFF0F0"/>
          </w:tcPr>
          <w:p>
            <w:pPr>
              <w:jc w:val="center"/>
            </w:pPr>
            <w:r>
              <w:rPr>
                <w:sz w:val="20"/>
              </w:rPr>
              <w:t>25 lignes — inutiles</w:t>
            </w:r>
          </w:p>
        </w:tc>
      </w:tr>
      <w:tr>
        <w:tc>
          <w:tcPr>
            <w:tcW w:type="dxa" w:w="3022"/>
            <w:shd w:val="clear" w:color="auto" w:fill="F0FFF4"/>
          </w:tcPr>
          <w:p>
            <w:pPr>
              <w:jc w:val="center"/>
            </w:pPr>
            <w:r>
              <w:rPr>
                <w:sz w:val="20"/>
              </w:rPr>
              <w:t>Site1</w:t>
            </w:r>
          </w:p>
        </w:tc>
        <w:tc>
          <w:tcPr>
            <w:tcW w:type="dxa" w:w="3022"/>
            <w:shd w:val="clear" w:color="auto" w:fill="F0FFF4"/>
          </w:tcPr>
          <w:p>
            <w:pPr>
              <w:jc w:val="center"/>
            </w:pPr>
            <w:r>
              <w:rPr>
                <w:sz w:val="20"/>
              </w:rPr>
              <w:t>LigneCommandes1 (fragment)</w:t>
            </w:r>
          </w:p>
        </w:tc>
        <w:tc>
          <w:tcPr>
            <w:tcW w:type="dxa" w:w="3022"/>
            <w:shd w:val="clear" w:color="auto" w:fill="F0FFF4"/>
          </w:tcPr>
          <w:p>
            <w:pPr>
              <w:jc w:val="center"/>
            </w:pPr>
            <w:r>
              <w:rPr>
                <w:sz w:val="20"/>
              </w:rPr>
              <w:t>12 lignes — actives</w:t>
            </w:r>
          </w:p>
        </w:tc>
      </w:tr>
      <w:tr>
        <w:tc>
          <w:tcPr>
            <w:tcW w:type="dxa" w:w="3022"/>
            <w:shd w:val="clear" w:color="auto" w:fill="FFF0F0"/>
          </w:tcPr>
          <w:p>
            <w:pPr>
              <w:jc w:val="center"/>
            </w:pPr>
            <w:r>
              <w:rPr>
                <w:sz w:val="20"/>
              </w:rPr>
              <w:t>Site2</w:t>
            </w:r>
          </w:p>
        </w:tc>
        <w:tc>
          <w:tcPr>
            <w:tcW w:type="dxa" w:w="3022"/>
            <w:shd w:val="clear" w:color="auto" w:fill="FFF0F0"/>
          </w:tcPr>
          <w:p>
            <w:pPr>
              <w:jc w:val="center"/>
            </w:pPr>
            <w:r>
              <w:rPr>
                <w:sz w:val="20"/>
              </w:rPr>
              <w:t>LIGNECOMMANDES (redondante)</w:t>
            </w:r>
          </w:p>
        </w:tc>
        <w:tc>
          <w:tcPr>
            <w:tcW w:type="dxa" w:w="3022"/>
            <w:shd w:val="clear" w:color="auto" w:fill="FFF0F0"/>
          </w:tcPr>
          <w:p>
            <w:pPr>
              <w:jc w:val="center"/>
            </w:pPr>
            <w:r>
              <w:rPr>
                <w:sz w:val="20"/>
              </w:rPr>
              <w:t>25 lignes — inutiles</w:t>
            </w:r>
          </w:p>
        </w:tc>
      </w:tr>
    </w:tbl>
    <w:p>
      <w:pPr>
        <w:spacing w:after="120" w:before="40"/>
        <w:jc w:val="both"/>
      </w:pPr>
    </w:p>
    <w:p>
      <w:pPr>
        <w:spacing w:after="120" w:before="40"/>
        <w:jc w:val="both"/>
      </w:pPr>
      <w:r>
        <w:rPr>
          <w:b w:val="0"/>
          <w:i w:val="0"/>
          <w:sz w:val="22"/>
        </w:rPr>
        <w:t>Les 25 lignes dans LIGNECOMMANDES coexistaient silencieusement avec les tables fragmentées sur chaque nœud. Bien que non utilisées par les procédures et triggers (qui travaillent uniquement sur LigneCommandes1 et LigneCommandes2), elles représentaient une incohérence structurelle : les mêmes données existaient à deux endroits différents sur chaque site.</w:t>
      </w:r>
    </w:p>
    <w:p>
      <w:pPr>
        <w:spacing w:after="80" w:before="40"/>
        <w:jc w:val="both"/>
      </w:pPr>
      <w:r>
        <w:rPr>
          <w:b/>
          <w:i w:val="0"/>
          <w:color w:val="E86B1A"/>
          <w:sz w:val="24"/>
        </w:rPr>
        <w:t>12.2 Solution appliquée</w:t>
      </w:r>
    </w:p>
    <w:p>
      <w:pPr>
        <w:spacing w:after="120" w:before="40"/>
        <w:jc w:val="both"/>
      </w:pPr>
      <w:r>
        <w:rPr>
          <w:b w:val="0"/>
          <w:i w:val="0"/>
          <w:sz w:val="22"/>
        </w:rPr>
        <w:t>La solution consiste à ajouter une instruction TRUNCATE TABLE LIGNECOMMANDES à la fin de chaque script de fragmentation, immédiatement après la création des tables fragmentées. Ainsi, dès que les fragments sont créés et peuplés, la table source est vidée. Trois fichiers ont été modifiés :</w:t>
      </w:r>
    </w:p>
    <w:p>
      <w:pPr>
        <w:spacing w:after="60" w:before="40"/>
        <w:jc w:val="both"/>
      </w:pPr>
      <w:r>
        <w:rPr>
          <w:b/>
          <w:i w:val="0"/>
          <w:sz w:val="20"/>
        </w:rPr>
        <w:t>Fichier 1 — site1/scenario2/fragments/site1_fragments.sh :</w:t>
      </w:r>
    </w:p>
    <w:p>
      <w:pPr>
        <w:spacing w:before="80" w:after="80"/>
        <w:ind w:left="454"/>
        <w:shd w:val="clear" w:color="auto" w:fill="F0F0F0"/>
      </w:pPr>
      <w:r>
        <w:rPr>
          <w:rFonts w:ascii="Courier New" w:hAnsi="Courier New"/>
          <w:sz w:val="17"/>
        </w:rPr>
        <w:t>-- Après CREATE TABLE LigneCommandes1 AS SELECT ... WHERE QUANTITE &gt;= 100</w:t>
        <w:br/>
        <w:t>ALTER TABLE LigneCommandes1 ADD CONSTRAINT chk_sc2_site1_qte</w:t>
        <w:br/>
        <w:t xml:space="preserve">    CHECK (QUANTITE &gt;= 100);</w:t>
        <w:br/>
        <w:br/>
        <w:t>-- AJOUT : vider la table source devenue redondante</w:t>
        <w:br/>
        <w:t>TRUNCATE TABLE LIGNECOMMANDES;</w:t>
        <w:br/>
        <w:br/>
        <w:t>COMMIT;</w:t>
      </w:r>
    </w:p>
    <w:p>
      <w:pPr>
        <w:spacing w:after="60" w:before="40"/>
        <w:jc w:val="both"/>
      </w:pPr>
      <w:r>
        <w:rPr>
          <w:b/>
          <w:i w:val="0"/>
          <w:sz w:val="20"/>
        </w:rPr>
        <w:t>Fichier 2 — site2/scenario2/fragments/site2_fragments.sh :</w:t>
      </w:r>
    </w:p>
    <w:p>
      <w:pPr>
        <w:spacing w:before="80" w:after="80"/>
        <w:ind w:left="454"/>
        <w:shd w:val="clear" w:color="auto" w:fill="F0F0F0"/>
      </w:pPr>
      <w:r>
        <w:rPr>
          <w:rFonts w:ascii="Courier New" w:hAnsi="Courier New"/>
          <w:sz w:val="17"/>
        </w:rPr>
        <w:t>-- Après CREATE TABLE LigneCommandes2 AS SELECT ... WHERE QUANTITE &lt; 100</w:t>
        <w:br/>
        <w:t>ALTER TABLE LigneCommandes2 ADD CONSTRAINT chk_sc2_site2_qte</w:t>
        <w:br/>
        <w:t xml:space="preserve">    CHECK (QUANTITE &lt; 100);</w:t>
        <w:br/>
        <w:br/>
        <w:t>-- AJOUT : vider la table source devenue redondante</w:t>
        <w:br/>
        <w:t>TRUNCATE TABLE LIGNECOMMANDES;</w:t>
        <w:br/>
        <w:br/>
        <w:t>COMMIT;</w:t>
      </w:r>
    </w:p>
    <w:p>
      <w:pPr>
        <w:spacing w:after="60" w:before="40"/>
        <w:jc w:val="both"/>
      </w:pPr>
      <w:r>
        <w:rPr>
          <w:b/>
          <w:i w:val="0"/>
          <w:sz w:val="20"/>
        </w:rPr>
        <w:t>Fichier 3 — docker/routing_central.sh :</w:t>
      </w:r>
    </w:p>
    <w:p>
      <w:pPr>
        <w:spacing w:before="80" w:after="80"/>
        <w:ind w:left="454"/>
        <w:shd w:val="clear" w:color="auto" w:fill="F0F0F0"/>
      </w:pPr>
      <w:r>
        <w:rPr>
          <w:rFonts w:ascii="Courier New" w:hAnsi="Courier New"/>
          <w:sz w:val="17"/>
        </w:rPr>
        <w:t>-- En fin de script, après la création de toute la couche de routage</w:t>
        <w:br/>
        <w:t>-- AJOUT : vider LIGNECOMMANDES sur le Central</w:t>
        <w:br/>
        <w:t>-- Le routage via V_LIGNECOMMANDES_ROUTAGE est désormais le seul point d'entrée</w:t>
        <w:br/>
        <w:t>TRUNCATE TABLE LIGNECOMMANDES;</w:t>
        <w:br/>
        <w:br/>
        <w:t>COMMIT;</w:t>
      </w:r>
    </w:p>
    <w:p>
      <w:pPr>
        <w:spacing w:after="120" w:before="40"/>
        <w:jc w:val="both"/>
      </w:pPr>
      <w:r>
        <w:rPr>
          <w:b w:val="0"/>
          <w:i w:val="0"/>
          <w:sz w:val="22"/>
        </w:rPr>
        <w:t>Le TRUNCATE est placé après la création des fragments (et non avant) car le CREATE TABLE AS SELECT a besoin de lire LIGNECOMMANDES pour extraire les données. Sur le Central, le TRUNCATE est placé en fin de routing_central.sh, dernier script d'initialisation, garantissant que toute la couche de routage est opérationnelle avant de vider la table.</w:t>
      </w:r>
    </w:p>
    <w:p>
      <w:pPr>
        <w:spacing w:after="80" w:before="40"/>
        <w:jc w:val="both"/>
      </w:pPr>
      <w:r>
        <w:rPr>
          <w:b/>
          <w:i w:val="0"/>
          <w:color w:val="E86B1A"/>
          <w:sz w:val="24"/>
        </w:rPr>
        <w:t>12.3 Résultats de validation</w:t>
      </w:r>
    </w:p>
    <w:p>
      <w:pPr>
        <w:spacing w:after="120" w:before="40"/>
        <w:jc w:val="both"/>
      </w:pPr>
      <w:r>
        <w:rPr>
          <w:b w:val="0"/>
          <w:i w:val="0"/>
          <w:sz w:val="22"/>
        </w:rPr>
        <w:t>Après redéploiement complet du cluster (docker-compose down -v &amp;&amp; docker-compose up -d), les vérifications suivantes ont été effectuées depuis oracle-central :</w:t>
      </w:r>
    </w:p>
    <w:p>
      <w:pPr>
        <w:spacing w:before="80" w:after="80"/>
        <w:ind w:left="454"/>
        <w:shd w:val="clear" w:color="auto" w:fill="F0F0F0"/>
      </w:pPr>
      <w:r>
        <w:rPr>
          <w:rFonts w:ascii="Courier New" w:hAnsi="Courier New"/>
          <w:sz w:val="17"/>
        </w:rPr>
        <w:t>=== LIGNECOMMANDES Central (doit etre vide) ===</w:t>
        <w:br/>
        <w:t>LIGNECOMMANDES_CENTRAL</w:t>
        <w:br/>
        <w:t>----------------------</w:t>
        <w:br/>
        <w:t xml:space="preserve">                     0        &lt;-- vide, zero redondance</w:t>
        <w:br/>
        <w:br/>
        <w:t>=== Fragment Site1 via DB Link (doit avoir 12 lignes) ===</w:t>
        <w:br/>
        <w:t>LIGNECOMMANDES1_SITE1</w:t>
        <w:br/>
        <w:t>---------------------</w:t>
        <w:br/>
        <w:t xml:space="preserve">                   12        &lt;-- correct</w:t>
        <w:br/>
        <w:br/>
        <w:t>=== Fragment Site2 via DB Link (doit avoir 13 lignes) ===</w:t>
        <w:br/>
        <w:t>LIGNECOMMANDES2_SITE2</w:t>
        <w:br/>
        <w:t>---------------------</w:t>
        <w:br/>
        <w:t xml:space="preserve">                   13        &lt;-- correct</w:t>
        <w:br/>
        <w:br/>
        <w:t>=== Vue globale (doit avoir 25 lignes au total) ===</w:t>
        <w:br/>
        <w:t>SITE   NB_LIGNES</w:t>
        <w:br/>
        <w:t>----- ----------</w:t>
        <w:br/>
        <w:t>SITE1         12</w:t>
        <w:br/>
        <w:t>SITE2         13             &lt;-- total = 25, zero perte de donnees</w:t>
      </w:r>
    </w:p>
    <w:p>
      <w:pPr>
        <w:spacing w:after="120" w:before="40"/>
        <w:jc w:val="both"/>
      </w:pPr>
    </w:p>
    <w:p>
      <w:pPr>
        <w:spacing w:after="60" w:before="40"/>
        <w:jc w:val="both"/>
      </w:pPr>
      <w:r>
        <w:rPr>
          <w:b/>
          <w:i w:val="0"/>
          <w:sz w:val="20"/>
        </w:rPr>
        <w:t>Tableau comparatif avant / après correction :</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D4E2E"/>
          </w:tcPr>
          <w:p>
            <w:pPr>
              <w:jc w:val="center"/>
            </w:pPr>
            <w:r>
              <w:rPr>
                <w:b/>
                <w:color w:val="FFFFFF"/>
                <w:sz w:val="20"/>
              </w:rPr>
              <w:t>Table / Nœud</w:t>
            </w:r>
          </w:p>
        </w:tc>
        <w:tc>
          <w:tcPr>
            <w:tcW w:type="dxa" w:w="3022"/>
            <w:shd w:val="clear" w:color="auto" w:fill="0D4E2E"/>
          </w:tcPr>
          <w:p>
            <w:pPr>
              <w:jc w:val="center"/>
            </w:pPr>
            <w:r>
              <w:rPr>
                <w:b/>
                <w:color w:val="FFFFFF"/>
                <w:sz w:val="20"/>
              </w:rPr>
              <w:t>Avant correction</w:t>
            </w:r>
          </w:p>
        </w:tc>
        <w:tc>
          <w:tcPr>
            <w:tcW w:type="dxa" w:w="3022"/>
            <w:shd w:val="clear" w:color="auto" w:fill="0D4E2E"/>
          </w:tcPr>
          <w:p>
            <w:pPr>
              <w:jc w:val="center"/>
            </w:pPr>
            <w:r>
              <w:rPr>
                <w:b/>
                <w:color w:val="FFFFFF"/>
                <w:sz w:val="20"/>
              </w:rPr>
              <w:t>Après correction</w:t>
            </w:r>
          </w:p>
        </w:tc>
      </w:tr>
      <w:tr>
        <w:tc>
          <w:tcPr>
            <w:tcW w:type="dxa" w:w="3022"/>
            <w:shd w:val="clear" w:color="auto" w:fill="FFF0F0"/>
          </w:tcPr>
          <w:p>
            <w:pPr>
              <w:jc w:val="center"/>
            </w:pPr>
            <w:r>
              <w:rPr>
                <w:b/>
                <w:sz w:val="20"/>
              </w:rPr>
              <w:t>LIGNECOMMANDES — Central</w:t>
            </w:r>
          </w:p>
        </w:tc>
        <w:tc>
          <w:tcPr>
            <w:tcW w:type="dxa" w:w="3022"/>
            <w:shd w:val="clear" w:color="auto" w:fill="FFF0F0"/>
          </w:tcPr>
          <w:p>
            <w:pPr>
              <w:jc w:val="center"/>
            </w:pPr>
            <w:r>
              <w:rPr>
                <w:sz w:val="20"/>
              </w:rPr>
              <w:t>25 lignes (redondantes)</w:t>
            </w:r>
          </w:p>
        </w:tc>
        <w:tc>
          <w:tcPr>
            <w:tcW w:type="dxa" w:w="3022"/>
            <w:shd w:val="clear" w:color="auto" w:fill="FFF0F0"/>
          </w:tcPr>
          <w:p>
            <w:pPr>
              <w:jc w:val="center"/>
            </w:pPr>
            <w:r>
              <w:rPr>
                <w:sz w:val="20"/>
              </w:rPr>
              <w:t>0 ligne ✅</w:t>
            </w:r>
          </w:p>
        </w:tc>
      </w:tr>
      <w:tr>
        <w:tc>
          <w:tcPr>
            <w:tcW w:type="dxa" w:w="3022"/>
            <w:shd w:val="clear" w:color="auto" w:fill="FFF0F0"/>
          </w:tcPr>
          <w:p>
            <w:pPr>
              <w:jc w:val="center"/>
            </w:pPr>
            <w:r>
              <w:rPr>
                <w:b/>
                <w:sz w:val="20"/>
              </w:rPr>
              <w:t>LIGNECOMMANDES — Site1</w:t>
            </w:r>
          </w:p>
        </w:tc>
        <w:tc>
          <w:tcPr>
            <w:tcW w:type="dxa" w:w="3022"/>
            <w:shd w:val="clear" w:color="auto" w:fill="FFF0F0"/>
          </w:tcPr>
          <w:p>
            <w:pPr>
              <w:jc w:val="center"/>
            </w:pPr>
            <w:r>
              <w:rPr>
                <w:sz w:val="20"/>
              </w:rPr>
              <w:t>25 lignes (redondantes)</w:t>
            </w:r>
          </w:p>
        </w:tc>
        <w:tc>
          <w:tcPr>
            <w:tcW w:type="dxa" w:w="3022"/>
            <w:shd w:val="clear" w:color="auto" w:fill="FFF0F0"/>
          </w:tcPr>
          <w:p>
            <w:pPr>
              <w:jc w:val="center"/>
            </w:pPr>
            <w:r>
              <w:rPr>
                <w:sz w:val="20"/>
              </w:rPr>
              <w:t>0 ligne ✅</w:t>
            </w:r>
          </w:p>
        </w:tc>
      </w:tr>
      <w:tr>
        <w:tc>
          <w:tcPr>
            <w:tcW w:type="dxa" w:w="3022"/>
            <w:shd w:val="clear" w:color="auto" w:fill="FFF0F0"/>
          </w:tcPr>
          <w:p>
            <w:pPr>
              <w:jc w:val="center"/>
            </w:pPr>
            <w:r>
              <w:rPr>
                <w:b/>
                <w:sz w:val="20"/>
              </w:rPr>
              <w:t>LIGNECOMMANDES — Site2</w:t>
            </w:r>
          </w:p>
        </w:tc>
        <w:tc>
          <w:tcPr>
            <w:tcW w:type="dxa" w:w="3022"/>
            <w:shd w:val="clear" w:color="auto" w:fill="FFF0F0"/>
          </w:tcPr>
          <w:p>
            <w:pPr>
              <w:jc w:val="center"/>
            </w:pPr>
            <w:r>
              <w:rPr>
                <w:sz w:val="20"/>
              </w:rPr>
              <w:t>25 lignes (redondantes)</w:t>
            </w:r>
          </w:p>
        </w:tc>
        <w:tc>
          <w:tcPr>
            <w:tcW w:type="dxa" w:w="3022"/>
            <w:shd w:val="clear" w:color="auto" w:fill="FFF0F0"/>
          </w:tcPr>
          <w:p>
            <w:pPr>
              <w:jc w:val="center"/>
            </w:pPr>
            <w:r>
              <w:rPr>
                <w:sz w:val="20"/>
              </w:rPr>
              <w:t>0 ligne ✅</w:t>
            </w:r>
          </w:p>
        </w:tc>
      </w:tr>
      <w:tr>
        <w:tc>
          <w:tcPr>
            <w:tcW w:type="dxa" w:w="3022"/>
            <w:shd w:val="clear" w:color="auto" w:fill="F0FFF4"/>
          </w:tcPr>
          <w:p>
            <w:pPr>
              <w:jc w:val="center"/>
            </w:pPr>
            <w:r>
              <w:rPr>
                <w:b/>
                <w:sz w:val="20"/>
              </w:rPr>
              <w:t>LigneCommandes1 — Site1</w:t>
            </w:r>
          </w:p>
        </w:tc>
        <w:tc>
          <w:tcPr>
            <w:tcW w:type="dxa" w:w="3022"/>
            <w:shd w:val="clear" w:color="auto" w:fill="F0FFF4"/>
          </w:tcPr>
          <w:p>
            <w:pPr>
              <w:jc w:val="center"/>
            </w:pPr>
            <w:r>
              <w:rPr>
                <w:sz w:val="20"/>
              </w:rPr>
              <w:t>12 lignes</w:t>
            </w:r>
          </w:p>
        </w:tc>
        <w:tc>
          <w:tcPr>
            <w:tcW w:type="dxa" w:w="3022"/>
            <w:shd w:val="clear" w:color="auto" w:fill="F0FFF4"/>
          </w:tcPr>
          <w:p>
            <w:pPr>
              <w:jc w:val="center"/>
            </w:pPr>
            <w:r>
              <w:rPr>
                <w:sz w:val="20"/>
              </w:rPr>
              <w:t>12 lignes ✅</w:t>
            </w:r>
          </w:p>
        </w:tc>
      </w:tr>
    </w:tbl>
    <w:p>
      <w:pPr>
        <w:spacing w:after="120" w:before="40"/>
        <w:jc w:val="both"/>
      </w:pPr>
    </w:p>
    <w:p>
      <w:pPr>
        <w:spacing w:after="80" w:before="40"/>
        <w:jc w:val="both"/>
      </w:pPr>
      <w:r>
        <w:rPr>
          <w:b/>
          <w:i w:val="0"/>
          <w:color w:val="E86B1A"/>
          <w:sz w:val="24"/>
        </w:rPr>
        <w:t>12.4 Impact sur l'architecture</w:t>
      </w:r>
    </w:p>
    <w:p>
      <w:pPr>
        <w:pStyle w:val="ListBullet"/>
        <w:spacing w:after="80" w:before="40"/>
        <w:ind w:left="283"/>
      </w:pPr>
      <w:r>
        <w:rPr>
          <w:b/>
          <w:sz w:val="21"/>
        </w:rPr>
        <w:t xml:space="preserve">Unicité des données : </w:t>
      </w:r>
      <w:r>
        <w:rPr>
          <w:sz w:val="21"/>
        </w:rPr>
        <w:t>Chaque ligne de commande n'existe plus qu'à un seul endroit physique (Site1 OU Site2), conformément au principe de la fragmentation horizontale.</w:t>
      </w:r>
    </w:p>
    <w:p>
      <w:pPr>
        <w:pStyle w:val="ListBullet"/>
        <w:spacing w:after="80" w:before="40"/>
        <w:ind w:left="283"/>
      </w:pPr>
      <w:r>
        <w:rPr>
          <w:b/>
          <w:sz w:val="21"/>
        </w:rPr>
        <w:t xml:space="preserve">Structure conservée : </w:t>
      </w:r>
      <w:r>
        <w:rPr>
          <w:sz w:val="21"/>
        </w:rPr>
        <w:t>La table LIGNECOMMANDES reste présente sur chaque nœud (structure conservée) mais vide — elle sert de point d'entrée protégé par le trigger BEFORE INSERT.</w:t>
      </w:r>
    </w:p>
    <w:p>
      <w:pPr>
        <w:pStyle w:val="ListBullet"/>
        <w:spacing w:after="80" w:before="40"/>
        <w:ind w:left="283"/>
      </w:pPr>
      <w:r>
        <w:rPr>
          <w:b/>
          <w:sz w:val="21"/>
        </w:rPr>
        <w:t xml:space="preserve">Complémentarité : </w:t>
      </w:r>
      <w:r>
        <w:rPr>
          <w:sz w:val="21"/>
        </w:rPr>
        <w:t>Ce fix complète le fix précédent (trigger BEFORE INSERT) : ensemble, ils garantissent qu'aucune donnée ne peut exister en double, ni au démarrage ni en cours d'utilisation.</w:t>
      </w:r>
    </w:p>
    <w:p>
      <w:pPr>
        <w:spacing w:after="120" w:before="40"/>
        <w:jc w:val="both"/>
      </w:pPr>
    </w:p>
    <w:p>
      <w:r>
        <w:br w:type="page"/>
      </w:r>
    </w:p>
    <w:p>
      <w:pPr>
        <w:pStyle w:val="Heading1"/>
        <w:spacing w:before="360" w:after="160"/>
      </w:pPr>
      <w:r>
        <w:rPr>
          <w:color w:val="0D1B3E"/>
        </w:rPr>
        <w:t>13. CORRECTION DE LA FAILLE DE DOUBLONS SUR SITE1 ET SITE2</w:t>
      </w:r>
    </w:p>
    <w:p>
      <w:pPr>
        <w:spacing w:before="40" w:after="40"/>
        <w:pBdr>
          <w:bottom w:val="single" w:sz="6" w:space="1" w:color="E86B1A"/>
        </w:pBdr>
      </w:pPr>
    </w:p>
    <w:p>
      <w:pPr>
        <w:spacing w:after="80" w:before="40"/>
        <w:jc w:val="both"/>
      </w:pPr>
      <w:r>
        <w:rPr>
          <w:b/>
          <w:i w:val="0"/>
          <w:color w:val="E86B1A"/>
          <w:sz w:val="24"/>
        </w:rPr>
        <w:t>13.1 Contexte — couverture incomplète du Fix #1</w:t>
      </w:r>
    </w:p>
    <w:p>
      <w:pPr>
        <w:spacing w:after="120" w:before="40"/>
        <w:jc w:val="both"/>
      </w:pPr>
      <w:r>
        <w:rPr>
          <w:b w:val="0"/>
          <w:i w:val="0"/>
          <w:sz w:val="22"/>
        </w:rPr>
        <w:t>Le Fix #1 avait corrigé le problème de doublon sur le Central en remplaçant le trigger AFTER par un trigger BEFORE qui bloque tout DML direct sur LIGNECOMMANDES (ORA-20300). Cependant, cette protection ne couvrait que le noeud Central. Sur Site1 et Site2, la table LIGNECOMMANDES était certes vide (grâce au TRUNCATE du Fix #2), mais aucun trigger ne bloquait un éventuel INSERT direct. Ce scénario restait possible :</w:t>
      </w:r>
    </w:p>
    <w:p>
      <w:pPr>
        <w:spacing w:before="80" w:after="80"/>
        <w:ind w:left="454"/>
        <w:shd w:val="clear" w:color="auto" w:fill="F0F0F0"/>
      </w:pPr>
      <w:r>
        <w:rPr>
          <w:rFonts w:ascii="Courier New" w:hAnsi="Courier New"/>
          <w:sz w:val="17"/>
        </w:rPr>
        <w:t>-- Depuis Site1, un INSERT direct passait sans erreur</w:t>
        <w:br/>
        <w:t>INSERT INTO LIGNECOMMANDES (IDLIGNECOMMANDE, IDCOMMANDE, IDPRODUIT, QUANTITE, REMISE)</w:t>
        <w:br/>
        <w:t>VALUES (9998, 1, 1, 150, 0);</w:t>
        <w:br/>
        <w:br/>
        <w:t>-- Résultat AVANT ce fix : 1 row created (donnée hors fragment, sans routage)</w:t>
      </w:r>
    </w:p>
    <w:p>
      <w:pPr>
        <w:spacing w:after="120" w:before="40"/>
        <w:jc w:val="both"/>
      </w:pPr>
      <w:r>
        <w:rPr>
          <w:b w:val="0"/>
          <w:i w:val="0"/>
          <w:sz w:val="22"/>
        </w:rPr>
        <w:t>La ligne s'inscrivait dans LIGNECOMMANDES sur Site1 sans être routée vers LigneCommandes1 ni LigneCommandes2, et sans apparaître dans la vue V_LIGNECOMMANDES_GLOBAL_SYN. C'est la même cause racine que le Fix #1, mais sur les nœuds locaux.</w:t>
      </w:r>
    </w:p>
    <w:p>
      <w:pPr>
        <w:spacing w:after="80" w:before="40"/>
        <w:jc w:val="both"/>
      </w:pPr>
      <w:r>
        <w:rPr>
          <w:b/>
          <w:i w:val="0"/>
          <w:color w:val="E86B1A"/>
          <w:sz w:val="24"/>
        </w:rPr>
        <w:t>13.2 Diagnostic — état avant correction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F7A"/>
          </w:tcPr>
          <w:p>
            <w:pPr>
              <w:jc w:val="center"/>
            </w:pPr>
            <w:r>
              <w:rPr>
                <w:b/>
                <w:color w:val="FFFFFF"/>
                <w:sz w:val="20"/>
              </w:rPr>
              <w:t>Noeud</w:t>
            </w:r>
          </w:p>
        </w:tc>
        <w:tc>
          <w:tcPr>
            <w:tcW w:type="dxa" w:w="3022"/>
            <w:shd w:val="clear" w:color="auto" w:fill="1A3F7A"/>
          </w:tcPr>
          <w:p>
            <w:pPr>
              <w:jc w:val="center"/>
            </w:pPr>
            <w:r>
              <w:rPr>
                <w:b/>
                <w:color w:val="FFFFFF"/>
                <w:sz w:val="20"/>
              </w:rPr>
              <w:t>Table LIGNECOMMANDES</w:t>
            </w:r>
          </w:p>
        </w:tc>
        <w:tc>
          <w:tcPr>
            <w:tcW w:type="dxa" w:w="3022"/>
            <w:shd w:val="clear" w:color="auto" w:fill="1A3F7A"/>
          </w:tcPr>
          <w:p>
            <w:pPr>
              <w:jc w:val="center"/>
            </w:pPr>
            <w:r>
              <w:rPr>
                <w:b/>
                <w:color w:val="FFFFFF"/>
                <w:sz w:val="20"/>
              </w:rPr>
              <w:t>Protection</w:t>
            </w:r>
          </w:p>
        </w:tc>
      </w:tr>
      <w:tr>
        <w:tc>
          <w:tcPr>
            <w:tcW w:type="dxa" w:w="3022"/>
            <w:shd w:val="clear" w:color="auto" w:fill="E8F5E9"/>
          </w:tcPr>
          <w:p>
            <w:pPr>
              <w:jc w:val="center"/>
            </w:pPr>
            <w:r>
              <w:rPr>
                <w:b/>
                <w:sz w:val="20"/>
              </w:rPr>
              <w:t>Central</w:t>
            </w:r>
          </w:p>
        </w:tc>
        <w:tc>
          <w:tcPr>
            <w:tcW w:type="dxa" w:w="3022"/>
            <w:shd w:val="clear" w:color="auto" w:fill="E8F5E9"/>
          </w:tcPr>
          <w:p>
            <w:pPr>
              <w:jc w:val="center"/>
            </w:pPr>
            <w:r>
              <w:rPr>
                <w:sz w:val="20"/>
              </w:rPr>
              <w:t>LIGNECOMMANDES vide</w:t>
            </w:r>
          </w:p>
        </w:tc>
        <w:tc>
          <w:tcPr>
            <w:tcW w:type="dxa" w:w="3022"/>
            <w:shd w:val="clear" w:color="auto" w:fill="E8F5E9"/>
          </w:tcPr>
          <w:p>
            <w:pPr>
              <w:jc w:val="center"/>
            </w:pPr>
            <w:r>
              <w:rPr>
                <w:sz w:val="20"/>
              </w:rPr>
              <w:t>BEFORE trigger ORA-20300 (Fix #1) ✅</w:t>
            </w:r>
          </w:p>
        </w:tc>
      </w:tr>
      <w:tr>
        <w:tc>
          <w:tcPr>
            <w:tcW w:type="dxa" w:w="3022"/>
            <w:shd w:val="clear" w:color="auto" w:fill="FFEBEE"/>
          </w:tcPr>
          <w:p>
            <w:pPr>
              <w:jc w:val="center"/>
            </w:pPr>
            <w:r>
              <w:rPr>
                <w:b/>
                <w:sz w:val="20"/>
              </w:rPr>
              <w:t>Site1</w:t>
            </w:r>
          </w:p>
        </w:tc>
        <w:tc>
          <w:tcPr>
            <w:tcW w:type="dxa" w:w="3022"/>
            <w:shd w:val="clear" w:color="auto" w:fill="FFEBEE"/>
          </w:tcPr>
          <w:p>
            <w:pPr>
              <w:jc w:val="center"/>
            </w:pPr>
            <w:r>
              <w:rPr>
                <w:sz w:val="20"/>
              </w:rPr>
              <w:t>LIGNECOMMANDES vide</w:t>
            </w:r>
          </w:p>
        </w:tc>
        <w:tc>
          <w:tcPr>
            <w:tcW w:type="dxa" w:w="3022"/>
            <w:shd w:val="clear" w:color="auto" w:fill="FFEBEE"/>
          </w:tcPr>
          <w:p>
            <w:pPr>
              <w:jc w:val="center"/>
            </w:pPr>
            <w:r>
              <w:rPr>
                <w:sz w:val="20"/>
              </w:rPr>
              <w:t>Aucune protection ❌</w:t>
            </w:r>
          </w:p>
        </w:tc>
      </w:tr>
      <w:tr>
        <w:tc>
          <w:tcPr>
            <w:tcW w:type="dxa" w:w="3022"/>
            <w:shd w:val="clear" w:color="auto" w:fill="FFEBEE"/>
          </w:tcPr>
          <w:p>
            <w:pPr>
              <w:jc w:val="center"/>
            </w:pPr>
            <w:r>
              <w:rPr>
                <w:b/>
                <w:sz w:val="20"/>
              </w:rPr>
              <w:t>Site2</w:t>
            </w:r>
          </w:p>
        </w:tc>
        <w:tc>
          <w:tcPr>
            <w:tcW w:type="dxa" w:w="3022"/>
            <w:shd w:val="clear" w:color="auto" w:fill="FFEBEE"/>
          </w:tcPr>
          <w:p>
            <w:pPr>
              <w:jc w:val="center"/>
            </w:pPr>
            <w:r>
              <w:rPr>
                <w:sz w:val="20"/>
              </w:rPr>
              <w:t>LIGNECOMMANDES vide</w:t>
            </w:r>
          </w:p>
        </w:tc>
        <w:tc>
          <w:tcPr>
            <w:tcW w:type="dxa" w:w="3022"/>
            <w:shd w:val="clear" w:color="auto" w:fill="FFEBEE"/>
          </w:tcPr>
          <w:p>
            <w:pPr>
              <w:jc w:val="center"/>
            </w:pPr>
            <w:r>
              <w:rPr>
                <w:sz w:val="20"/>
              </w:rPr>
              <w:t>Aucune protection ❌</w:t>
            </w:r>
          </w:p>
        </w:tc>
      </w:tr>
    </w:tbl>
    <w:p>
      <w:pPr>
        <w:spacing w:after="120" w:before="40"/>
        <w:jc w:val="both"/>
      </w:pPr>
    </w:p>
    <w:p>
      <w:pPr>
        <w:spacing w:after="80" w:before="40"/>
        <w:jc w:val="both"/>
      </w:pPr>
      <w:r>
        <w:rPr>
          <w:b/>
          <w:i w:val="0"/>
          <w:color w:val="E86B1A"/>
          <w:sz w:val="24"/>
        </w:rPr>
        <w:t>13.3 Solution — triggers BEFORE sur Site1 et Site2</w:t>
      </w:r>
    </w:p>
    <w:p>
      <w:pPr>
        <w:spacing w:after="120" w:before="40"/>
        <w:jc w:val="both"/>
      </w:pPr>
      <w:r>
        <w:rPr>
          <w:b w:val="0"/>
          <w:i w:val="0"/>
          <w:sz w:val="22"/>
        </w:rPr>
        <w:t>La correction consiste à ajouter un trigger BEFORE INSERT OR UPDATE OR DELETE sur LIGNECOMMANDES dans les fichiers de triggers de chaque site, sur le même modèle que le trigger du Central. Deux fichiers ont été modifiés :</w:t>
      </w:r>
    </w:p>
    <w:p>
      <w:pPr>
        <w:spacing w:after="60" w:before="40"/>
        <w:jc w:val="both"/>
      </w:pPr>
      <w:r>
        <w:rPr>
          <w:b/>
          <w:i w:val="0"/>
          <w:sz w:val="20"/>
        </w:rPr>
        <w:t>Fichier 1 — site1/scenario2/triggers/site1_triggers.sh :</w:t>
      </w:r>
    </w:p>
    <w:p>
      <w:pPr>
        <w:spacing w:before="80" w:after="80"/>
        <w:ind w:left="454"/>
        <w:shd w:val="clear" w:color="auto" w:fill="F0F0F0"/>
      </w:pPr>
      <w:r>
        <w:rPr>
          <w:rFonts w:ascii="Courier New" w:hAnsi="Courier New"/>
          <w:sz w:val="17"/>
        </w:rPr>
        <w:t>-- Ajouté à la fin du bloc SQL, avant COMMIT/EXIT</w:t>
        <w:br/>
        <w:t>CREATE OR REPLACE TRIGGER trg_block_lignecommandes_site1</w:t>
        <w:br/>
        <w:t>BEFORE INSERT OR UPDATE OR DELETE ON LIGNECOMMANDES</w:t>
        <w:br/>
        <w:t>FOR EACH ROW</w:t>
        <w:br/>
        <w:t>BEGIN</w:t>
        <w:br/>
        <w:t xml:space="preserve">    RAISE_APPLICATION_ERROR(-20301,</w:t>
        <w:br/>
        <w:t xml:space="preserve">        'DML direct sur LIGNECOMMANDES interdit sur Site1. '</w:t>
        <w:br/>
        <w:t xml:space="preserve">        || 'Utilisez la vue V_LIGNECOMMANDES_ROUTAGE sur le Central.');</w:t>
        <w:br/>
        <w:t>END;</w:t>
        <w:br/>
        <w:t>/</w:t>
      </w:r>
    </w:p>
    <w:p>
      <w:pPr>
        <w:spacing w:after="60" w:before="40"/>
        <w:jc w:val="both"/>
      </w:pPr>
      <w:r>
        <w:rPr>
          <w:b/>
          <w:i w:val="0"/>
          <w:sz w:val="20"/>
        </w:rPr>
        <w:t>Fichier 2 — site2/scenario2/triggers/site2_triggers.sh :</w:t>
      </w:r>
    </w:p>
    <w:p>
      <w:pPr>
        <w:spacing w:before="80" w:after="80"/>
        <w:ind w:left="454"/>
        <w:shd w:val="clear" w:color="auto" w:fill="F0F0F0"/>
      </w:pPr>
      <w:r>
        <w:rPr>
          <w:rFonts w:ascii="Courier New" w:hAnsi="Courier New"/>
          <w:sz w:val="17"/>
        </w:rPr>
        <w:t>-- Ajouté à la fin du bloc SQL, avant COMMIT/EXIT</w:t>
        <w:br/>
        <w:t>CREATE OR REPLACE TRIGGER trg_block_lignecommandes_site2</w:t>
        <w:br/>
        <w:t>BEFORE INSERT OR UPDATE OR DELETE ON LIGNECOMMANDES</w:t>
        <w:br/>
        <w:t>FOR EACH ROW</w:t>
        <w:br/>
        <w:t>BEGIN</w:t>
        <w:br/>
        <w:t xml:space="preserve">    RAISE_APPLICATION_ERROR(-20302,</w:t>
        <w:br/>
        <w:t xml:space="preserve">        'DML direct sur LIGNECOMMANDES interdit sur Site2. '</w:t>
        <w:br/>
        <w:t xml:space="preserve">        || 'Utilisez la vue V_LIGNECOMMANDES_ROUTAGE sur le Central.');</w:t>
        <w:br/>
        <w:t>END;</w:t>
        <w:br/>
        <w:t>/</w:t>
      </w:r>
    </w:p>
    <w:p>
      <w:pPr>
        <w:spacing w:after="80" w:before="40"/>
        <w:jc w:val="both"/>
      </w:pPr>
      <w:r>
        <w:rPr>
          <w:b/>
          <w:i w:val="0"/>
          <w:color w:val="E86B1A"/>
          <w:sz w:val="24"/>
        </w:rPr>
        <w:t>13.4 Résultats de validation</w:t>
      </w:r>
    </w:p>
    <w:p>
      <w:pPr>
        <w:spacing w:after="120" w:before="40"/>
        <w:jc w:val="both"/>
      </w:pPr>
      <w:r>
        <w:rPr>
          <w:b w:val="0"/>
          <w:i w:val="0"/>
          <w:sz w:val="22"/>
        </w:rPr>
        <w:t>Après redéploiement du cluster, le test de blocage a été exécuté sur Site1 :</w:t>
      </w:r>
    </w:p>
    <w:p>
      <w:pPr>
        <w:spacing w:before="80" w:after="80"/>
        <w:ind w:left="454"/>
        <w:shd w:val="clear" w:color="auto" w:fill="F0F0F0"/>
      </w:pPr>
      <w:r>
        <w:rPr>
          <w:rFonts w:ascii="Courier New" w:hAnsi="Courier New"/>
          <w:sz w:val="17"/>
        </w:rPr>
        <w:t>=== Test INSERT direct sur Site1 (doit etre bloque ORA-20301) ===</w:t>
        <w:br/>
        <w:br/>
        <w:t>INSERT INTO LIGNECOMMANDES (IDLIGNECOMMANDE, IDCOMMANDE,</w:t>
        <w:br/>
        <w:t xml:space="preserve">                            IDPRODUIT, QUANTITE, REMISE)</w:t>
        <w:br/>
        <w:t>VALUES (9998, 1, 1, 150, 0);</w:t>
        <w:br/>
        <w:t xml:space="preserve">            *</w:t>
        <w:br/>
        <w:t>ERROR at line 1:</w:t>
        <w:br/>
        <w:t>ORA-20301: DML direct sur LIGNECOMMANDES interdit sur Site1.</w:t>
        <w:br/>
        <w:t xml:space="preserve">           Utilisez la vue V_LIGNECOMMANDES_ROUTAGE sur le Central.</w:t>
        <w:br/>
        <w:t>ORA-06512: at "ESHOP1.TRG_BLOCK_LIGNECOMMANDES_SITE1", line 2</w:t>
        <w:br/>
        <w:t>ORA-04088: error during execution of trigger</w:t>
        <w:br/>
        <w:t xml:space="preserve">           'ESHOP1.TRG_BLOCK_LIGNECOMMANDES_SITE1'</w:t>
      </w:r>
    </w:p>
    <w:p>
      <w:pPr>
        <w:spacing w:after="120" w:before="40"/>
        <w:jc w:val="both"/>
      </w:pPr>
    </w:p>
    <w:p>
      <w:pPr>
        <w:spacing w:after="60" w:before="40"/>
        <w:jc w:val="both"/>
      </w:pPr>
      <w:r>
        <w:rPr>
          <w:b/>
          <w:i w:val="0"/>
          <w:sz w:val="20"/>
        </w:rPr>
        <w:t>Tableau de protection final — les 3 noeuds :</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0D4E2E"/>
          </w:tcPr>
          <w:p>
            <w:pPr>
              <w:jc w:val="center"/>
            </w:pPr>
            <w:r>
              <w:rPr>
                <w:b/>
                <w:color w:val="FFFFFF"/>
                <w:sz w:val="20"/>
              </w:rPr>
              <w:t>Noeud</w:t>
            </w:r>
          </w:p>
        </w:tc>
        <w:tc>
          <w:tcPr>
            <w:tcW w:type="dxa" w:w="2266"/>
            <w:shd w:val="clear" w:color="auto" w:fill="0D4E2E"/>
          </w:tcPr>
          <w:p>
            <w:pPr>
              <w:jc w:val="center"/>
            </w:pPr>
            <w:r>
              <w:rPr>
                <w:b/>
                <w:color w:val="FFFFFF"/>
                <w:sz w:val="20"/>
              </w:rPr>
              <w:t>Table protegee</w:t>
            </w:r>
          </w:p>
        </w:tc>
        <w:tc>
          <w:tcPr>
            <w:tcW w:type="dxa" w:w="2266"/>
            <w:shd w:val="clear" w:color="auto" w:fill="0D4E2E"/>
          </w:tcPr>
          <w:p>
            <w:pPr>
              <w:jc w:val="center"/>
            </w:pPr>
            <w:r>
              <w:rPr>
                <w:b/>
                <w:color w:val="FFFFFF"/>
                <w:sz w:val="20"/>
              </w:rPr>
              <w:t>Trigger</w:t>
            </w:r>
          </w:p>
        </w:tc>
        <w:tc>
          <w:tcPr>
            <w:tcW w:type="dxa" w:w="2266"/>
            <w:shd w:val="clear" w:color="auto" w:fill="0D4E2E"/>
          </w:tcPr>
          <w:p>
            <w:pPr>
              <w:jc w:val="center"/>
            </w:pPr>
            <w:r>
              <w:rPr>
                <w:b/>
                <w:color w:val="FFFFFF"/>
                <w:sz w:val="20"/>
              </w:rPr>
              <w:t>Code erreur</w:t>
            </w:r>
          </w:p>
        </w:tc>
      </w:tr>
      <w:tr>
        <w:tc>
          <w:tcPr>
            <w:tcW w:type="dxa" w:w="2266"/>
            <w:shd w:val="clear" w:color="auto" w:fill="FFF8E1"/>
          </w:tcPr>
          <w:p>
            <w:pPr>
              <w:jc w:val="center"/>
            </w:pPr>
            <w:r>
              <w:rPr>
                <w:b/>
                <w:sz w:val="19"/>
              </w:rPr>
              <w:t>Central</w:t>
            </w:r>
          </w:p>
        </w:tc>
        <w:tc>
          <w:tcPr>
            <w:tcW w:type="dxa" w:w="2266"/>
            <w:shd w:val="clear" w:color="auto" w:fill="FFF8E1"/>
          </w:tcPr>
          <w:p>
            <w:pPr>
              <w:jc w:val="center"/>
            </w:pPr>
            <w:r>
              <w:rPr>
                <w:sz w:val="19"/>
              </w:rPr>
              <w:t>LIGNECOMMANDES</w:t>
            </w:r>
          </w:p>
        </w:tc>
        <w:tc>
          <w:tcPr>
            <w:tcW w:type="dxa" w:w="2266"/>
            <w:shd w:val="clear" w:color="auto" w:fill="FFF8E1"/>
          </w:tcPr>
          <w:p>
            <w:pPr>
              <w:jc w:val="center"/>
            </w:pPr>
            <w:r>
              <w:rPr>
                <w:sz w:val="19"/>
              </w:rPr>
              <w:t>trg_route_lignecommandes_table</w:t>
            </w:r>
          </w:p>
        </w:tc>
        <w:tc>
          <w:tcPr>
            <w:tcW w:type="dxa" w:w="2266"/>
            <w:shd w:val="clear" w:color="auto" w:fill="FFF8E1"/>
          </w:tcPr>
          <w:p>
            <w:pPr>
              <w:jc w:val="center"/>
            </w:pPr>
            <w:r>
              <w:rPr>
                <w:sz w:val="19"/>
              </w:rPr>
              <w:t>ORA-20300</w:t>
            </w:r>
          </w:p>
        </w:tc>
      </w:tr>
      <w:tr>
        <w:tc>
          <w:tcPr>
            <w:tcW w:type="dxa" w:w="2266"/>
            <w:shd w:val="clear" w:color="auto" w:fill="E8F5E9"/>
          </w:tcPr>
          <w:p>
            <w:pPr>
              <w:jc w:val="center"/>
            </w:pPr>
            <w:r>
              <w:rPr>
                <w:b/>
                <w:sz w:val="19"/>
              </w:rPr>
              <w:t>Site1</w:t>
            </w:r>
          </w:p>
        </w:tc>
        <w:tc>
          <w:tcPr>
            <w:tcW w:type="dxa" w:w="2266"/>
            <w:shd w:val="clear" w:color="auto" w:fill="E8F5E9"/>
          </w:tcPr>
          <w:p>
            <w:pPr>
              <w:jc w:val="center"/>
            </w:pPr>
            <w:r>
              <w:rPr>
                <w:sz w:val="19"/>
              </w:rPr>
              <w:t>LIGNECOMMANDES</w:t>
            </w:r>
          </w:p>
        </w:tc>
        <w:tc>
          <w:tcPr>
            <w:tcW w:type="dxa" w:w="2266"/>
            <w:shd w:val="clear" w:color="auto" w:fill="E8F5E9"/>
          </w:tcPr>
          <w:p>
            <w:pPr>
              <w:jc w:val="center"/>
            </w:pPr>
            <w:r>
              <w:rPr>
                <w:sz w:val="19"/>
              </w:rPr>
              <w:t>trg_block_lignecommandes_site1</w:t>
            </w:r>
          </w:p>
        </w:tc>
        <w:tc>
          <w:tcPr>
            <w:tcW w:type="dxa" w:w="2266"/>
            <w:shd w:val="clear" w:color="auto" w:fill="E8F5E9"/>
          </w:tcPr>
          <w:p>
            <w:pPr>
              <w:jc w:val="center"/>
            </w:pPr>
            <w:r>
              <w:rPr>
                <w:sz w:val="19"/>
              </w:rPr>
              <w:t>ORA-20301</w:t>
            </w:r>
          </w:p>
        </w:tc>
      </w:tr>
      <w:tr>
        <w:tc>
          <w:tcPr>
            <w:tcW w:type="dxa" w:w="2266"/>
            <w:shd w:val="clear" w:color="auto" w:fill="E8F5E9"/>
          </w:tcPr>
          <w:p>
            <w:pPr>
              <w:jc w:val="center"/>
            </w:pPr>
            <w:r>
              <w:rPr>
                <w:b/>
                <w:sz w:val="19"/>
              </w:rPr>
              <w:t>Site2</w:t>
            </w:r>
          </w:p>
        </w:tc>
        <w:tc>
          <w:tcPr>
            <w:tcW w:type="dxa" w:w="2266"/>
            <w:shd w:val="clear" w:color="auto" w:fill="E8F5E9"/>
          </w:tcPr>
          <w:p>
            <w:pPr>
              <w:jc w:val="center"/>
            </w:pPr>
            <w:r>
              <w:rPr>
                <w:sz w:val="19"/>
              </w:rPr>
              <w:t>LIGNECOMMANDES</w:t>
            </w:r>
          </w:p>
        </w:tc>
        <w:tc>
          <w:tcPr>
            <w:tcW w:type="dxa" w:w="2266"/>
            <w:shd w:val="clear" w:color="auto" w:fill="E8F5E9"/>
          </w:tcPr>
          <w:p>
            <w:pPr>
              <w:jc w:val="center"/>
            </w:pPr>
            <w:r>
              <w:rPr>
                <w:sz w:val="19"/>
              </w:rPr>
              <w:t>trg_block_lignecommandes_site2</w:t>
            </w:r>
          </w:p>
        </w:tc>
        <w:tc>
          <w:tcPr>
            <w:tcW w:type="dxa" w:w="2266"/>
            <w:shd w:val="clear" w:color="auto" w:fill="E8F5E9"/>
          </w:tcPr>
          <w:p>
            <w:pPr>
              <w:jc w:val="center"/>
            </w:pPr>
            <w:r>
              <w:rPr>
                <w:sz w:val="19"/>
              </w:rPr>
              <w:t>ORA-20302</w:t>
            </w:r>
          </w:p>
        </w:tc>
      </w:tr>
      <w:tr>
        <w:tc>
          <w:tcPr>
            <w:tcW w:type="dxa" w:w="2266"/>
            <w:shd w:val="clear" w:color="auto" w:fill="E3F2FD"/>
          </w:tcPr>
          <w:p>
            <w:pPr>
              <w:jc w:val="center"/>
            </w:pPr>
            <w:r>
              <w:rPr>
                <w:b/>
                <w:sz w:val="19"/>
              </w:rPr>
              <w:t>Central</w:t>
            </w:r>
          </w:p>
        </w:tc>
        <w:tc>
          <w:tcPr>
            <w:tcW w:type="dxa" w:w="2266"/>
            <w:shd w:val="clear" w:color="auto" w:fill="E3F2FD"/>
          </w:tcPr>
          <w:p>
            <w:pPr>
              <w:jc w:val="center"/>
            </w:pPr>
            <w:r>
              <w:rPr>
                <w:sz w:val="19"/>
              </w:rPr>
              <w:t>V_LIGNECOMMANDES_ROUTAGE</w:t>
            </w:r>
          </w:p>
        </w:tc>
        <w:tc>
          <w:tcPr>
            <w:tcW w:type="dxa" w:w="2266"/>
            <w:shd w:val="clear" w:color="auto" w:fill="E3F2FD"/>
          </w:tcPr>
          <w:p>
            <w:pPr>
              <w:jc w:val="center"/>
            </w:pPr>
            <w:r>
              <w:rPr>
                <w:sz w:val="19"/>
              </w:rPr>
              <w:t>INSTEAD OF (routage automatique)</w:t>
            </w:r>
          </w:p>
        </w:tc>
        <w:tc>
          <w:tcPr>
            <w:tcW w:type="dxa" w:w="2266"/>
            <w:shd w:val="clear" w:color="auto" w:fill="E3F2FD"/>
          </w:tcPr>
          <w:p>
            <w:pPr>
              <w:jc w:val="center"/>
            </w:pPr>
            <w:r>
              <w:rPr>
                <w:sz w:val="19"/>
              </w:rPr>
              <w:t>—</w:t>
            </w:r>
          </w:p>
        </w:tc>
      </w:tr>
    </w:tbl>
    <w:p>
      <w:pPr>
        <w:spacing w:after="120" w:before="40"/>
        <w:jc w:val="both"/>
      </w:pPr>
    </w:p>
    <w:p>
      <w:pPr>
        <w:spacing w:after="80" w:before="40"/>
        <w:jc w:val="both"/>
      </w:pPr>
      <w:r>
        <w:rPr>
          <w:b/>
          <w:i w:val="0"/>
          <w:color w:val="E86B1A"/>
          <w:sz w:val="24"/>
        </w:rPr>
        <w:t>13.5 Impact et complémentarité des trois fixes</w:t>
      </w:r>
    </w:p>
    <w:p>
      <w:pPr>
        <w:pStyle w:val="ListBullet"/>
        <w:spacing w:after="80" w:before="40"/>
        <w:ind w:left="283"/>
      </w:pPr>
      <w:r>
        <w:rPr>
          <w:b/>
          <w:sz w:val="21"/>
        </w:rPr>
        <w:t xml:space="preserve">Fix #1 — Trigger Central : </w:t>
      </w:r>
      <w:r>
        <w:rPr>
          <w:sz w:val="21"/>
        </w:rPr>
        <w:t>Bloque les inserts directs sur LIGNECOMMANDES du Central (ORA-20300) — oblige à passer par la vue de routage.</w:t>
      </w:r>
    </w:p>
    <w:p>
      <w:pPr>
        <w:pStyle w:val="ListBullet"/>
        <w:spacing w:after="80" w:before="40"/>
        <w:ind w:left="283"/>
      </w:pPr>
      <w:r>
        <w:rPr>
          <w:b/>
          <w:sz w:val="21"/>
        </w:rPr>
        <w:t xml:space="preserve">Fix #2 — TRUNCATE : </w:t>
      </w:r>
      <w:r>
        <w:rPr>
          <w:sz w:val="21"/>
        </w:rPr>
        <w:t>Vide LIGNECOMMANDES sur les 3 noeuds après la création des fragments — élimine la redondance initiale des 25 lignes.</w:t>
      </w:r>
    </w:p>
    <w:p>
      <w:pPr>
        <w:pStyle w:val="ListBullet"/>
        <w:spacing w:after="80" w:before="40"/>
        <w:ind w:left="283"/>
      </w:pPr>
      <w:r>
        <w:rPr>
          <w:b/>
          <w:sz w:val="21"/>
        </w:rPr>
        <w:t xml:space="preserve">Fix #3 — Triggers Site1/Site2 : </w:t>
      </w:r>
      <w:r>
        <w:rPr>
          <w:sz w:val="21"/>
        </w:rPr>
        <w:t>Bloque les inserts directs sur LIGNECOMMANDES de Site1/Site2 (ORA-20301/20302) — ferme la faille résiduelle sur les noeuds locaux.</w:t>
      </w:r>
    </w:p>
    <w:p>
      <w:pPr>
        <w:spacing w:after="120" w:before="40"/>
        <w:jc w:val="both"/>
      </w:pPr>
      <w:r>
        <w:rPr>
          <w:b w:val="0"/>
          <w:i w:val="0"/>
          <w:sz w:val="22"/>
        </w:rPr>
        <w:t>Ensemble, ces trois corrections garantissent qu'aucune ligne de commande ne peut exister en dehors des fragments LigneCommandes1 et LigneCommandes2, ni au démarrage ni en cours d'utilisation, quel que soit le noeud depuis lequel l'utilisateur tente d'écrire.</w:t>
      </w:r>
    </w:p>
    <w:p>
      <w:pPr>
        <w:spacing w:after="120" w:before="40"/>
        <w:jc w:val="both"/>
      </w:pPr>
    </w:p>
    <w:p>
      <w:r>
        <w:br w:type="page"/>
      </w:r>
    </w:p>
    <w:p>
      <w:pPr>
        <w:pStyle w:val="Heading1"/>
        <w:spacing w:before="360" w:after="160"/>
      </w:pPr>
      <w:r>
        <w:rPr>
          <w:color w:val="0D1B3E"/>
        </w:rPr>
        <w:t>14. SYNTHESE DES CORRECTIONS — TABLEAU RECAPITULATIF</w:t>
      </w:r>
    </w:p>
    <w:p>
      <w:pPr>
        <w:spacing w:before="40" w:after="120"/>
        <w:pBdr>
          <w:bottom w:val="single" w:sz="8" w:space="1" w:color="E86B1A"/>
        </w:pBdr>
      </w:pPr>
    </w:p>
    <w:p>
      <w:pPr>
        <w:spacing w:after="120" w:before="40"/>
        <w:jc w:val="both"/>
      </w:pPr>
      <w:r>
        <w:rPr>
          <w:b w:val="0"/>
          <w:sz w:val="22"/>
        </w:rPr>
        <w:t>Les trois problèmes identifiés lors de l'analyse du système ont été corrigés de manière complémentaire. Ce tableau récapitule l'ensemble des corrections apportées, leurs causes racines, les fichiers modifiés et les résultats de validation obtenus.</w:t>
      </w:r>
    </w:p>
    <w:p>
      <w:pPr>
        <w:spacing w:after="120" w:before="40"/>
        <w:jc w:val="both"/>
      </w:pPr>
    </w:p>
    <w:tbl>
      <w:tblPr>
        <w:tblStyle w:val="TableGrid"/>
        <w:tblW w:type="auto" w:w="0"/>
        <w:jc w:val="center"/>
        <w:tblLook w:firstColumn="1" w:firstRow="1" w:lastColumn="0" w:lastRow="0" w:noHBand="0" w:noVBand="1" w:val="04A0"/>
      </w:tblPr>
      <w:tblGrid>
        <w:gridCol w:w="1247"/>
        <w:gridCol w:w="2154"/>
        <w:gridCol w:w="2154"/>
        <w:gridCol w:w="1814"/>
        <w:gridCol w:w="1814"/>
      </w:tblGrid>
      <w:tr>
        <w:tc>
          <w:tcPr>
            <w:tcW w:type="dxa" w:w="1813"/>
            <w:shd w:val="clear" w:color="auto" w:fill="0D1B3E"/>
          </w:tcPr>
          <w:p>
            <w:pPr>
              <w:spacing w:before="80" w:after="80"/>
              <w:jc w:val="center"/>
            </w:pPr>
            <w:r>
              <w:rPr>
                <w:b/>
                <w:color w:val="FFFFFF"/>
                <w:sz w:val="20"/>
              </w:rPr>
              <w:t>Fix</w:t>
            </w:r>
          </w:p>
        </w:tc>
        <w:tc>
          <w:tcPr>
            <w:tcW w:type="dxa" w:w="1813"/>
            <w:shd w:val="clear" w:color="auto" w:fill="0D1B3E"/>
          </w:tcPr>
          <w:p>
            <w:pPr>
              <w:spacing w:before="80" w:after="80"/>
              <w:jc w:val="center"/>
            </w:pPr>
            <w:r>
              <w:rPr>
                <w:b/>
                <w:color w:val="FFFFFF"/>
                <w:sz w:val="20"/>
              </w:rPr>
              <w:t>Problème</w:t>
            </w:r>
          </w:p>
        </w:tc>
        <w:tc>
          <w:tcPr>
            <w:tcW w:type="dxa" w:w="1813"/>
            <w:shd w:val="clear" w:color="auto" w:fill="0D1B3E"/>
          </w:tcPr>
          <w:p>
            <w:pPr>
              <w:spacing w:before="80" w:after="80"/>
              <w:jc w:val="center"/>
            </w:pPr>
            <w:r>
              <w:rPr>
                <w:b/>
                <w:color w:val="FFFFFF"/>
                <w:sz w:val="20"/>
              </w:rPr>
              <w:t>Solution</w:t>
            </w:r>
          </w:p>
        </w:tc>
        <w:tc>
          <w:tcPr>
            <w:tcW w:type="dxa" w:w="1813"/>
            <w:shd w:val="clear" w:color="auto" w:fill="0D1B3E"/>
          </w:tcPr>
          <w:p>
            <w:pPr>
              <w:spacing w:before="80" w:after="80"/>
              <w:jc w:val="center"/>
            </w:pPr>
            <w:r>
              <w:rPr>
                <w:b/>
                <w:color w:val="FFFFFF"/>
                <w:sz w:val="20"/>
              </w:rPr>
              <w:t>Fichiers modifiés</w:t>
            </w:r>
          </w:p>
        </w:tc>
        <w:tc>
          <w:tcPr>
            <w:tcW w:type="dxa" w:w="1813"/>
            <w:shd w:val="clear" w:color="auto" w:fill="0D1B3E"/>
          </w:tcPr>
          <w:p>
            <w:pPr>
              <w:spacing w:before="80" w:after="80"/>
              <w:jc w:val="center"/>
            </w:pPr>
            <w:r>
              <w:rPr>
                <w:b/>
                <w:color w:val="FFFFFF"/>
                <w:sz w:val="20"/>
              </w:rPr>
              <w:t>Validation</w:t>
            </w:r>
          </w:p>
        </w:tc>
      </w:tr>
      <w:tr>
        <w:tc>
          <w:tcPr>
            <w:tcW w:type="dxa" w:w="1813"/>
            <w:shd w:val="clear" w:color="auto" w:fill="FFF3E0"/>
          </w:tcPr>
          <w:p>
            <w:pPr>
              <w:spacing w:before="80" w:after="80"/>
              <w:jc w:val="center"/>
            </w:pPr>
            <w:r>
              <w:rPr>
                <w:b/>
                <w:color w:val="0D1B3E"/>
                <w:sz w:val="19"/>
              </w:rPr>
              <w:t>Fix #1</w:t>
              <w:br/>
              <w:t>Trigger</w:t>
              <w:br/>
              <w:t>Central</w:t>
            </w:r>
          </w:p>
        </w:tc>
        <w:tc>
          <w:tcPr>
            <w:tcW w:type="dxa" w:w="1813"/>
            <w:shd w:val="clear" w:color="auto" w:fill="FFFDE7"/>
          </w:tcPr>
          <w:p>
            <w:pPr>
              <w:spacing w:before="80" w:after="80"/>
              <w:jc w:val="left"/>
            </w:pPr>
            <w:r>
              <w:rPr>
                <w:b w:val="0"/>
                <w:sz w:val="18"/>
              </w:rPr>
              <w:t>INSERT direct dans LIGNECOMMANDES sur le Central : le trigger AFTER laissait la ligne s'enregistrer avant de la router vers le bon site, créant un doublon.</w:t>
            </w:r>
          </w:p>
        </w:tc>
        <w:tc>
          <w:tcPr>
            <w:tcW w:type="dxa" w:w="1813"/>
            <w:shd w:val="clear" w:color="auto" w:fill="FFFDE7"/>
          </w:tcPr>
          <w:p>
            <w:pPr>
              <w:spacing w:before="80" w:after="80"/>
              <w:jc w:val="left"/>
            </w:pPr>
            <w:r>
              <w:rPr>
                <w:b w:val="0"/>
                <w:sz w:val="18"/>
              </w:rPr>
              <w:t>Remplacement du trigger AFTER par un trigger BEFORE qui lève immédiatement ORA-20300 et annule l'opération. Seule la vue V_LIGNECOMMANDES_ROUTAGE est autorisée.</w:t>
            </w:r>
          </w:p>
        </w:tc>
        <w:tc>
          <w:tcPr>
            <w:tcW w:type="dxa" w:w="1813"/>
            <w:shd w:val="clear" w:color="auto" w:fill="FFFDE7"/>
          </w:tcPr>
          <w:p>
            <w:pPr>
              <w:spacing w:before="80" w:after="80"/>
              <w:jc w:val="left"/>
            </w:pPr>
            <w:r>
              <w:rPr>
                <w:b w:val="0"/>
                <w:sz w:val="18"/>
              </w:rPr>
              <w:t>docker/</w:t>
              <w:br/>
              <w:t>routing_central.sh</w:t>
            </w:r>
          </w:p>
        </w:tc>
        <w:tc>
          <w:tcPr>
            <w:tcW w:type="dxa" w:w="1813"/>
            <w:shd w:val="clear" w:color="auto" w:fill="FFFDE7"/>
          </w:tcPr>
          <w:p>
            <w:pPr>
              <w:spacing w:before="80" w:after="80"/>
              <w:jc w:val="left"/>
            </w:pPr>
            <w:r>
              <w:rPr>
                <w:b w:val="0"/>
                <w:sz w:val="18"/>
              </w:rPr>
              <w:t>ORA-20300 levée sur insert direct ✅</w:t>
              <w:br/>
              <w:t>Insert via vue routé correctement ✅</w:t>
            </w:r>
          </w:p>
        </w:tc>
      </w:tr>
      <w:tr>
        <w:tc>
          <w:tcPr>
            <w:tcW w:type="dxa" w:w="1813"/>
            <w:shd w:val="clear" w:color="auto" w:fill="E8F5E9"/>
          </w:tcPr>
          <w:p>
            <w:pPr>
              <w:spacing w:before="80" w:after="80"/>
              <w:jc w:val="center"/>
            </w:pPr>
            <w:r>
              <w:rPr>
                <w:b/>
                <w:color w:val="0D1B3E"/>
                <w:sz w:val="19"/>
              </w:rPr>
              <w:t>Fix #2</w:t>
              <w:br/>
              <w:t>TRUNCATE</w:t>
              <w:br/>
              <w:t>Initial</w:t>
            </w:r>
          </w:p>
        </w:tc>
        <w:tc>
          <w:tcPr>
            <w:tcW w:type="dxa" w:w="1813"/>
            <w:shd w:val="clear" w:color="auto" w:fill="F1F8E9"/>
          </w:tcPr>
          <w:p>
            <w:pPr>
              <w:spacing w:before="80" w:after="80"/>
              <w:jc w:val="left"/>
            </w:pPr>
            <w:r>
              <w:rPr>
                <w:b w:val="0"/>
                <w:sz w:val="18"/>
              </w:rPr>
              <w:t>Les 25 lignes initiales de LIGNECOMMANDES étaient présentes sur les 3 noeuds simultanément après l'init. Les fragments étaient créés par SELECT mais la table source n'était jamais vidée.</w:t>
            </w:r>
          </w:p>
        </w:tc>
        <w:tc>
          <w:tcPr>
            <w:tcW w:type="dxa" w:w="1813"/>
            <w:shd w:val="clear" w:color="auto" w:fill="F1F8E9"/>
          </w:tcPr>
          <w:p>
            <w:pPr>
              <w:spacing w:before="80" w:after="80"/>
              <w:jc w:val="left"/>
            </w:pPr>
            <w:r>
              <w:rPr>
                <w:b w:val="0"/>
                <w:sz w:val="18"/>
              </w:rPr>
              <w:t>Ajout de TRUNCATE TABLE LIGNECOMMANDES à la fin de chaque script de fragmentation, après la création des tables LigneCommandes1 et LigneCommandes2.</w:t>
            </w:r>
          </w:p>
        </w:tc>
        <w:tc>
          <w:tcPr>
            <w:tcW w:type="dxa" w:w="1813"/>
            <w:shd w:val="clear" w:color="auto" w:fill="F1F8E9"/>
          </w:tcPr>
          <w:p>
            <w:pPr>
              <w:spacing w:before="80" w:after="80"/>
              <w:jc w:val="left"/>
            </w:pPr>
            <w:r>
              <w:rPr>
                <w:b w:val="0"/>
                <w:sz w:val="18"/>
              </w:rPr>
              <w:t>site1/scenario2/</w:t>
              <w:br/>
              <w:t>fragments/</w:t>
              <w:br/>
              <w:t>site1_fragments.sh</w:t>
              <w:br/>
              <w:br/>
              <w:t>site2/scenario2/</w:t>
              <w:br/>
              <w:t>fragments/</w:t>
              <w:br/>
              <w:t>site2_fragments.sh</w:t>
              <w:br/>
              <w:br/>
              <w:t>docker/</w:t>
              <w:br/>
              <w:t>routing_central.sh</w:t>
            </w:r>
          </w:p>
        </w:tc>
        <w:tc>
          <w:tcPr>
            <w:tcW w:type="dxa" w:w="1813"/>
            <w:shd w:val="clear" w:color="auto" w:fill="F1F8E9"/>
          </w:tcPr>
          <w:p>
            <w:pPr>
              <w:spacing w:before="80" w:after="80"/>
              <w:jc w:val="left"/>
            </w:pPr>
            <w:r>
              <w:rPr>
                <w:b w:val="0"/>
                <w:sz w:val="18"/>
              </w:rPr>
              <w:t>Central = 0 ligne ✅</w:t>
              <w:br/>
              <w:t>Site1 fragment = 12 lignes ✅</w:t>
              <w:br/>
              <w:t>Site2 fragment = 13 lignes ✅</w:t>
              <w:br/>
              <w:t>Vue globale = 25 total ✅</w:t>
            </w:r>
          </w:p>
        </w:tc>
      </w:tr>
      <w:tr>
        <w:tc>
          <w:tcPr>
            <w:tcW w:type="dxa" w:w="1813"/>
            <w:shd w:val="clear" w:color="auto" w:fill="E3F2FD"/>
          </w:tcPr>
          <w:p>
            <w:pPr>
              <w:spacing w:before="80" w:after="80"/>
              <w:jc w:val="center"/>
            </w:pPr>
            <w:r>
              <w:rPr>
                <w:b/>
                <w:color w:val="0D1B3E"/>
                <w:sz w:val="19"/>
              </w:rPr>
              <w:t>Fix #3</w:t>
              <w:br/>
              <w:t>Triggers</w:t>
              <w:br/>
              <w:t>Site1/Site2</w:t>
            </w:r>
          </w:p>
        </w:tc>
        <w:tc>
          <w:tcPr>
            <w:tcW w:type="dxa" w:w="1813"/>
            <w:shd w:val="clear" w:color="auto" w:fill="EDE7F6"/>
          </w:tcPr>
          <w:p>
            <w:pPr>
              <w:spacing w:before="80" w:after="80"/>
              <w:jc w:val="left"/>
            </w:pPr>
            <w:r>
              <w:rPr>
                <w:b w:val="0"/>
                <w:sz w:val="18"/>
              </w:rPr>
              <w:t>Fix #1 ne couvrait que le Central. Sur Site1 et Site2, LIGNECOMMANDES était vide mais un INSERT direct s'exécutait sans erreur, stockant la donnée hors fragment et hors vue globale.</w:t>
            </w:r>
          </w:p>
        </w:tc>
        <w:tc>
          <w:tcPr>
            <w:tcW w:type="dxa" w:w="1813"/>
            <w:shd w:val="clear" w:color="auto" w:fill="EDE7F6"/>
          </w:tcPr>
          <w:p>
            <w:pPr>
              <w:spacing w:before="80" w:after="80"/>
              <w:jc w:val="left"/>
            </w:pPr>
            <w:r>
              <w:rPr>
                <w:b w:val="0"/>
                <w:sz w:val="18"/>
              </w:rPr>
              <w:t>Ajout d'un trigger BEFORE INSERT OR UPDATE OR DELETE sur LIGNECOMMANDES dans les fichiers de triggers de Site1 (ORA-20301) et Site2 (ORA-20302).</w:t>
            </w:r>
          </w:p>
        </w:tc>
        <w:tc>
          <w:tcPr>
            <w:tcW w:type="dxa" w:w="1813"/>
            <w:shd w:val="clear" w:color="auto" w:fill="EDE7F6"/>
          </w:tcPr>
          <w:p>
            <w:pPr>
              <w:spacing w:before="80" w:after="80"/>
              <w:jc w:val="left"/>
            </w:pPr>
            <w:r>
              <w:rPr>
                <w:b w:val="0"/>
                <w:sz w:val="18"/>
              </w:rPr>
              <w:t>site1/scenario2/</w:t>
              <w:br/>
              <w:t>triggers/</w:t>
              <w:br/>
              <w:t>site1_triggers.sh</w:t>
              <w:br/>
              <w:br/>
              <w:t>site2/scenario2/</w:t>
              <w:br/>
              <w:t>triggers/</w:t>
              <w:br/>
              <w:t>site2_triggers.sh</w:t>
            </w:r>
          </w:p>
        </w:tc>
        <w:tc>
          <w:tcPr>
            <w:tcW w:type="dxa" w:w="1813"/>
            <w:shd w:val="clear" w:color="auto" w:fill="EDE7F6"/>
          </w:tcPr>
          <w:p>
            <w:pPr>
              <w:spacing w:before="80" w:after="80"/>
              <w:jc w:val="left"/>
            </w:pPr>
            <w:r>
              <w:rPr>
                <w:b w:val="0"/>
                <w:sz w:val="18"/>
              </w:rPr>
              <w:t>ORA-20301 sur Site1 ✅</w:t>
              <w:br/>
              <w:t>ORA-20302 sur Site2 ✅</w:t>
              <w:br/>
              <w:t>3 noeuds protégés ✅</w:t>
            </w:r>
          </w:p>
        </w:tc>
      </w:tr>
    </w:tbl>
    <w:p>
      <w:pPr>
        <w:spacing w:after="120" w:before="40"/>
        <w:jc w:val="both"/>
      </w:pPr>
    </w:p>
    <w:p>
      <w:pPr>
        <w:spacing w:after="80" w:before="40"/>
        <w:jc w:val="both"/>
      </w:pPr>
      <w:r>
        <w:rPr>
          <w:b/>
          <w:color w:val="E86B1A"/>
          <w:sz w:val="22"/>
        </w:rPr>
        <w:t>Protection par noeud après les 3 fixes :</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0D4E2E"/>
          </w:tcPr>
          <w:p>
            <w:pPr>
              <w:spacing w:before="80" w:after="80"/>
              <w:jc w:val="center"/>
            </w:pPr>
            <w:r>
              <w:rPr>
                <w:b/>
                <w:color w:val="FFFFFF"/>
                <w:sz w:val="20"/>
              </w:rPr>
              <w:t>Noeud</w:t>
            </w:r>
          </w:p>
        </w:tc>
        <w:tc>
          <w:tcPr>
            <w:tcW w:type="dxa" w:w="2266"/>
            <w:shd w:val="clear" w:color="auto" w:fill="0D4E2E"/>
          </w:tcPr>
          <w:p>
            <w:pPr>
              <w:spacing w:before="80" w:after="80"/>
              <w:jc w:val="center"/>
            </w:pPr>
            <w:r>
              <w:rPr>
                <w:b/>
                <w:color w:val="FFFFFF"/>
                <w:sz w:val="20"/>
              </w:rPr>
              <w:t>Table protégée</w:t>
            </w:r>
          </w:p>
        </w:tc>
        <w:tc>
          <w:tcPr>
            <w:tcW w:type="dxa" w:w="2266"/>
            <w:shd w:val="clear" w:color="auto" w:fill="0D4E2E"/>
          </w:tcPr>
          <w:p>
            <w:pPr>
              <w:spacing w:before="80" w:after="80"/>
              <w:jc w:val="center"/>
            </w:pPr>
            <w:r>
              <w:rPr>
                <w:b/>
                <w:color w:val="FFFFFF"/>
                <w:sz w:val="20"/>
              </w:rPr>
              <w:t>Mécanisme</w:t>
            </w:r>
          </w:p>
        </w:tc>
        <w:tc>
          <w:tcPr>
            <w:tcW w:type="dxa" w:w="2266"/>
            <w:shd w:val="clear" w:color="auto" w:fill="0D4E2E"/>
          </w:tcPr>
          <w:p>
            <w:pPr>
              <w:spacing w:before="80" w:after="80"/>
              <w:jc w:val="center"/>
            </w:pPr>
            <w:r>
              <w:rPr>
                <w:b/>
                <w:color w:val="FFFFFF"/>
                <w:sz w:val="20"/>
              </w:rPr>
              <w:t>Code erreur</w:t>
            </w:r>
          </w:p>
        </w:tc>
      </w:tr>
      <w:tr>
        <w:tc>
          <w:tcPr>
            <w:tcW w:type="dxa" w:w="2266"/>
            <w:shd w:val="clear" w:color="auto" w:fill="FFF8E1"/>
          </w:tcPr>
          <w:p>
            <w:pPr>
              <w:spacing w:before="80" w:after="80"/>
              <w:jc w:val="center"/>
            </w:pPr>
            <w:r>
              <w:rPr>
                <w:b/>
                <w:sz w:val="19"/>
              </w:rPr>
              <w:t>Central</w:t>
            </w:r>
          </w:p>
        </w:tc>
        <w:tc>
          <w:tcPr>
            <w:tcW w:type="dxa" w:w="2266"/>
            <w:shd w:val="clear" w:color="auto" w:fill="FFF8E1"/>
          </w:tcPr>
          <w:p>
            <w:pPr>
              <w:spacing w:before="80" w:after="80"/>
              <w:jc w:val="center"/>
            </w:pPr>
            <w:r>
              <w:rPr>
                <w:b w:val="0"/>
                <w:sz w:val="19"/>
              </w:rPr>
              <w:t>LIGNECOMMANDES</w:t>
            </w:r>
          </w:p>
        </w:tc>
        <w:tc>
          <w:tcPr>
            <w:tcW w:type="dxa" w:w="2266"/>
            <w:shd w:val="clear" w:color="auto" w:fill="FFF8E1"/>
          </w:tcPr>
          <w:p>
            <w:pPr>
              <w:spacing w:before="80" w:after="80"/>
              <w:jc w:val="center"/>
            </w:pPr>
            <w:r>
              <w:rPr>
                <w:b w:val="0"/>
                <w:sz w:val="19"/>
              </w:rPr>
              <w:t>BEFORE trigger (Fix #1)</w:t>
            </w:r>
          </w:p>
        </w:tc>
        <w:tc>
          <w:tcPr>
            <w:tcW w:type="dxa" w:w="2266"/>
            <w:shd w:val="clear" w:color="auto" w:fill="FFF8E1"/>
          </w:tcPr>
          <w:p>
            <w:pPr>
              <w:spacing w:before="80" w:after="80"/>
              <w:jc w:val="center"/>
            </w:pPr>
            <w:r>
              <w:rPr>
                <w:b w:val="0"/>
                <w:sz w:val="19"/>
              </w:rPr>
              <w:t>ORA-20300</w:t>
            </w:r>
          </w:p>
        </w:tc>
      </w:tr>
      <w:tr>
        <w:tc>
          <w:tcPr>
            <w:tcW w:type="dxa" w:w="2266"/>
            <w:shd w:val="clear" w:color="auto" w:fill="E8F5E9"/>
          </w:tcPr>
          <w:p>
            <w:pPr>
              <w:spacing w:before="80" w:after="80"/>
              <w:jc w:val="center"/>
            </w:pPr>
            <w:r>
              <w:rPr>
                <w:b/>
                <w:sz w:val="19"/>
              </w:rPr>
              <w:t>Site1</w:t>
            </w:r>
          </w:p>
        </w:tc>
        <w:tc>
          <w:tcPr>
            <w:tcW w:type="dxa" w:w="2266"/>
            <w:shd w:val="clear" w:color="auto" w:fill="E8F5E9"/>
          </w:tcPr>
          <w:p>
            <w:pPr>
              <w:spacing w:before="80" w:after="80"/>
              <w:jc w:val="center"/>
            </w:pPr>
            <w:r>
              <w:rPr>
                <w:b w:val="0"/>
                <w:sz w:val="19"/>
              </w:rPr>
              <w:t>LIGNECOMMANDES</w:t>
            </w:r>
          </w:p>
        </w:tc>
        <w:tc>
          <w:tcPr>
            <w:tcW w:type="dxa" w:w="2266"/>
            <w:shd w:val="clear" w:color="auto" w:fill="E8F5E9"/>
          </w:tcPr>
          <w:p>
            <w:pPr>
              <w:spacing w:before="80" w:after="80"/>
              <w:jc w:val="center"/>
            </w:pPr>
            <w:r>
              <w:rPr>
                <w:b w:val="0"/>
                <w:sz w:val="19"/>
              </w:rPr>
              <w:t>BEFORE trigger (Fix #3)</w:t>
            </w:r>
          </w:p>
        </w:tc>
        <w:tc>
          <w:tcPr>
            <w:tcW w:type="dxa" w:w="2266"/>
            <w:shd w:val="clear" w:color="auto" w:fill="E8F5E9"/>
          </w:tcPr>
          <w:p>
            <w:pPr>
              <w:spacing w:before="80" w:after="80"/>
              <w:jc w:val="center"/>
            </w:pPr>
            <w:r>
              <w:rPr>
                <w:b w:val="0"/>
                <w:sz w:val="19"/>
              </w:rPr>
              <w:t>ORA-20301</w:t>
            </w:r>
          </w:p>
        </w:tc>
      </w:tr>
      <w:tr>
        <w:tc>
          <w:tcPr>
            <w:tcW w:type="dxa" w:w="2266"/>
            <w:shd w:val="clear" w:color="auto" w:fill="E8F5E9"/>
          </w:tcPr>
          <w:p>
            <w:pPr>
              <w:spacing w:before="80" w:after="80"/>
              <w:jc w:val="center"/>
            </w:pPr>
            <w:r>
              <w:rPr>
                <w:b/>
                <w:sz w:val="19"/>
              </w:rPr>
              <w:t>Site2</w:t>
            </w:r>
          </w:p>
        </w:tc>
        <w:tc>
          <w:tcPr>
            <w:tcW w:type="dxa" w:w="2266"/>
            <w:shd w:val="clear" w:color="auto" w:fill="E8F5E9"/>
          </w:tcPr>
          <w:p>
            <w:pPr>
              <w:spacing w:before="80" w:after="80"/>
              <w:jc w:val="center"/>
            </w:pPr>
            <w:r>
              <w:rPr>
                <w:b w:val="0"/>
                <w:sz w:val="19"/>
              </w:rPr>
              <w:t>LIGNECOMMANDES</w:t>
            </w:r>
          </w:p>
        </w:tc>
        <w:tc>
          <w:tcPr>
            <w:tcW w:type="dxa" w:w="2266"/>
            <w:shd w:val="clear" w:color="auto" w:fill="E8F5E9"/>
          </w:tcPr>
          <w:p>
            <w:pPr>
              <w:spacing w:before="80" w:after="80"/>
              <w:jc w:val="center"/>
            </w:pPr>
            <w:r>
              <w:rPr>
                <w:b w:val="0"/>
                <w:sz w:val="19"/>
              </w:rPr>
              <w:t>BEFORE trigger (Fix #3)</w:t>
            </w:r>
          </w:p>
        </w:tc>
        <w:tc>
          <w:tcPr>
            <w:tcW w:type="dxa" w:w="2266"/>
            <w:shd w:val="clear" w:color="auto" w:fill="E8F5E9"/>
          </w:tcPr>
          <w:p>
            <w:pPr>
              <w:spacing w:before="80" w:after="80"/>
              <w:jc w:val="center"/>
            </w:pPr>
            <w:r>
              <w:rPr>
                <w:b w:val="0"/>
                <w:sz w:val="19"/>
              </w:rPr>
              <w:t>ORA-20302</w:t>
            </w:r>
          </w:p>
        </w:tc>
      </w:tr>
      <w:tr>
        <w:tc>
          <w:tcPr>
            <w:tcW w:type="dxa" w:w="2266"/>
            <w:shd w:val="clear" w:color="auto" w:fill="E3F2FD"/>
          </w:tcPr>
          <w:p>
            <w:pPr>
              <w:spacing w:before="80" w:after="80"/>
              <w:jc w:val="center"/>
            </w:pPr>
            <w:r>
              <w:rPr>
                <w:b/>
                <w:sz w:val="19"/>
              </w:rPr>
              <w:t>Central</w:t>
            </w:r>
          </w:p>
        </w:tc>
        <w:tc>
          <w:tcPr>
            <w:tcW w:type="dxa" w:w="2266"/>
            <w:shd w:val="clear" w:color="auto" w:fill="E3F2FD"/>
          </w:tcPr>
          <w:p>
            <w:pPr>
              <w:spacing w:before="80" w:after="80"/>
              <w:jc w:val="center"/>
            </w:pPr>
            <w:r>
              <w:rPr>
                <w:b w:val="0"/>
                <w:sz w:val="19"/>
              </w:rPr>
              <w:t>V_LIGNECOMMANDES_ROUTAGE</w:t>
            </w:r>
          </w:p>
        </w:tc>
        <w:tc>
          <w:tcPr>
            <w:tcW w:type="dxa" w:w="2266"/>
            <w:shd w:val="clear" w:color="auto" w:fill="E3F2FD"/>
          </w:tcPr>
          <w:p>
            <w:pPr>
              <w:spacing w:before="80" w:after="80"/>
              <w:jc w:val="center"/>
            </w:pPr>
            <w:r>
              <w:rPr>
                <w:b w:val="0"/>
                <w:sz w:val="19"/>
              </w:rPr>
              <w:t>INSTEAD OF trigger (routage auto)</w:t>
            </w:r>
          </w:p>
        </w:tc>
        <w:tc>
          <w:tcPr>
            <w:tcW w:type="dxa" w:w="2266"/>
            <w:shd w:val="clear" w:color="auto" w:fill="E3F2FD"/>
          </w:tcPr>
          <w:p>
            <w:pPr>
              <w:spacing w:before="80" w:after="80"/>
              <w:jc w:val="center"/>
            </w:pPr>
            <w:r>
              <w:rPr>
                <w:b w:val="0"/>
                <w:sz w:val="19"/>
              </w:rPr>
              <w:t>—</w:t>
            </w:r>
          </w:p>
        </w:tc>
      </w:tr>
    </w:tbl>
    <w:p>
      <w:pPr>
        <w:spacing w:after="120" w:before="40"/>
        <w:jc w:val="both"/>
      </w:pPr>
    </w:p>
    <w:p>
      <w:pPr>
        <w:spacing w:after="80" w:before="40"/>
        <w:jc w:val="both"/>
      </w:pPr>
      <w:r>
        <w:rPr>
          <w:b/>
          <w:color w:val="E86B1A"/>
          <w:sz w:val="22"/>
        </w:rPr>
        <w:t>Flux d'insertion garanti après les 3 fixes :</w:t>
      </w:r>
    </w:p>
    <w:p>
      <w:pPr>
        <w:spacing w:after="120" w:before="40"/>
        <w:jc w:val="both"/>
      </w:pPr>
      <w:r>
        <w:rPr>
          <w:b w:val="0"/>
          <w:sz w:val="20"/>
        </w:rPr>
        <w:t>Toute tentative d'écriture directe dans LIGNECOMMANDES sur l'un des 3 noeuds est immédiatement rejetée. L'unique chemin valide est :</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E3F2FD"/>
          </w:tcPr>
          <w:p>
            <w:pPr>
              <w:spacing w:before="120" w:after="120"/>
              <w:jc w:val="center"/>
            </w:pPr>
            <w:r>
              <w:rPr>
                <w:b w:val="0"/>
                <w:sz w:val="17"/>
              </w:rPr>
              <w:t>Application</w:t>
              <w:br/>
              <w:t>client</w:t>
            </w:r>
          </w:p>
        </w:tc>
        <w:tc>
          <w:tcPr>
            <w:tcW w:type="dxa" w:w="1813"/>
            <w:shd w:val="clear" w:color="auto" w:fill="FFF8E1"/>
          </w:tcPr>
          <w:p>
            <w:pPr>
              <w:spacing w:before="120" w:after="120"/>
              <w:jc w:val="center"/>
            </w:pPr>
            <w:r>
              <w:rPr>
                <w:b/>
                <w:sz w:val="17"/>
              </w:rPr>
              <w:t>V_LIGNECOMMANDES</w:t>
              <w:br/>
              <w:t>_ROUTAGE</w:t>
              <w:br/>
              <w:t>(Central)</w:t>
            </w:r>
          </w:p>
        </w:tc>
        <w:tc>
          <w:tcPr>
            <w:tcW w:type="dxa" w:w="1813"/>
            <w:shd w:val="clear" w:color="auto" w:fill="FFF3E0"/>
          </w:tcPr>
          <w:p>
            <w:pPr>
              <w:spacing w:before="120" w:after="120"/>
              <w:jc w:val="center"/>
            </w:pPr>
            <w:r>
              <w:rPr>
                <w:b w:val="0"/>
                <w:sz w:val="17"/>
              </w:rPr>
              <w:t>INSTEAD OF</w:t>
              <w:br/>
              <w:t>trigger</w:t>
            </w:r>
          </w:p>
        </w:tc>
        <w:tc>
          <w:tcPr>
            <w:tcW w:type="dxa" w:w="1813"/>
            <w:shd w:val="clear" w:color="auto" w:fill="E8F5E9"/>
          </w:tcPr>
          <w:p>
            <w:pPr>
              <w:spacing w:before="120" w:after="120"/>
              <w:jc w:val="center"/>
            </w:pPr>
            <w:r>
              <w:rPr>
                <w:b/>
                <w:sz w:val="17"/>
              </w:rPr>
              <w:t>LigneCommandes1</w:t>
              <w:br/>
              <w:t>(QUANTITE &gt;= 100)</w:t>
            </w:r>
          </w:p>
        </w:tc>
        <w:tc>
          <w:tcPr>
            <w:tcW w:type="dxa" w:w="1813"/>
            <w:shd w:val="clear" w:color="auto" w:fill="FCE4EC"/>
          </w:tcPr>
          <w:p>
            <w:pPr>
              <w:spacing w:before="120" w:after="120"/>
              <w:jc w:val="center"/>
            </w:pPr>
            <w:r>
              <w:rPr>
                <w:b/>
                <w:sz w:val="17"/>
              </w:rPr>
              <w:t>LigneCommandes2</w:t>
              <w:br/>
              <w:t>(QUANTITE &lt; 100)</w:t>
            </w:r>
          </w:p>
        </w:tc>
      </w:tr>
    </w:tbl>
    <w:p>
      <w:pPr>
        <w:spacing w:after="120" w:before="40"/>
        <w:jc w:val="both"/>
      </w:pPr>
    </w:p>
    <w:p>
      <w:pPr>
        <w:spacing w:after="120" w:before="40"/>
        <w:jc w:val="both"/>
      </w:pPr>
      <w:r>
        <w:rPr>
          <w:b w:val="0"/>
          <w:sz w:val="20"/>
        </w:rPr>
        <w:t>Ce flux est identique à celui décrit dans la conception initiale du système. Les trois corrections n'ajoutent pas de nouvelle logique — elles ferment les chemins d'accès qui contournaient involontairement ce flux.</w:t>
      </w:r>
    </w:p>
    <w:p>
      <w:pPr>
        <w:spacing w:after="120" w:before="40"/>
        <w:jc w:val="both"/>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