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0004E"/>
      </w:pPr>
      <w:r>
        <w:rPr>
          <w:sz w:val="28"/>
        </w:rPr>
        <w:t xml:space="preserve">  </w:t>
      </w:r>
    </w:p>
    <w:p>
      <w:pPr>
        <w:spacing w:before="0" w:after="0"/>
        <w:shd w:val="clear" w:color="auto" w:fill="00B050"/>
      </w:pPr>
      <w:r>
        <w:rPr>
          <w:sz w:val="8"/>
        </w:rPr>
        <w:t xml:space="preserve">  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91440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si_cover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shd w:val="clear" w:color="auto" w:fill="00B050"/>
      </w:pPr>
      <w:r>
        <w:rPr>
          <w:sz w:val="8"/>
        </w:rPr>
        <w:t xml:space="preserve">  </w:t>
      </w:r>
    </w:p>
    <w:p>
      <w:pPr>
        <w:spacing w:before="0" w:after="0"/>
        <w:shd w:val="clear" w:color="auto" w:fill="00004E"/>
      </w:pPr>
      <w:r>
        <w:rPr>
          <w:sz w:val="20"/>
        </w:rPr>
        <w:t xml:space="preserve">  </w:t>
      </w:r>
    </w:p>
    <w:p/>
    <w:p>
      <w:pPr>
        <w:spacing w:before="4" w:after="4"/>
      </w:pPr>
      <w:r>
        <w:rPr>
          <w:rFonts w:ascii="Calibri" w:hAnsi="Calibri"/>
          <w:b/>
          <w:i w:val="0"/>
          <w:color w:val="00004E"/>
          <w:sz w:val="44"/>
        </w:rPr>
        <w:t>Moamalat — Correspondence System</w:t>
      </w:r>
    </w:p>
    <w:p>
      <w:pPr>
        <w:spacing w:before="4" w:after="4"/>
      </w:pPr>
      <w:r>
        <w:rPr>
          <w:rFonts w:ascii="Calibri" w:hAnsi="Calibri"/>
          <w:b/>
          <w:i w:val="0"/>
          <w:color w:val="00B050"/>
          <w:sz w:val="30"/>
        </w:rPr>
        <w:t>Workflow &amp; Notification POC</w:t>
      </w:r>
    </w:p>
    <w:p>
      <w:pPr>
        <w:spacing w:before="4" w:after="4"/>
      </w:pPr>
      <w:r>
        <w:rPr>
          <w:rFonts w:ascii="Calibri" w:hAnsi="Calibri"/>
          <w:b w:val="0"/>
          <w:i/>
          <w:color w:val="666666"/>
          <w:sz w:val="22"/>
        </w:rPr>
        <w:t>UML Activity Diagrams — IBM Proof of Concept</w:t>
      </w:r>
    </w:p>
    <w:p/>
    <w:p>
      <w:pPr>
        <w:pStyle w:val="Heading1"/>
        <w:pageBreakBefore/>
        <w:spacing w:before="180" w:after="60"/>
        <w:pBdr>
          <w:bottom w:val="single" w:sz="12" w:space="1" w:color="00B050"/>
        </w:pBdr>
      </w:pPr>
      <w:r>
        <w:rPr>
          <w:rFonts w:ascii="Calibri" w:hAnsi="Calibri"/>
          <w:b/>
          <w:color w:val="00004E"/>
          <w:sz w:val="28"/>
        </w:rPr>
        <w:t>Complete Workflow Overview</w:t>
      </w:r>
    </w:p>
    <w:p>
      <w:pPr>
        <w:spacing w:after="120"/>
      </w:pPr>
      <w:r>
        <w:rPr>
          <w:rFonts w:ascii="Calibri" w:hAnsi="Calibri"/>
          <w:color w:val="2D3748"/>
          <w:sz w:val="22"/>
        </w:rPr>
        <w:t>All five flows shown together with their connections. Dashed arrows indicate links between flows.</w:t>
      </w:r>
    </w:p>
    <w:p>
      <w:pPr>
        <w:spacing w:before="8" w:after="0"/>
        <w:jc w:val="center"/>
      </w:pPr>
      <w:r>
        <w:drawing>
          <wp:inline xmlns:a="http://schemas.openxmlformats.org/drawingml/2006/main" xmlns:pic="http://schemas.openxmlformats.org/drawingml/2006/picture">
            <wp:extent cx="63258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0_ma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5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180" w:after="60"/>
        <w:pBdr>
          <w:bottom w:val="single" w:sz="12" w:space="1" w:color="00B050"/>
        </w:pBdr>
      </w:pPr>
      <w:r>
        <w:rPr>
          <w:rFonts w:ascii="Calibri" w:hAnsi="Calibri"/>
          <w:b/>
          <w:color w:val="00004E"/>
          <w:sz w:val="28"/>
        </w:rPr>
        <w:t>AD-01 — Create &amp; Send</w:t>
      </w:r>
    </w:p>
    <w:p>
      <w:pPr>
        <w:spacing w:after="120"/>
      </w:pPr>
      <w:r>
        <w:rPr>
          <w:rFonts w:ascii="Calibri" w:hAnsi="Calibri"/>
          <w:color w:val="2D3748"/>
          <w:sz w:val="22"/>
        </w:rPr>
        <w:t>Correspondence is created as Draft. If not sent, it stays Draft. Once sent it leaves Draft permanently. Deadline can optionally be set before or after sending.</w:t>
      </w:r>
    </w:p>
    <w:p>
      <w:pPr>
        <w:spacing w:before="8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4953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1_create_s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953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180" w:after="60"/>
        <w:pBdr>
          <w:bottom w:val="single" w:sz="12" w:space="1" w:color="00B050"/>
        </w:pBdr>
      </w:pPr>
      <w:r>
        <w:rPr>
          <w:rFonts w:ascii="Calibri" w:hAnsi="Calibri"/>
          <w:b/>
          <w:color w:val="00004E"/>
          <w:sz w:val="28"/>
        </w:rPr>
        <w:t>AD-02 — Receive &amp; Process</w:t>
      </w:r>
    </w:p>
    <w:p>
      <w:pPr>
        <w:spacing w:after="120"/>
      </w:pPr>
      <w:r>
        <w:rPr>
          <w:rFonts w:ascii="Calibri" w:hAnsi="Calibri"/>
          <w:color w:val="2D3748"/>
          <w:sz w:val="22"/>
        </w:rPr>
        <w:t>Item arrives in a shared inbox and locks on open. Member can forward (re-routes via AD-01), return, or unlock.</w:t>
      </w:r>
    </w:p>
    <w:p>
      <w:pPr>
        <w:spacing w:before="8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4409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2_receive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0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180" w:after="60"/>
        <w:pBdr>
          <w:bottom w:val="single" w:sz="12" w:space="1" w:color="00B050"/>
        </w:pBdr>
      </w:pPr>
      <w:r>
        <w:rPr>
          <w:rFonts w:ascii="Calibri" w:hAnsi="Calibri"/>
          <w:b/>
          <w:color w:val="00004E"/>
          <w:sz w:val="28"/>
        </w:rPr>
        <w:t>AD-03 — Recall</w:t>
      </w:r>
    </w:p>
    <w:p>
      <w:pPr>
        <w:spacing w:after="120"/>
      </w:pPr>
      <w:r>
        <w:rPr>
          <w:rFonts w:ascii="Calibri" w:hAnsi="Calibri"/>
          <w:color w:val="2D3748"/>
          <w:sz w:val="22"/>
        </w:rPr>
        <w:t>Recall blocked if recipient opened or acted. On success, item moves to Recalled folder with a persistent notification, then continues via AD-01 to resend. Delete is not permitted.</w:t>
      </w:r>
    </w:p>
    <w:p>
      <w:pPr>
        <w:spacing w:before="8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5023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3_rec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02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180" w:after="60"/>
        <w:pBdr>
          <w:bottom w:val="single" w:sz="12" w:space="1" w:color="00B050"/>
        </w:pBdr>
      </w:pPr>
      <w:r>
        <w:rPr>
          <w:rFonts w:ascii="Calibri" w:hAnsi="Calibri"/>
          <w:b/>
          <w:color w:val="00004E"/>
          <w:sz w:val="28"/>
        </w:rPr>
        <w:t>AD-04 — Deadline, Reminders &amp; Escalation</w:t>
      </w:r>
    </w:p>
    <w:p>
      <w:pPr>
        <w:spacing w:after="120"/>
      </w:pPr>
      <w:r>
        <w:rPr>
          <w:rFonts w:ascii="Calibri" w:hAnsi="Calibri"/>
          <w:color w:val="2D3748"/>
          <w:sz w:val="22"/>
        </w:rPr>
        <w:t>Deadline can be set from AD-01, the Sent page, or the Search page. Reminders fire at 50% and 75%. Each escalation level has an 'Action taken?' decision — if resolved, flow ends. If no action after Deputy Governor, no further escalation.</w:t>
      </w:r>
    </w:p>
    <w:p>
      <w:pPr>
        <w:spacing w:before="8" w:after="0"/>
        <w:jc w:val="center"/>
      </w:pPr>
      <w:r>
        <w:drawing>
          <wp:inline xmlns:a="http://schemas.openxmlformats.org/drawingml/2006/main" xmlns:pic="http://schemas.openxmlformats.org/drawingml/2006/picture">
            <wp:extent cx="3564000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4_dead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before="180" w:after="60"/>
        <w:pBdr>
          <w:bottom w:val="single" w:sz="12" w:space="1" w:color="00B050"/>
        </w:pBdr>
      </w:pPr>
      <w:r>
        <w:rPr>
          <w:rFonts w:ascii="Calibri" w:hAnsi="Calibri"/>
          <w:b/>
          <w:color w:val="00004E"/>
          <w:sz w:val="28"/>
        </w:rPr>
        <w:t>AD-05 — Mention</w:t>
      </w:r>
    </w:p>
    <w:p>
      <w:pPr>
        <w:spacing w:after="120"/>
      </w:pPr>
      <w:r>
        <w:rPr>
          <w:rFonts w:ascii="Calibri" w:hAnsi="Calibri"/>
          <w:color w:val="2D3748"/>
          <w:sz w:val="22"/>
        </w:rPr>
        <w:t>Handler tags a user or department. Read-only access granted. Mentioned user can view but cannot act. Can be triggered at any stage.</w:t>
      </w:r>
    </w:p>
    <w:p>
      <w:pPr>
        <w:spacing w:before="8"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700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5_men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004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5840" w:h="122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00B050"/>
      </w:pBdr>
      <w:spacing w:before="40" w:after="0"/>
    </w:pPr>
    <w:r>
      <w:rPr>
        <w:rFonts w:ascii="Calibri" w:hAnsi="Calibri"/>
        <w:color w:val="00004E"/>
        <w:sz w:val="17"/>
      </w:rPr>
      <w:t xml:space="preserve">Confidential — GOSI Moamalat     </w:t>
    </w:r>
    <w:r>
      <w:rPr>
        <w:rFonts w:ascii="Calibri" w:hAnsi="Calibri"/>
        <w:b/>
        <w:color w:val="00B05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00B050"/>
      </w:pBdr>
      <w:spacing w:before="0" w:after="50"/>
    </w:pPr>
    <w:r>
      <w:drawing>
        <wp:inline xmlns:a="http://schemas.openxmlformats.org/drawingml/2006/main" xmlns:pic="http://schemas.openxmlformats.org/drawingml/2006/picture">
          <wp:extent cx="1005840" cy="21553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si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215537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color w:val="00004E"/>
        <w:sz w:val="17"/>
      </w:rPr>
      <w:t xml:space="preserve">   Moamalat — UML Activity Diagrams  |  IBM POC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