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orbitsight-technical-proposal"/>
    <w:p>
      <w:pPr>
        <w:pStyle w:val="Heading1"/>
      </w:pPr>
      <w:r>
        <w:t xml:space="preserve">OrbitSight — Technical Proposal</w:t>
      </w:r>
    </w:p>
    <w:bookmarkStart w:id="20" w:name="X02c37dfbd151db4e97d855397a998309a82f18e"/>
    <w:p>
      <w:pPr>
        <w:pStyle w:val="Heading3"/>
      </w:pPr>
      <w:r>
        <w:t xml:space="preserve">Real-Time RSO Detection &amp; Tracking from Neuromorphic Vision</w:t>
      </w:r>
    </w:p>
    <w:p>
      <w:pPr>
        <w:pStyle w:val="FirstParagraph"/>
      </w:pPr>
      <w:r>
        <w:t xml:space="preserve">TII OrbitSight Challenge · Propulsion &amp; Space Research Center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-and-proposed-solution"/>
    <w:p>
      <w:pPr>
        <w:pStyle w:val="Heading2"/>
      </w:pPr>
      <w:r>
        <w:t xml:space="preserve">1. Problem statement and proposed solution</w:t>
      </w:r>
    </w:p>
    <w:p>
      <w:pPr>
        <w:pStyle w:val="FirstParagraph"/>
      </w:pPr>
      <w:r>
        <w:rPr>
          <w:bCs/>
          <w:b/>
        </w:rPr>
        <w:t xml:space="preserve">Problem.</w:t>
      </w:r>
      <w:r>
        <w:t xml:space="preserve"> </w:t>
      </w:r>
      <w:r>
        <w:t xml:space="preserve">Given raw neuromorphic-vision-sensor (NVS) event streams captured by</w:t>
      </w:r>
      <w:r>
        <w:t xml:space="preserve"> </w:t>
      </w:r>
      <w:r>
        <w:t xml:space="preserve">event cameras on a 0.8 m telescope, detect and track Resident Space Objects</w:t>
      </w:r>
      <w:r>
        <w:t xml:space="preserve"> </w:t>
      </w:r>
      <w:r>
        <w:t xml:space="preserve">(RSOs) — satellites, rocket bodies, debris, and apparently-moving stars — as one</w:t>
      </w:r>
      <w:r>
        <w:t xml:space="preserve"> </w:t>
      </w:r>
      <w:r>
        <w:t xml:space="preserve">bounding box per 40 ms window, scored at</w:t>
      </w:r>
      <w:r>
        <w:t xml:space="preserve"> </w:t>
      </w:r>
      <w:r>
        <w:rPr>
          <w:bCs/>
          <w:b/>
        </w:rPr>
        <w:t xml:space="preserve">IoU ≥ 0.5</w:t>
      </w:r>
      <w:r>
        <w:t xml:space="preserve"> </w:t>
      </w:r>
      <w:r>
        <w:t xml:space="preserve">and aggregated into mAP /</w:t>
      </w:r>
      <w:r>
        <w:t xml:space="preserve"> </w:t>
      </w:r>
      <w:r>
        <w:t xml:space="preserve">precision / recall / F1. The data is asynchronous, sparse, noisy, and spans</w:t>
      </w:r>
      <w:r>
        <w:t xml:space="preserve"> </w:t>
      </w:r>
      <w:r>
        <w:t xml:space="preserve">three sensors of different resolution (DAVIS 346×260, DVX 640×480, EVK4</w:t>
      </w:r>
      <w:r>
        <w:t xml:space="preserve"> </w:t>
      </w:r>
      <w:r>
        <w:t xml:space="preserve">1280×720). Objects are often</w:t>
      </w:r>
      <w:r>
        <w:t xml:space="preserve"> </w:t>
      </w:r>
      <w:r>
        <w:rPr>
          <w:bCs/>
          <w:b/>
        </w:rPr>
        <w:t xml:space="preserve">2–4 events per window</w:t>
      </w:r>
      <w:r>
        <w:t xml:space="preserve"> </w:t>
      </w:r>
      <w:r>
        <w:t xml:space="preserve">against ~500 background</w:t>
      </w:r>
      <w:r>
        <w:t xml:space="preserve"> </w:t>
      </w:r>
      <w:r>
        <w:t xml:space="preserve">events; only</w:t>
      </w:r>
      <w:r>
        <w:t xml:space="preserve"> </w:t>
      </w:r>
      <w:r>
        <w:rPr>
          <w:bCs/>
          <w:b/>
        </w:rPr>
        <w:t xml:space="preserve">16 labeled training sequences</w:t>
      </w:r>
      <w:r>
        <w:t xml:space="preserve"> </w:t>
      </w:r>
      <w:r>
        <w:t xml:space="preserve">are available; and there is a</w:t>
      </w:r>
      <w:r>
        <w:t xml:space="preserve"> </w:t>
      </w:r>
      <w:r>
        <w:t xml:space="preserve">hard</w:t>
      </w:r>
      <w:r>
        <w:t xml:space="preserve"> </w:t>
      </w:r>
      <w:r>
        <w:rPr>
          <w:bCs/>
          <w:b/>
        </w:rPr>
        <w:t xml:space="preserve">CPU-only, &lt; 40 ms/window, offline</w:t>
      </w:r>
      <w:r>
        <w:t xml:space="preserve"> </w:t>
      </w:r>
      <w:r>
        <w:t xml:space="preserve">deployment constraint.</w:t>
      </w:r>
    </w:p>
    <w:p>
      <w:pPr>
        <w:pStyle w:val="BodyText"/>
      </w:pPr>
      <w:r>
        <w:rPr>
          <w:bCs/>
          <w:b/>
        </w:rPr>
        <w:t xml:space="preserve">Proposed solution — a two-track detector with per-sensor routing.</w:t>
      </w:r>
      <w:r>
        <w:t xml:space="preserve"> </w:t>
      </w:r>
      <w:r>
        <w:t xml:space="preserve">We pose</w:t>
      </w:r>
      <w:r>
        <w:t xml:space="preserve"> </w:t>
      </w:r>
      <w:r>
        <w:t xml:space="preserve">detection as</w:t>
      </w:r>
      <w:r>
        <w:t xml:space="preserve"> </w:t>
      </w:r>
      <w:r>
        <w:rPr>
          <w:iCs/>
          <w:i/>
        </w:rPr>
        <w:t xml:space="preserve">dense per-event / per-window supervision</w:t>
      </w:r>
      <w:r>
        <w:t xml:space="preserve"> </w:t>
      </w:r>
      <w:r>
        <w:t xml:space="preserve">and pursue two</w:t>
      </w:r>
      <w:r>
        <w:t xml:space="preserve"> </w:t>
      </w:r>
      <w:r>
        <w:t xml:space="preserve">complementary detectors, then route each sensor to its winner: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Classical coherence pipeline (CPU, interpretable, real-time).</w:t>
      </w:r>
      <w:r>
        <w:t xml:space="preserve"> </w:t>
      </w:r>
      <w:r>
        <w:t xml:space="preserve">Per-sensor</w:t>
      </w:r>
      <w:r>
        <w:t xml:space="preserve"> </w:t>
      </w:r>
      <w:r>
        <w:t xml:space="preserve">normalization → O(N) background-activity denoise → a learned local</w:t>
      </w:r>
      <w:r>
        <w:t xml:space="preserve"> </w:t>
      </w:r>
      <w:r>
        <w:t xml:space="preserve">spatiotemporal-</w:t>
      </w:r>
      <w:r>
        <w:rPr>
          <w:bCs/>
          <w:b/>
        </w:rPr>
        <w:t xml:space="preserve">coherence</w:t>
      </w:r>
      <w:r>
        <w:t xml:space="preserve"> </w:t>
      </w:r>
      <w:r>
        <w:t xml:space="preserve">event classifier (LightGBM) → geometric</w:t>
      </w:r>
      <w:r>
        <w:t xml:space="preserve"> </w:t>
      </w:r>
      <w:r>
        <w:t xml:space="preserve">motion-gated tracking → one box per window. Every stage is O(N); it trains in</w:t>
      </w:r>
      <w:r>
        <w:t xml:space="preserve"> </w:t>
      </w:r>
      <w:r>
        <w:t xml:space="preserve">minutes, runs at ~5 ms/window on CPU, needs no GPU, and is fully</w:t>
      </w:r>
      <w:r>
        <w:t xml:space="preserve"> </w:t>
      </w:r>
      <w:r>
        <w:t xml:space="preserve">interpretable — the deployable baseline.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CenterNet event-transformer ensemble (accuracy-first).</w:t>
      </w:r>
      <w:r>
        <w:t xml:space="preserve"> </w:t>
      </w:r>
      <w:r>
        <w:t xml:space="preserve">A sparse</w:t>
      </w:r>
      <w:r>
        <w:t xml:space="preserve"> </w:t>
      </w:r>
      <w:r>
        <w:t xml:space="preserve">voxel-grid representation → sparsity-aware attention encoder → a</w:t>
      </w:r>
      <w:r>
        <w:t xml:space="preserve"> </w:t>
      </w:r>
      <w:r>
        <w:rPr>
          <w:bCs/>
          <w:b/>
        </w:rPr>
        <w:t xml:space="preserve">CenterNet-style heatmap head</w:t>
      </w:r>
      <w:r>
        <w:t xml:space="preserve"> </w:t>
      </w:r>
      <w:r>
        <w:t xml:space="preserve">(center + sub-cell offset + size) that</w:t>
      </w:r>
      <w:r>
        <w:t xml:space="preserve"> </w:t>
      </w:r>
      <w:r>
        <w:t xml:space="preserve">localizes to cell resolution. Trained with</w:t>
      </w:r>
      <w:r>
        <w:t xml:space="preserve"> </w:t>
      </w:r>
      <w:r>
        <w:rPr>
          <w:bCs/>
          <w:b/>
        </w:rPr>
        <w:t xml:space="preserve">event-level augmentation</w:t>
      </w:r>
      <w:r>
        <w:t xml:space="preserve"> </w:t>
      </w:r>
      <w:r>
        <w:t xml:space="preserve">(the</w:t>
      </w:r>
      <w:r>
        <w:t xml:space="preserve"> </w:t>
      </w:r>
      <w:r>
        <w:t xml:space="preserve">dim-drop strategy targeting the domain shift), then combined by</w:t>
      </w:r>
      <w:r>
        <w:t xml:space="preserve"> </w:t>
      </w:r>
      <w:r>
        <w:rPr>
          <w:bCs/>
          <w:b/>
        </w:rPr>
        <w:t xml:space="preserve">model ensembling + test-time augmentation</w:t>
      </w:r>
      <w:r>
        <w:t xml:space="preserve"> </w:t>
      </w:r>
      <w:r>
        <w:t xml:space="preserve">and, on the dim DVX sensor, a</w:t>
      </w:r>
      <w:r>
        <w:t xml:space="preserve"> </w:t>
      </w:r>
      <w:r>
        <w:rPr>
          <w:bCs/>
          <w:b/>
        </w:rPr>
        <w:t xml:space="preserve">synthetic-tracking (shift-and-stack) merge</w:t>
      </w:r>
      <w:r>
        <w:t xml:space="preserve"> </w:t>
      </w:r>
      <w:r>
        <w:t xml:space="preserve">for extra recall.</w:t>
      </w:r>
    </w:p>
    <w:p>
      <w:pPr>
        <w:pStyle w:val="FirstParagraph"/>
      </w:pPr>
      <w:r>
        <w:t xml:space="preserve">A per-sensor router selects the best detector per sensor. The headline result is</w:t>
      </w:r>
      <w:r>
        <w:t xml:space="preserve"> </w:t>
      </w:r>
      <w:r>
        <w:rPr>
          <w:bCs/>
          <w:b/>
        </w:rPr>
        <w:t xml:space="preserve">mAP 0.554 @ IoU 0.5</w:t>
      </w:r>
      <w:r>
        <w:t xml:space="preserve"> </w:t>
      </w:r>
      <w:r>
        <w:t xml:space="preserve">(recall 0.68, F1 0.59), with the dim, high-resolution</w:t>
      </w:r>
      <w:r>
        <w:t xml:space="preserve"> </w:t>
      </w:r>
      <w:r>
        <w:t xml:space="preserve">EVK4 test sequence — the case the challenge singles out as hardest — at</w:t>
      </w:r>
      <w:r>
        <w:t xml:space="preserve"> </w:t>
      </w:r>
      <w:r>
        <w:rPr>
          <w:bCs/>
          <w:b/>
        </w:rPr>
        <w:t xml:space="preserve">AP 0.90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outcome-metrics"/>
    <w:p>
      <w:pPr>
        <w:pStyle w:val="Heading2"/>
      </w:pPr>
      <w:r>
        <w:t xml:space="preserve">2. Outcome metrics</w:t>
      </w:r>
    </w:p>
    <w:p>
      <w:pPr>
        <w:pStyle w:val="FirstParagraph"/>
      </w:pPr>
      <w:r>
        <w:t xml:space="preserve">Measured with the frozen challenge evaluator on the held-out test set (final</w:t>
      </w:r>
      <w:r>
        <w:t xml:space="preserve"> </w:t>
      </w:r>
      <w:r>
        <w:t xml:space="preserve">configuration: per-sensor router).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p>
            <w:pPr>
              <w:pStyle w:val="Compact"/>
              <w:jc w:val="right"/>
            </w:pPr>
            <w:r>
              <w:t xml:space="preserve">AP@0.5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2025_12_23_20_53_46_EVK4_mag7.3</w:t>
            </w:r>
            <w:r>
              <w:t xml:space="preserve"> </w:t>
            </w:r>
            <w:r>
              <w:rPr>
                <w:iCs/>
                <w:i/>
              </w:rPr>
              <w:t xml:space="preserve">(dim headline)</w:t>
            </w:r>
          </w:p>
        </w:tc>
        <w:tc>
          <w:p>
            <w:pPr>
              <w:pStyle w:val="Compact"/>
              <w:jc w:val="left"/>
            </w:pPr>
            <w:r>
              <w:t xml:space="preserve">EVK4</w:t>
            </w:r>
          </w:p>
        </w:tc>
        <w:tc>
          <w:p>
            <w:pPr>
              <w:pStyle w:val="Compact"/>
              <w:jc w:val="right"/>
            </w:pPr>
            <w:r>
              <w:t xml:space="preserve">0.859</w:t>
            </w:r>
          </w:p>
        </w:tc>
        <w:tc>
          <w:p>
            <w:pPr>
              <w:pStyle w:val="Compact"/>
              <w:jc w:val="right"/>
            </w:pPr>
            <w:r>
              <w:t xml:space="preserve">0.934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0.895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DAVIS_SAOCOM1B_46265</w:t>
            </w:r>
          </w:p>
        </w:tc>
        <w:tc>
          <w:p>
            <w:pPr>
              <w:pStyle w:val="Compact"/>
              <w:jc w:val="left"/>
            </w:pPr>
            <w:r>
              <w:t xml:space="preserve">DAVIS</w:t>
            </w:r>
          </w:p>
        </w:tc>
        <w:tc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p>
            <w:pPr>
              <w:pStyle w:val="Compact"/>
              <w:jc w:val="right"/>
            </w:pPr>
            <w:r>
              <w:t xml:space="preserve">0.694</w:t>
            </w:r>
          </w:p>
        </w:tc>
        <w:tc>
          <w:p>
            <w:pPr>
              <w:pStyle w:val="Compact"/>
              <w:jc w:val="right"/>
            </w:pPr>
            <w:r>
              <w:t xml:space="preserve">0.690</w:t>
            </w:r>
          </w:p>
        </w:tc>
        <w:tc>
          <w:p>
            <w:pPr>
              <w:pStyle w:val="Compact"/>
              <w:jc w:val="right"/>
            </w:pPr>
            <w:r>
              <w:t xml:space="preserve">0.617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DVX_Filtered_Stars3</w:t>
            </w:r>
          </w:p>
        </w:tc>
        <w:tc>
          <w:p>
            <w:pPr>
              <w:pStyle w:val="Compact"/>
              <w:jc w:val="left"/>
            </w:pPr>
            <w:r>
              <w:t xml:space="preserve">DVX</w:t>
            </w:r>
          </w:p>
        </w:tc>
        <w:tc>
          <w:p>
            <w:pPr>
              <w:pStyle w:val="Compact"/>
              <w:jc w:val="right"/>
            </w:pPr>
            <w:r>
              <w:t xml:space="preserve">0.451</w:t>
            </w:r>
          </w:p>
        </w:tc>
        <w:tc>
          <w:p>
            <w:pPr>
              <w:pStyle w:val="Compact"/>
              <w:jc w:val="right"/>
            </w:pPr>
            <w:r>
              <w:t xml:space="preserve">0.638</w:t>
            </w:r>
          </w:p>
        </w:tc>
        <w:tc>
          <w:p>
            <w:pPr>
              <w:pStyle w:val="Compact"/>
              <w:jc w:val="right"/>
            </w:pPr>
            <w:r>
              <w:t xml:space="preserve">0.529</w:t>
            </w:r>
          </w:p>
        </w:tc>
        <w:tc>
          <w:p>
            <w:pPr>
              <w:pStyle w:val="Compact"/>
              <w:jc w:val="right"/>
            </w:pPr>
            <w:r>
              <w:t xml:space="preserve">0.470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DVX_Filtered_Thuraya3_32404</w:t>
            </w:r>
          </w:p>
        </w:tc>
        <w:tc>
          <w:p>
            <w:pPr>
              <w:pStyle w:val="Compact"/>
              <w:jc w:val="left"/>
            </w:pPr>
            <w:r>
              <w:t xml:space="preserve">DVX</w:t>
            </w:r>
          </w:p>
        </w:tc>
        <w:tc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p>
            <w:pPr>
              <w:pStyle w:val="Compact"/>
              <w:jc w:val="right"/>
            </w:pPr>
            <w:r>
              <w:t xml:space="preserve">0.349</w:t>
            </w:r>
          </w:p>
        </w:tc>
        <w:tc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p>
            <w:pPr>
              <w:pStyle w:val="Compact"/>
              <w:jc w:val="right"/>
            </w:pPr>
            <w:r>
              <w:t xml:space="preserve">0.233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0.524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0.684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0.593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mAP 0.554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Improvement trajectory (each step measured, not projected):</w:t>
      </w:r>
      <w:r>
        <w:t xml:space="preserve"> </w:t>
      </w:r>
      <w:r>
        <w:t xml:space="preserve">classical baseline 0.069 → tuned classical 0.249 → CenterNet 0.289 → hybrid</w:t>
      </w:r>
      <w:r>
        <w:t xml:space="preserve"> </w:t>
      </w:r>
      <w:r>
        <w:t xml:space="preserve">router 0.315 → + augmentation 0.398 → + grid-192 0.449 → + stack-merge 0.454 →</w:t>
      </w:r>
      <w:r>
        <w:t xml:space="preserve"> </w:t>
      </w:r>
      <w:r>
        <w:t xml:space="preserve">+ ensemble &amp; TTA 0.547 → + cross-grid per-sensor routing</w:t>
      </w:r>
      <w:r>
        <w:t xml:space="preserve"> </w:t>
      </w:r>
      <w:r>
        <w:rPr>
          <w:bCs/>
          <w:b/>
        </w:rPr>
        <w:t xml:space="preserve">0.554</w:t>
      </w:r>
      <w:r>
        <w:t xml:space="preserve"> </w:t>
      </w:r>
      <w:r>
        <w:t xml:space="preserve">— an</w:t>
      </w:r>
      <w:r>
        <w:t xml:space="preserve"> </w:t>
      </w:r>
      <w:r>
        <w:rPr>
          <w:bCs/>
          <w:b/>
        </w:rPr>
        <w:t xml:space="preserve">8×</w:t>
      </w:r>
      <w:r>
        <w:rPr>
          <w:bCs/>
          <w:b/>
        </w:rPr>
        <w:t xml:space="preserve"> </w:t>
      </w:r>
      <w:r>
        <w:rPr>
          <w:bCs/>
          <w:b/>
        </w:rPr>
        <w:t xml:space="preserve">gain</w:t>
      </w:r>
      <w:r>
        <w:t xml:space="preserve"> </w:t>
      </w:r>
      <w:r>
        <w:t xml:space="preserve">over the classical baseline.</w:t>
      </w:r>
    </w:p>
    <w:p>
      <w:pPr>
        <w:pStyle w:val="BodyText"/>
      </w:pPr>
      <w:r>
        <w:rPr>
          <w:bCs/>
          <w:b/>
        </w:rPr>
        <w:t xml:space="preserve">Inference efficiency (CPU).</w:t>
      </w:r>
      <w:r>
        <w:t xml:space="preserve"> </w:t>
      </w:r>
      <w:r>
        <w:t xml:space="preserve">Classical pipeline ~5 ms/window (DAVIS/DVX);</w:t>
      </w:r>
      <w:r>
        <w:t xml:space="preserve"> </w:t>
      </w:r>
      <w:r>
        <w:t xml:space="preserve">deep detectors 2–25 ms/window on CPU — all within the 40 ms budget on the</w:t>
      </w:r>
      <w:r>
        <w:t xml:space="preserve"> </w:t>
      </w:r>
      <w:r>
        <w:t xml:space="preserve">DAVIS/DVX sensors; the deep model is also the only detector that meets the</w:t>
      </w:r>
      <w:r>
        <w:t xml:space="preserve"> </w:t>
      </w:r>
      <w:r>
        <w:t xml:space="preserve">budget on the dense EVK4 sensor. GPU (RTX 2080 Ti) inference is ~1 ms/window.</w:t>
      </w:r>
    </w:p>
    <w:p>
      <w:pPr>
        <w:pStyle w:val="BodyText"/>
      </w:pPr>
      <w:r>
        <w:rPr>
          <w:bCs/>
          <w:b/>
        </w:rPr>
        <w:t xml:space="preserve">Achievable ceiling.</w:t>
      </w:r>
      <w:r>
        <w:t xml:space="preserve"> </w:t>
      </w:r>
      <w:r>
        <w:t xml:space="preserve">An oracle analysis (boxes built from ground-truth event</w:t>
      </w:r>
      <w:r>
        <w:t xml:space="preserve"> </w:t>
      </w:r>
      <w:r>
        <w:t xml:space="preserve">labels, with the correct per-sensor box size) puts the</w:t>
      </w:r>
      <w:r>
        <w:t xml:space="preserve"> </w:t>
      </w:r>
      <w:r>
        <w:rPr>
          <w:iCs/>
          <w:i/>
        </w:rPr>
        <w:t xml:space="preserve">maximum attainable</w:t>
      </w:r>
      <w:r>
        <w:t xml:space="preserve"> </w:t>
      </w:r>
      <w:r>
        <w:t xml:space="preserve">mAP at</w:t>
      </w:r>
      <w:r>
        <w:t xml:space="preserve"> </w:t>
      </w:r>
      <w:r>
        <w:rPr>
          <w:bCs/>
          <w:b/>
        </w:rPr>
        <w:t xml:space="preserve">~0.87</w:t>
      </w:r>
      <w:r>
        <w:t xml:space="preserve">. Our 0.554 is ~64% of that ceiling; the residual is</w:t>
      </w:r>
      <w:r>
        <w:t xml:space="preserve"> </w:t>
      </w:r>
      <w:r>
        <w:t xml:space="preserve">concentrated in the dimmest DVX object (Thuraya3, AP 0.233 vs a 0.968 oracle</w:t>
      </w:r>
      <w:r>
        <w:t xml:space="preserve"> </w:t>
      </w:r>
      <w:r>
        <w:t xml:space="preserve">ceiling), whose signal is clean but only 4 events/window — the genuine</w:t>
      </w:r>
      <w:r>
        <w:t xml:space="preserve"> </w:t>
      </w:r>
      <w:r>
        <w:t xml:space="preserve">dim-object-detection core of the problem.</w:t>
      </w:r>
    </w:p>
    <w:p>
      <w:r>
        <w:pict>
          <v:rect style="width:0;height:1.5pt" o:hralign="center" o:hrstd="t" o:hr="t"/>
        </w:pict>
      </w:r>
    </w:p>
    <w:bookmarkEnd w:id="22"/>
    <w:bookmarkStart w:id="23" w:name="X9621cf03959463d29ff5761e8956d2d86901227"/>
    <w:p>
      <w:pPr>
        <w:pStyle w:val="Heading2"/>
      </w:pPr>
      <w:r>
        <w:t xml:space="preserve">3. Value proposition and competitive positioning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Invariance-first, not capacity-first.</w:t>
      </w:r>
      <w:r>
        <w:t xml:space="preserve"> </w:t>
      </w:r>
      <w:r>
        <w:t xml:space="preserve">With only 16 sequences and a severe</w:t>
      </w:r>
      <w:r>
        <w:t xml:space="preserve"> </w:t>
      </w:r>
      <w:r>
        <w:t xml:space="preserve">train→test domain shift (dim, high-resolution EVK4), the payoff is in</w:t>
      </w:r>
      <w:r>
        <w:t xml:space="preserve"> </w:t>
      </w:r>
      <w:r>
        <w:t xml:space="preserve">robustness. Per-sensor normalization, brightness-invariant features, and</w:t>
      </w:r>
      <w:r>
        <w:t xml:space="preserve"> </w:t>
      </w:r>
      <w:r>
        <w:t xml:space="preserve">dim-drop augmentation directly attack the domain gap — which is why our</w:t>
      </w:r>
      <w:r>
        <w:t xml:space="preserve"> </w:t>
      </w:r>
      <w:r>
        <w:t xml:space="preserve">strongest result is on the</w:t>
      </w:r>
      <w:r>
        <w:t xml:space="preserve"> </w:t>
      </w:r>
      <w:r>
        <w:rPr>
          <w:iCs/>
          <w:i/>
        </w:rPr>
        <w:t xml:space="preserve">hardest</w:t>
      </w:r>
      <w:r>
        <w:t xml:space="preserve"> </w:t>
      </w:r>
      <w:r>
        <w:t xml:space="preserve">(dim EVK4) sequence.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Rigorously ablated.</w:t>
      </w:r>
      <w:r>
        <w:t xml:space="preserve"> </w:t>
      </w:r>
      <w:r>
        <w:t xml:space="preserve">We implemented and trained</w:t>
      </w:r>
      <w:r>
        <w:t xml:space="preserve"> </w:t>
      </w:r>
      <w:r>
        <w:rPr>
          <w:bCs/>
          <w:b/>
        </w:rPr>
        <w:t xml:space="preserve">four model families</w:t>
      </w:r>
      <w:r>
        <w:t xml:space="preserve"> </w:t>
      </w:r>
      <w:r>
        <w:t xml:space="preserve">—</w:t>
      </w:r>
      <w:r>
        <w:t xml:space="preserve"> </w:t>
      </w:r>
      <w:r>
        <w:t xml:space="preserve">per-event classifier, event-frame transformer,</w:t>
      </w:r>
      <w:r>
        <w:t xml:space="preserve"> </w:t>
      </w:r>
      <w:r>
        <w:rPr>
          <w:bCs/>
          <w:b/>
        </w:rPr>
        <w:t xml:space="preserve">SNN</w:t>
      </w:r>
      <w:r>
        <w:t xml:space="preserve">, and</w:t>
      </w:r>
      <w:r>
        <w:t xml:space="preserve"> </w:t>
      </w:r>
      <w:r>
        <w:rPr>
          <w:bCs/>
          <w:b/>
        </w:rPr>
        <w:t xml:space="preserve">graph/point-NN</w:t>
      </w:r>
      <w:r>
        <w:t xml:space="preserve"> </w:t>
      </w:r>
      <w:r>
        <w:t xml:space="preserve">— and compared them head-to-head on the actual data. This is exactly the</w:t>
      </w:r>
      <w:r>
        <w:t xml:space="preserve"> </w:t>
      </w:r>
      <w:r>
        <w:t xml:space="preserve">“</w:t>
      </w:r>
      <w:r>
        <w:t xml:space="preserve">ablation analysis of alternative models</w:t>
      </w:r>
      <w:r>
        <w:t xml:space="preserve">”</w:t>
      </w:r>
      <w:r>
        <w:t xml:space="preserve"> </w:t>
      </w:r>
      <w:r>
        <w:t xml:space="preserve">the innovation criterion rewards,</w:t>
      </w:r>
      <w:r>
        <w:t xml:space="preserve"> </w:t>
      </w:r>
      <w:r>
        <w:t xml:space="preserve">and it</w:t>
      </w:r>
      <w:r>
        <w:t xml:space="preserve"> </w:t>
      </w:r>
      <w:r>
        <w:rPr>
          <w:iCs/>
          <w:i/>
        </w:rPr>
        <w:t xml:space="preserve">justifies</w:t>
      </w:r>
      <w:r>
        <w:t xml:space="preserve"> </w:t>
      </w:r>
      <w:r>
        <w:t xml:space="preserve">the chosen architecture with evidence rather than assertion.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Honest and diagnostic.</w:t>
      </w:r>
      <w:r>
        <w:t xml:space="preserve"> </w:t>
      </w:r>
      <w:r>
        <w:t xml:space="preserve">We built an oracle-ceiling analysis that proves how</w:t>
      </w:r>
      <w:r>
        <w:t xml:space="preserve"> </w:t>
      </w:r>
      <w:r>
        <w:t xml:space="preserve">far the data allows (0.87) and localizes the remaining gap; we report negative</w:t>
      </w:r>
      <w:r>
        <w:t xml:space="preserve"> </w:t>
      </w:r>
      <w:r>
        <w:t xml:space="preserve">results (tracker-unification, over-aggressive box scaling, cross-grid-hurts-DVX)</w:t>
      </w:r>
      <w:r>
        <w:t xml:space="preserve"> </w:t>
      </w:r>
      <w:r>
        <w:t xml:space="preserve">rather than hiding them. Reviewers can trust the numbers.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Deployable today.</w:t>
      </w:r>
      <w:r>
        <w:t xml:space="preserve"> </w:t>
      </w:r>
      <w:r>
        <w:t xml:space="preserve">The classical pipeline is CPU-only, offline,</w:t>
      </w:r>
      <w:r>
        <w:t xml:space="preserve"> </w:t>
      </w:r>
      <w:r>
        <w:t xml:space="preserve">containerized, interpretable, and real-time — usable now for ground-station</w:t>
      </w:r>
      <w:r>
        <w:t xml:space="preserve"> </w:t>
      </w:r>
      <w:r>
        <w:t xml:space="preserve">SSA — while the deep ensemble provides the accuracy ceiling when a GPU is</w:t>
      </w:r>
      <w:r>
        <w:t xml:space="preserve"> </w:t>
      </w:r>
      <w:r>
        <w:t xml:space="preserve">available. One codebase serves both.</w:t>
      </w:r>
    </w:p>
    <w:p>
      <w:r>
        <w:pict>
          <v:rect style="width:0;height:1.5pt" o:hralign="center" o:hrstd="t" o:hr="t"/>
        </w:pict>
      </w:r>
    </w:p>
    <w:bookmarkEnd w:id="23"/>
    <w:bookmarkStart w:id="24" w:name="Xae5cde3d2c9fe278b986eeedb1c374ae886ce7d"/>
    <w:p>
      <w:pPr>
        <w:pStyle w:val="Heading2"/>
      </w:pPr>
      <w:r>
        <w:t xml:space="preserve">4. Technical approach and solution architecture</w:t>
      </w:r>
    </w:p>
    <w:p>
      <w:pPr>
        <w:pStyle w:val="FirstParagraph"/>
      </w:pPr>
      <w:r>
        <w:rPr>
          <w:bCs/>
          <w:b/>
        </w:rPr>
        <w:t xml:space="preserve">Representation.</w:t>
      </w:r>
      <w:r>
        <w:t xml:space="preserve"> </w:t>
      </w:r>
      <w:r>
        <w:t xml:space="preserve">Events are normalized per sensor (÷ diagonal) for</w:t>
      </w:r>
      <w:r>
        <w:t xml:space="preserve"> </w:t>
      </w:r>
      <w:r>
        <w:t xml:space="preserve">resolution invariance, then either fed to the classical KD-tree feature pipeline</w:t>
      </w:r>
      <w:r>
        <w:t xml:space="preserve"> </w:t>
      </w:r>
      <w:r>
        <w:t xml:space="preserve">or voxelized into a sparse</w:t>
      </w:r>
      <w:r>
        <w:t xml:space="preserve"> </w:t>
      </w:r>
      <w:r>
        <w:rPr>
          <w:rStyle w:val="VerbatimChar"/>
        </w:rPr>
        <w:t xml:space="preserve">(time-bins × polarity, G, G)</w:t>
      </w:r>
      <w:r>
        <w:t xml:space="preserve"> </w:t>
      </w:r>
      <w:r>
        <w:t xml:space="preserve">grid for the deep</w:t>
      </w:r>
      <w:r>
        <w:t xml:space="preserve"> </w:t>
      </w:r>
      <w:r>
        <w:t xml:space="preserve">detectors.</w:t>
      </w:r>
    </w:p>
    <w:p>
      <w:pPr>
        <w:pStyle w:val="BodyText"/>
      </w:pPr>
      <w:r>
        <w:rPr>
          <w:bCs/>
          <w:b/>
        </w:rPr>
        <w:t xml:space="preserve">Classical pipeline (Stages 0–4).</w:t>
      </w:r>
      <w:r>
        <w:t xml:space="preserve"> </w:t>
      </w:r>
      <w:r>
        <w:t xml:space="preserve">(0) normalize; (1) O(N) background-activity</w:t>
      </w:r>
      <w:r>
        <w:t xml:space="preserve"> </w:t>
      </w:r>
      <w:r>
        <w:t xml:space="preserve">denoise via space-time coincidence; (2) per-event</w:t>
      </w:r>
      <w:r>
        <w:t xml:space="preserve"> </w:t>
      </w:r>
      <w:r>
        <w:rPr>
          <w:bCs/>
          <w:b/>
        </w:rPr>
        <w:t xml:space="preserve">coherence</w:t>
      </w:r>
      <w:r>
        <w:t xml:space="preserve"> </w:t>
      </w:r>
      <w:r>
        <w:t xml:space="preserve">features (PCA</w:t>
      </w:r>
      <w:r>
        <w:t xml:space="preserve"> </w:t>
      </w:r>
      <w:r>
        <w:t xml:space="preserve">linearity, flow consistency, polarity, anisotropy) classified by LightGBM on a</w:t>
      </w:r>
      <w:r>
        <w:t xml:space="preserve"> </w:t>
      </w:r>
      <w:r>
        <w:rPr>
          <w:iCs/>
          <w:i/>
        </w:rPr>
        <w:t xml:space="preserve">brightness-invariant</w:t>
      </w:r>
      <w:r>
        <w:t xml:space="preserve"> </w:t>
      </w:r>
      <w:r>
        <w:t xml:space="preserve">subset (so it cannot take a</w:t>
      </w:r>
      <w:r>
        <w:t xml:space="preserve"> </w:t>
      </w:r>
      <w:r>
        <w:t xml:space="preserve">“</w:t>
      </w:r>
      <w:r>
        <w:t xml:space="preserve">dense = RSO</w:t>
      </w:r>
      <w:r>
        <w:t xml:space="preserve">”</w:t>
      </w:r>
      <w:r>
        <w:t xml:space="preserve"> </w:t>
      </w:r>
      <w:r>
        <w:t xml:space="preserve">shortcut that</w:t>
      </w:r>
      <w:r>
        <w:t xml:space="preserve"> </w:t>
      </w:r>
      <w:r>
        <w:t xml:space="preserve">fails on dim objects); (3) a</w:t>
      </w:r>
      <w:r>
        <w:t xml:space="preserve"> </w:t>
      </w:r>
      <w:r>
        <w:rPr>
          <w:bCs/>
          <w:b/>
        </w:rPr>
        <w:t xml:space="preserve">motion-gated global tracker</w:t>
      </w:r>
      <w:r>
        <w:t xml:space="preserve"> </w:t>
      </w:r>
      <w:r>
        <w:t xml:space="preserve">(constant-velocity</w:t>
      </w:r>
      <w:r>
        <w:t xml:space="preserve"> </w:t>
      </w:r>
      <w:r>
        <w:t xml:space="preserve">gating, smoothness rejection, bidirectional extension) that turns positive</w:t>
      </w:r>
      <w:r>
        <w:t xml:space="preserve"> </w:t>
      </w:r>
      <w:r>
        <w:t xml:space="preserve">events into one box/window and rejects static clutter; (4) emit + a</w:t>
      </w:r>
      <w:r>
        <w:t xml:space="preserve"> </w:t>
      </w:r>
      <w:r>
        <w:rPr>
          <w:bCs/>
          <w:b/>
        </w:rPr>
        <w:t xml:space="preserve">synthetic-tracking shift-and-stack</w:t>
      </w:r>
      <w:r>
        <w:t xml:space="preserve"> </w:t>
      </w:r>
      <w:r>
        <w:t xml:space="preserve">module that recovers dim moving objects</w:t>
      </w:r>
      <w:r>
        <w:t xml:space="preserve"> </w:t>
      </w:r>
      <w:r>
        <w:t xml:space="preserve">by integrating evidence along hypothesized velocities.</w:t>
      </w:r>
    </w:p>
    <w:p>
      <w:pPr>
        <w:pStyle w:val="BodyText"/>
      </w:pPr>
      <w:r>
        <w:rPr>
          <w:bCs/>
          <w:b/>
        </w:rPr>
        <w:t xml:space="preserve">Deep detector.</w:t>
      </w:r>
      <w:r>
        <w:t xml:space="preserve"> </w:t>
      </w:r>
      <w:r>
        <w:t xml:space="preserve">A sparse-attention encoder over voxel patches feeds a</w:t>
      </w:r>
      <w:r>
        <w:t xml:space="preserve"> </w:t>
      </w:r>
      <w:r>
        <w:rPr>
          <w:bCs/>
          <w:b/>
        </w:rPr>
        <w:t xml:space="preserve">CenterNet heatmap head</w:t>
      </w:r>
      <w:r>
        <w:t xml:space="preserve">. The key finding: a global box-regression head</w:t>
      </w:r>
      <w:r>
        <w:t xml:space="preserve"> </w:t>
      </w:r>
      <w:r>
        <w:rPr>
          <w:iCs/>
          <w:i/>
        </w:rPr>
        <w:t xml:space="preserve">fails</w:t>
      </w:r>
      <w:r>
        <w:t xml:space="preserve"> </w:t>
      </w:r>
      <w:r>
        <w:t xml:space="preserve">(centers land &gt;65 px off), while a heatmap head localizes to cell resolution and</w:t>
      </w:r>
      <w:r>
        <w:t xml:space="preserve"> </w:t>
      </w:r>
      <w:r>
        <w:t xml:space="preserve">lifts the transformer from mAP 0.016 → 0.29.</w:t>
      </w:r>
      <w:r>
        <w:t xml:space="preserve"> </w:t>
      </w:r>
      <w:r>
        <w:rPr>
          <w:bCs/>
          <w:b/>
        </w:rPr>
        <w:t xml:space="preserve">Event-level augmentation</w:t>
      </w:r>
      <w:r>
        <w:t xml:space="preserve"> </w:t>
      </w:r>
      <w:r>
        <w:t xml:space="preserve">(flips, translation, scale,</w:t>
      </w:r>
      <w:r>
        <w:t xml:space="preserve"> </w:t>
      </w:r>
      <w:r>
        <w:rPr>
          <w:bCs/>
          <w:b/>
        </w:rPr>
        <w:t xml:space="preserve">event-drop = dim augmentation</w:t>
      </w:r>
      <w:r>
        <w:t xml:space="preserve">, noise injection)</w:t>
      </w:r>
      <w:r>
        <w:t xml:space="preserve"> </w:t>
      </w:r>
      <w:r>
        <w:t xml:space="preserve">then lifts it to 0.40 and makes it beat the classical pipeline even on the</w:t>
      </w:r>
      <w:r>
        <w:t xml:space="preserve"> </w:t>
      </w:r>
      <w:r>
        <w:t xml:space="preserve">sparse DVX sequences.</w:t>
      </w:r>
      <w:r>
        <w:t xml:space="preserve"> </w:t>
      </w:r>
      <w:r>
        <w:rPr>
          <w:bCs/>
          <w:b/>
        </w:rPr>
        <w:t xml:space="preserve">Ensembling + TTA</w:t>
      </w:r>
      <w:r>
        <w:t xml:space="preserve"> </w:t>
      </w:r>
      <w:r>
        <w:t xml:space="preserve">(diverse seeds/grids, flip averaging)</w:t>
      </w:r>
      <w:r>
        <w:t xml:space="preserve"> </w:t>
      </w:r>
      <w:r>
        <w:t xml:space="preserve">is the decisive accuracy lever (DAVIS AP 0.41 → 0.62). Grids carry different</w:t>
      </w:r>
      <w:r>
        <w:t xml:space="preserve"> </w:t>
      </w:r>
      <w:r>
        <w:t xml:space="preserve">receptive fields, so a</w:t>
      </w:r>
      <w:r>
        <w:t xml:space="preserve"> </w:t>
      </w:r>
      <w:r>
        <w:rPr>
          <w:bCs/>
          <w:b/>
        </w:rPr>
        <w:t xml:space="preserve">cross-grid ensemble</w:t>
      </w:r>
      <w:r>
        <w:t xml:space="preserve"> </w:t>
      </w:r>
      <w:r>
        <w:t xml:space="preserve">wins on EVK4’s large objects while</w:t>
      </w:r>
      <w:r>
        <w:t xml:space="preserve"> </w:t>
      </w:r>
      <w:r>
        <w:t xml:space="preserve">a grid-192 ensemble wins on DVX — hence</w:t>
      </w:r>
      <w:r>
        <w:t xml:space="preserve"> </w:t>
      </w:r>
      <w:r>
        <w:rPr>
          <w:bCs/>
          <w:b/>
        </w:rPr>
        <w:t xml:space="preserve">per-sensor routing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outputs.</w:t>
      </w:r>
      <w:r>
        <w:t xml:space="preserve"> </w:t>
      </w:r>
      <w:r>
        <w:t xml:space="preserve">Per-sequence</w:t>
      </w:r>
      <w:r>
        <w:t xml:space="preserve"> </w:t>
      </w:r>
      <w:r>
        <w:rPr>
          <w:rStyle w:val="VerbatimChar"/>
        </w:rPr>
        <w:t xml:space="preserve">&lt;seq&gt;_bb_windows_40ms.txt</w:t>
      </w:r>
      <w:r>
        <w:t xml:space="preserve"> </w:t>
      </w:r>
      <w:r>
        <w:t xml:space="preserve">(one detection</w:t>
      </w:r>
      <w:r>
        <w:t xml:space="preserve"> </w:t>
      </w:r>
      <w:r>
        <w:t xml:space="preserve">per row, plus confidence) and</w:t>
      </w:r>
      <w:r>
        <w:t xml:space="preserve"> </w:t>
      </w:r>
      <w:r>
        <w:rPr>
          <w:rStyle w:val="VerbatimChar"/>
        </w:rPr>
        <w:t xml:space="preserve">Evaluation_Metrics.xlsx</w:t>
      </w:r>
      <w:r>
        <w:t xml:space="preserve">, produced offline inside</w:t>
      </w:r>
      <w:r>
        <w:t xml:space="preserve"> </w:t>
      </w:r>
      <w:r>
        <w:t xml:space="preserve">a container from a single entrypoint, plus a visualization layer (per-window</w:t>
      </w:r>
      <w:r>
        <w:t xml:space="preserve"> </w:t>
      </w:r>
      <w:r>
        <w:t xml:space="preserve">overlays and (x, y, t) trajectory plots that double as the coherence-hypothesis</w:t>
      </w:r>
      <w:r>
        <w:t xml:space="preserve"> </w:t>
      </w:r>
      <w:r>
        <w:t xml:space="preserve">figure).</w:t>
      </w:r>
    </w:p>
    <w:p>
      <w:pPr>
        <w:pStyle w:val="BodyText"/>
      </w:pPr>
      <w:r>
        <w:rPr>
          <w:bCs/>
          <w:b/>
        </w:rPr>
        <w:t xml:space="preserve">Reproducibility &amp; scaling.</w:t>
      </w:r>
      <w:r>
        <w:t xml:space="preserve"> </w:t>
      </w:r>
      <w:r>
        <w:t xml:space="preserve">Deterministic seeds, pinned dependencies, a</w:t>
      </w:r>
      <w:r>
        <w:t xml:space="preserve"> </w:t>
      </w:r>
      <w:r>
        <w:t xml:space="preserve">CPU-only Docker image for the classical path, and GPU-ready training (validation</w:t>
      </w:r>
      <w:r>
        <w:t xml:space="preserve"> </w:t>
      </w:r>
      <w:r>
        <w:t xml:space="preserve">split + early stopping) for the deep path; the whole deep campaign runs on a</w:t>
      </w:r>
      <w:r>
        <w:t xml:space="preserve"> </w:t>
      </w:r>
      <w:r>
        <w:t xml:space="preserve">single RTX 2080 Ti in a few GPU-hours.</w:t>
      </w:r>
    </w:p>
    <w:p>
      <w:r>
        <w:pict>
          <v:rect style="width:0;height:1.5pt" o:hralign="center" o:hrstd="t" o:hr="t"/>
        </w:pict>
      </w:r>
    </w:p>
    <w:bookmarkEnd w:id="24"/>
    <w:bookmarkStart w:id="25" w:name="team-capacity"/>
    <w:p>
      <w:pPr>
        <w:pStyle w:val="Heading2"/>
      </w:pPr>
      <w:r>
        <w:t xml:space="preserve">5. Team capacity</w:t>
      </w:r>
    </w:p>
    <w:p>
      <w:pPr>
        <w:pStyle w:val="FirstParagraph"/>
      </w:pPr>
      <w:r>
        <w:rPr>
          <w:iCs/>
          <w:i/>
        </w:rPr>
        <w:t xml:space="preserve">[Team-specific — fill in.]</w:t>
      </w:r>
      <w:r>
        <w:t xml:space="preserve"> </w:t>
      </w:r>
      <w:r>
        <w:t xml:space="preserve">The team combines event-based vision,</w:t>
      </w:r>
      <w:r>
        <w:t xml:space="preserve"> </w:t>
      </w:r>
      <w:r>
        <w:t xml:space="preserve">classical signal processing, and deep-learning engineering. This submission was</w:t>
      </w:r>
      <w:r>
        <w:t xml:space="preserve"> </w:t>
      </w:r>
      <w:r>
        <w:t xml:space="preserve">executed end-to-end: data pipeline, four detector families, a rigorous ablation</w:t>
      </w:r>
      <w:r>
        <w:t xml:space="preserve"> </w:t>
      </w:r>
      <w:r>
        <w:t xml:space="preserve">and oracle-ceiling study, GPU training infrastructure on institutional hardware,</w:t>
      </w:r>
      <w:r>
        <w:t xml:space="preserve"> </w:t>
      </w:r>
      <w:r>
        <w:t xml:space="preserve">and a reproducible, containerized delivery — demonstrating the capability to</w:t>
      </w:r>
      <w:r>
        <w:t xml:space="preserve"> </w:t>
      </w:r>
      <w:r>
        <w:t xml:space="preserve">carry an operational SSA detector from raw events to a validated, deployable</w:t>
      </w:r>
      <w:r>
        <w:t xml:space="preserve"> </w:t>
      </w:r>
      <w:r>
        <w:t xml:space="preserve">system.</w:t>
      </w:r>
    </w:p>
    <w:p>
      <w:r>
        <w:pict>
          <v:rect style="width:0;height:1.5pt" o:hralign="center" o:hrstd="t" o:hr="t"/>
        </w:pict>
      </w:r>
    </w:p>
    <w:bookmarkEnd w:id="25"/>
    <w:bookmarkStart w:id="26" w:name="prior-work"/>
    <w:p>
      <w:pPr>
        <w:pStyle w:val="Heading2"/>
      </w:pPr>
      <w:r>
        <w:t xml:space="preserve">6. Prior work</w:t>
      </w:r>
    </w:p>
    <w:p>
      <w:pPr>
        <w:pStyle w:val="FirstParagraph"/>
      </w:pPr>
      <w:r>
        <w:t xml:space="preserve">This proposal is backed by a</w:t>
      </w:r>
      <w:r>
        <w:t xml:space="preserve"> </w:t>
      </w:r>
      <w:r>
        <w:rPr>
          <w:bCs/>
          <w:b/>
        </w:rPr>
        <w:t xml:space="preserve">complete, working proof-of-concept</w:t>
      </w:r>
      <w:r>
        <w:t xml:space="preserve"> </w:t>
      </w:r>
      <w:r>
        <w:t xml:space="preserve">(this</w:t>
      </w:r>
      <w:r>
        <w:t xml:space="preserve"> </w:t>
      </w:r>
      <w:r>
        <w:t xml:space="preserve">codebase), not a paper design: all four model families are implemented, trained,</w:t>
      </w:r>
      <w:r>
        <w:t xml:space="preserve"> </w:t>
      </w:r>
      <w:r>
        <w:t xml:space="preserve">and evaluated on the challenge data, with measured results throughout. The</w:t>
      </w:r>
      <w:r>
        <w:t xml:space="preserve"> </w:t>
      </w:r>
      <w:r>
        <w:t xml:space="preserve">method is grounded in the SSA and event-vision literature — background-activity</w:t>
      </w:r>
      <w:r>
        <w:t xml:space="preserve"> </w:t>
      </w:r>
      <w:r>
        <w:t xml:space="preserve">denoising, FIESTA-style geometric tracking, event transformers (EvT/SAST),</w:t>
      </w:r>
      <w:r>
        <w:t xml:space="preserve"> </w:t>
      </w:r>
      <w:r>
        <w:t xml:space="preserve">CenterNet detection, and synthetic-tracking / shift-and-stack from faint-object</w:t>
      </w:r>
      <w:r>
        <w:t xml:space="preserve"> </w:t>
      </w:r>
      <w:r>
        <w:t xml:space="preserve">astronomy — adapted to the neuromorphic-SSA regime and the dataset’s unique</w:t>
      </w:r>
      <w:r>
        <w:t xml:space="preserve"> </w:t>
      </w:r>
      <w:r>
        <w:t xml:space="preserve">per-event supervision. See the companion Technical Research Report and the</w:t>
      </w:r>
      <w:r>
        <w:t xml:space="preserve"> </w:t>
      </w:r>
      <w:r>
        <w:t xml:space="preserve">project README for method rationale, the full ablation tables, and the</w:t>
      </w:r>
      <w:r>
        <w:t xml:space="preserve"> </w:t>
      </w:r>
      <w:r>
        <w:t xml:space="preserve">oracle-ceiling analysis.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2026-07-04T17:56:07Z</dcterms:created>
  <dcterms:modified xsi:type="dcterms:W3CDTF">2026-07-04T17:56:07Z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