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CA1 Scenario 30: Digital Archive Contribution Service</w:t>
      </w:r>
    </w:p>
    <w:p>
      <w:pPr>
        <w:spacing w:after="140"/>
        <w:jc w:val="center"/>
      </w:pPr>
      <w:r>
        <w:rPr>
          <w:b/>
          <w:color w:val="008A84"/>
        </w:rPr>
        <w:t>Scenario CA1-30-DACS  |  Kerry Community Digital Archive</w:t>
      </w:r>
    </w:p>
    <w:tbl>
      <w:tblPr>
        <w:tblW w:type="auto" w:w="0"/>
        <w:tblLook w:firstColumn="1" w:firstRow="1" w:lastColumn="0" w:lastRow="0" w:noHBand="0" w:noVBand="1" w:val="04A0"/>
      </w:tblPr>
      <w:tblGrid>
        <w:gridCol w:w="9866"/>
      </w:tblGrid>
      <w:tr>
        <w:tc>
          <w:tcPr>
            <w:tcW w:type="dxa" w:w="9866"/>
            <w:shd w:fill="EAF2F8"/>
            <w:tcMar>
              <w:top w:w="150" w:type="dxa"/>
              <w:start w:w="150" w:type="dxa"/>
              <w:bottom w:w="150" w:type="dxa"/>
              <w:end w:w="150" w:type="dxa"/>
            </w:tcMar>
          </w:tcPr>
          <w:p>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pPr>
        <w:pStyle w:val="Heading2"/>
      </w:pPr>
      <w:r>
        <w:t>Organisation and current service</w:t>
      </w:r>
    </w:p>
    <w:p>
      <w:r>
        <w:t>Kerry Community Digital Archive receives photographs, documents, audio and video contributed by individuals and local organisations.</w:t>
      </w:r>
    </w:p>
    <w:p>
      <w:r>
        <w:t>Submission files, descriptions, ownership statements, permissions, review notes and publication decisions are stored across forms, folders and spreadsheets.</w:t>
      </w:r>
    </w:p>
    <w:p>
      <w:pPr>
        <w:pStyle w:val="Heading2"/>
      </w:pPr>
      <w:r>
        <w:t>Requests, eligibility and preparation</w:t>
      </w:r>
    </w:p>
    <w:p>
      <w:r>
        <w:t>A contribution may contain one item or a related collection. The contributor may own the material, act for another rights holder or be uncertain about ownership and permissions.</w:t>
      </w:r>
    </w:p>
    <w:p>
      <w:r>
        <w:t>Requests arrive through several channels and may be incomplete. Staff need to distinguish an initial expression of interest, a request awaiting evidence and a request ready for a decision. Priorities and exceptions are not applied consistently.</w:t>
      </w:r>
    </w:p>
    <w:p>
      <w:r>
        <w:t>Another person or organisation may assist with a request. Staff are uncertain what authority is required before detailed information or decisions can be shared.</w:t>
      </w:r>
    </w:p>
    <w:p>
      <w:pPr>
        <w:pStyle w:val="Heading2"/>
      </w:pPr>
      <w:r>
        <w:t>Allocation and coordination</w:t>
      </w:r>
    </w:p>
    <w:p>
      <w:r>
        <w:t>Review considers file quality, description, sensitivity, ownership evidence, access restrictions and relevance. An item can be preserved without being approved for public access.</w:t>
      </w:r>
    </w:p>
    <w:p>
      <w:r>
        <w:t>Capacity depends on a combination of people, places, resources and timing. A visible vacancy does not necessarily mean that every requirement is satisfied. Provisional allocations sometimes remain in place while essential information is still missing.</w:t>
      </w:r>
    </w:p>
    <w:p>
      <w:r>
        <w:t>Changes can affect several linked arrangements. Staff need to preserve the current confirmed position while retaining evidence of earlier decisions and versions.</w:t>
      </w:r>
    </w:p>
    <w:p>
      <w:pPr>
        <w:pStyle w:val="Heading2"/>
      </w:pPr>
      <w:r>
        <w:t>Progress, review and exceptions</w:t>
      </w:r>
    </w:p>
    <w:p>
      <w:r>
        <w:t>Staff record progress, decisions and outstanding actions using notes, messages and spreadsheets. Different teams use status terms differently, making it difficult to identify what is awaiting action and who is responsible.</w:t>
      </w:r>
    </w:p>
    <w:p>
      <w:r>
        <w:t>A planned activity may be changed, partially completed, paused or withdrawn. Staff need to distinguish an operational change from a formal decision and avoid treating silence as approval.</w:t>
      </w:r>
    </w:p>
    <w:p>
      <w:r>
        <w:t>Reviews may generate new actions, revised arrangements or escalation. Earlier evidence should not be overwritten when circumstances change.</w:t>
      </w:r>
    </w:p>
    <w:p>
      <w:pPr>
        <w:pStyle w:val="Heading2"/>
      </w:pPr>
      <w:r>
        <w:t>Information, reporting and scope</w:t>
      </w:r>
    </w:p>
    <w:p>
      <w:r>
        <w:t>The coordinator needs information about unallocated requests, provisional arrangements, capacity conflicts, overdue actions and incomplete records. External partners should receive only the information required for their role.</w:t>
      </w:r>
    </w:p>
    <w:p>
      <w:r>
        <w:t>Summary reporting is needed for management and funders without exposing unnecessary personal or commercially sensitive information. Connectivity may be unreliable during off-site work.</w:t>
      </w:r>
    </w:p>
    <w:p>
      <w:r>
        <w:t>The initial scope covers service coordination and records. Specialist professional systems, financial accounting and unrelated public website functions are outside scope.</w:t>
      </w:r>
    </w:p>
    <w:p>
      <w:pPr>
        <w:pStyle w:val="Heading2"/>
      </w:pPr>
      <w:r>
        <w:t>Stakeholder evidence</w:t>
      </w:r>
    </w:p>
    <w:p>
      <w:pPr>
        <w:pStyle w:val="ListBullet"/>
      </w:pPr>
      <w:r>
        <w:t>Coordinator: “A vacancy is not a match unless all of the important requirements are satisfied.”</w:t>
      </w:r>
    </w:p>
    <w:p>
      <w:pPr>
        <w:pStyle w:val="ListBullet"/>
      </w:pPr>
      <w:r>
        <w:t>Service user: “I need to know whether I am waiting for information, a decision or an outside organisation.”</w:t>
      </w:r>
    </w:p>
    <w:p>
      <w:pPr>
        <w:pStyle w:val="ListBullet"/>
      </w:pPr>
      <w:r>
        <w:t>Administrator: “Provisional arrangements can block capacity long after the original request has stalled.”</w:t>
      </w:r>
    </w:p>
    <w:p>
      <w:pPr>
        <w:pStyle w:val="ListBullet"/>
      </w:pPr>
      <w:r>
        <w:t>Partner representative: “I need the information required for my role, not the complete case history.”</w:t>
      </w:r>
    </w:p>
    <w:p>
      <w:pPr>
        <w:pStyle w:val="ListBullet"/>
      </w:pPr>
      <w:r>
        <w:t>Reviewer: “New information should be added without erasing the basis of the earlier decision.”</w:t>
      </w:r>
    </w:p>
    <w:p>
      <w:pPr>
        <w:pStyle w:val="ListBullet"/>
      </w:pPr>
      <w:r>
        <w:t>Manager: “We need consistent reasons for delay, withdrawal and incomplete outcomes.”</w:t>
      </w:r>
    </w:p>
    <w:p>
      <w:pPr>
        <w:pStyle w:val="Heading2"/>
      </w:pPr>
      <w:r>
        <w:t>Unresolved matters</w:t>
      </w:r>
    </w:p>
    <w:p>
      <w:r>
        <w:t>The scenario does not confirm every policy or decision. Clarification may be required about:</w:t>
      </w:r>
    </w:p>
    <w:p>
      <w:pPr>
        <w:pStyle w:val="ListBullet"/>
      </w:pPr>
      <w:r>
        <w:t>what information is required before a request is ready for decision;</w:t>
      </w:r>
    </w:p>
    <w:p>
      <w:pPr>
        <w:pStyle w:val="ListBullet"/>
      </w:pPr>
      <w:r>
        <w:t>how eligibility, priority and exceptions should be applied;</w:t>
      </w:r>
    </w:p>
    <w:p>
      <w:pPr>
        <w:pStyle w:val="ListBullet"/>
      </w:pPr>
      <w:r>
        <w:t>what authority is required when another person acts for the requester;</w:t>
      </w:r>
    </w:p>
    <w:p>
      <w:pPr>
        <w:pStyle w:val="ListBullet"/>
      </w:pPr>
      <w:r>
        <w:t>when provisional allocations should expire or become confirmed;</w:t>
      </w:r>
    </w:p>
    <w:p>
      <w:pPr>
        <w:pStyle w:val="ListBullet"/>
      </w:pPr>
      <w:r>
        <w:t>who may approve changes, substitutions or withdrawal;</w:t>
      </w:r>
    </w:p>
    <w:p>
      <w:pPr>
        <w:pStyle w:val="ListBullet"/>
      </w:pPr>
      <w:r>
        <w:t>how versions, reviews and outstanding actions should be related;</w:t>
      </w:r>
    </w:p>
    <w:p>
      <w:pPr>
        <w:pStyle w:val="ListBullet"/>
      </w:pPr>
      <w:r>
        <w:t>which information may be shared with staff, partners and funders.</w:t>
      </w:r>
    </w:p>
    <w:tbl>
      <w:tblPr>
        <w:tblW w:type="auto" w:w="0"/>
        <w:tblLook w:firstColumn="1" w:firstRow="1" w:lastColumn="0" w:lastRow="0" w:noHBand="0" w:noVBand="1" w:val="04A0"/>
      </w:tblPr>
      <w:tblGrid>
        <w:gridCol w:w="9866"/>
      </w:tblGrid>
      <w:tr>
        <w:tc>
          <w:tcPr>
            <w:tcW w:type="dxa" w:w="9866"/>
            <w:shd w:fill="E8F5F3"/>
            <w:tcMar>
              <w:top w:w="150" w:type="dxa"/>
              <w:start w:w="150" w:type="dxa"/>
              <w:bottom w:w="150" w:type="dxa"/>
              <w:end w:w="150" w:type="dxa"/>
            </w:tcMar>
          </w:tcPr>
          <w:p>
            <w:r>
              <w:rPr>
                <w:b/>
                <w:color w:val="17365D"/>
              </w:rPr>
              <w:t xml:space="preserve">Important  </w:t>
            </w:r>
            <w:r>
              <w:t>Use scenario evidence, state temporary assumptions clearly, and identify questions or risks where stakeholder confirmation is required.</w:t>
            </w:r>
          </w:p>
        </w:tc>
      </w:tr>
    </w:tbl>
    <w:sectPr w:rsidR="00FC693F" w:rsidRPr="0006063C" w:rsidSect="00034616">
      <w:headerReference w:type="default" r:id="rId9"/>
      <w:footerReference w:type="default" r:id="rId10"/>
      <w:pgSz w:w="11906" w:h="16838"/>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Scenario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SAAD71000  |  CA1 Scenario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SAAD71000 CA1 Scenario 30: Digital Archive Contribution Service</dc:title>
  <dc:subject/>
  <dc:creator>Andrew Shields</dc:creator>
  <keywords/>
  <dc:description>generated by python-docx</dc:description>
  <lastModifiedBy>Andrew Shields</lastModifiedBy>
  <revision>1</revision>
  <dcterms:created xsi:type="dcterms:W3CDTF">2026-10-02T21:34:54.4184774Z</dcterms:created>
  <dcterms:modified xsi:type="dcterms:W3CDTF">2026-10-02T21:34:54.4184774Z</dcterms:modified>
  <category/>
</coreProperties>
</file>