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4.png" ContentType="image/png"/>
  <Override PartName="/word/media/rId66.png" ContentType="image/png"/>
  <Override PartName="/word/media/rId235.png" ContentType="image/png"/>
  <Override PartName="/word/media/rId239.png" ContentType="image/png"/>
  <Override PartName="/word/media/rId243.png" ContentType="image/png"/>
  <Override PartName="/word/media/rId247.png" ContentType="image/png"/>
  <Override PartName="/word/media/rId2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Part I: The Decision Problem</w:t>
              </w:r>
            </w:hyperlink>
          </w:p>
        </w:tc>
      </w:tr>
      <w:tr>
        <w:tc>
          <w:tcPr/>
          <w:p>
            <w:pPr>
              <w:pStyle w:val="Compact"/>
            </w:pPr>
            <w:r>
              <w:t xml:space="preserve">An energy system modeller or tool developer</w:t>
            </w:r>
          </w:p>
        </w:tc>
        <w:tc>
          <w:tcPr/>
          <w:p>
            <w:pPr>
              <w:pStyle w:val="Compact"/>
            </w:pPr>
            <w:hyperlink r:id="rId11">
              <w:r>
                <w:rPr>
                  <w:rStyle w:val="Hyperlink"/>
                </w:rPr>
                <w:t xml:space="preserve">Part II: The Framework Design</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Part IV: The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2" w:name="why-this-framework-exists"/>
    <w:p>
      <w:pPr>
        <w:pStyle w:val="Heading1"/>
      </w:pPr>
      <w:r>
        <w:t xml:space="preserve">7. Why This Framework Exists</w:t>
      </w:r>
    </w:p>
    <w:p>
      <w:pPr>
        <w:pStyle w:val="FirstParagraph"/>
      </w:pPr>
      <w:r>
        <w:t xml:space="preserve">This cluster addresses a foundational question:</w:t>
      </w:r>
      <w:r>
        <w:t xml:space="preserve"> </w:t>
      </w:r>
      <w:r>
        <w:t xml:space="preserve">why do conventional analytical approaches fail</w:t>
      </w:r>
      <w:r>
        <w:t xml:space="preserve"> </w:t>
      </w:r>
      <w:r>
        <w:t xml:space="preserve">for long-horizon infrastructure decisions, and</w:t>
      </w:r>
      <w:r>
        <w:t xml:space="preserve"> </w:t>
      </w:r>
      <w:r>
        <w:t xml:space="preserve">what conditions make a different framework</w:t>
      </w:r>
      <w:r>
        <w:t xml:space="preserve"> </w:t>
      </w:r>
      <w:r>
        <w:t xml:space="preserve">necessary?</w:t>
      </w:r>
    </w:p>
    <w:p>
      <w:pPr>
        <w:pStyle w:val="BodyText"/>
      </w:pPr>
      <w:r>
        <w:t xml:space="preserve">The sections here establish the intellectual</w:t>
      </w:r>
      <w:r>
        <w:t xml:space="preserve"> </w:t>
      </w:r>
      <w:r>
        <w:t xml:space="preserve">terrain — the philosophical roots of decision</w:t>
      </w:r>
      <w:r>
        <w:t xml:space="preserve"> </w:t>
      </w:r>
      <w:r>
        <w:t xml:space="preserve">analysis under deep uncertainty, the seven</w:t>
      </w:r>
      <w:r>
        <w:t xml:space="preserve"> </w:t>
      </w:r>
      <w:r>
        <w:t xml:space="preserve">requirements that any defensible decision</w:t>
      </w:r>
      <w:r>
        <w:t xml:space="preserve"> </w:t>
      </w:r>
      <w:r>
        <w:t xml:space="preserve">support environment must satisfy, and the</w:t>
      </w:r>
      <w:r>
        <w:t xml:space="preserve"> </w:t>
      </w:r>
      <w:r>
        <w:t xml:space="preserve">formal mathematical foundations that underpin</w:t>
      </w:r>
      <w:r>
        <w:t xml:space="preserve"> </w:t>
      </w:r>
      <w:r>
        <w:t xml:space="preserve">the evaluative standards of regret, robustness,</w:t>
      </w:r>
      <w:r>
        <w:t xml:space="preserve"> </w:t>
      </w:r>
      <w:r>
        <w:t xml:space="preserve">and satisficing used throughout the framework.</w:t>
      </w:r>
    </w:p>
    <w:p>
      <w:pPr>
        <w:pStyle w:val="BodyText"/>
      </w:pPr>
      <w:r>
        <w:t xml:space="preserve">Readers already fluent in DMDU methodology</w:t>
      </w:r>
      <w:r>
        <w:t xml:space="preserve"> </w:t>
      </w:r>
      <w:r>
        <w:t xml:space="preserve">can read the</w:t>
      </w:r>
      <w:r>
        <w:t xml:space="preserve"> </w:t>
      </w:r>
      <w:hyperlink r:id="rId60">
        <w:r>
          <w:rPr>
            <w:rStyle w:val="Hyperlink"/>
          </w:rPr>
          <w:t xml:space="preserve">seven requirements</w:t>
        </w:r>
      </w:hyperlink>
      <w:r>
        <w:t xml:space="preserve"> </w:t>
      </w:r>
      <w:r>
        <w:t xml:space="preserve">and</w:t>
      </w:r>
      <w:r>
        <w:t xml:space="preserve"> </w:t>
      </w:r>
      <w:hyperlink r:id="rId61">
        <w:r>
          <w:rPr>
            <w:rStyle w:val="Hyperlink"/>
          </w:rPr>
          <w:t xml:space="preserve">mathematical notation</w:t>
        </w:r>
      </w:hyperlink>
      <w:r>
        <w:t xml:space="preserve"> </w:t>
      </w:r>
      <w:r>
        <w:t xml:space="preserve">and proceed directly to Part II.</w:t>
      </w:r>
    </w:p>
    <w:p>
      <w:r>
        <w:pict>
          <v:rect style="width:0;height:1.5pt" o:hralign="center" o:hrstd="t" o:hr="t"/>
        </w:pict>
      </w:r>
    </w:p>
    <w:bookmarkEnd w:id="62"/>
    <w:bookmarkStart w:id="73" w:name="module-0-orientation"/>
    <w:p>
      <w:pPr>
        <w:pStyle w:val="Heading1"/>
      </w:pPr>
      <w:r>
        <w:t xml:space="preserve">8. Module 0: Orientation</w:t>
      </w:r>
    </w:p>
    <w:p>
      <w:pPr>
        <w:pStyle w:val="FirstParagraph"/>
      </w:pPr>
      <w:r>
        <w:t xml:space="preserve">The Framework at a Glance</w:t>
      </w:r>
    </w:p>
    <w:p>
      <w:pPr>
        <w:pStyle w:val="BodyText"/>
      </w:pPr>
      <w:r>
        <w:br/>
      </w:r>
    </w:p>
    <w:bookmarkStart w:id="63"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3"/>
    <w:bookmarkStart w:id="64"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4"/>
    <w:bookmarkStart w:id="65"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5"/>
    <w:bookmarkStart w:id="70"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9" w:name="fig-architecture"/>
          <w:p>
            <w:pPr>
              <w:pStyle w:val="Compact"/>
              <w:jc w:val="center"/>
            </w:pPr>
            <w:r>
              <w:drawing>
                <wp:inline>
                  <wp:extent cx="5334000" cy="3852333"/>
                  <wp:effectExtent b="0" l="0" r="0" t="0"/>
                  <wp:docPr descr="" title="" id="67" name="Picture"/>
                  <a:graphic>
                    <a:graphicData uri="http://schemas.openxmlformats.org/drawingml/2006/picture">
                      <pic:pic>
                        <pic:nvPicPr>
                          <pic:cNvPr descr="manuscript/../assets/figures/diagram1-architecture-stack.png" id="68" name="Picture"/>
                          <pic:cNvPicPr>
                            <a:picLocks noChangeArrowheads="1" noChangeAspect="1"/>
                          </pic:cNvPicPr>
                        </pic:nvPicPr>
                        <pic:blipFill>
                          <a:blip r:embed="rId66"/>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9"/>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70"/>
    <w:bookmarkStart w:id="71"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71"/>
    <w:bookmarkStart w:id="72"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2"/>
    <w:bookmarkEnd w:id="73"/>
    <w:bookmarkStart w:id="91"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8"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7">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8"/>
    <w:bookmarkStart w:id="79"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9"/>
    <w:bookmarkStart w:id="80"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80"/>
    <w:bookmarkStart w:id="84"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3">
              <w:r>
                <w:rPr>
                  <w:rStyle w:val="Hyperlink"/>
                </w:rPr>
                <w:t xml:space="preserve">SM-1.4-A</w:t>
              </w:r>
            </w:hyperlink>
            <w:r>
              <w:t xml:space="preserve">.</w:t>
            </w:r>
            <w:r>
              <w:t xml:space="preserve"> </w:t>
            </w:r>
            <w:r>
              <w:t xml:space="preserve">Skip if formal decision theory is already known.</w:t>
            </w:r>
          </w:p>
          <w:p/>
        </w:tc>
      </w:tr>
    </w:tbl>
    <w:bookmarkEnd w:id="84"/>
    <w:bookmarkStart w:id="85"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5"/>
    <w:bookmarkStart w:id="86"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6"/>
    <w:bookmarkStart w:id="90"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9">
              <w:r>
                <w:rPr>
                  <w:rStyle w:val="Hyperlink"/>
                </w:rPr>
                <w:t xml:space="preserve">SM-1.7-A</w:t>
              </w:r>
            </w:hyperlink>
            <w:r>
              <w:t xml:space="preserve">.</w:t>
            </w:r>
            <w:r>
              <w:t xml:space="preserve"> </w:t>
            </w:r>
            <w:r>
              <w:t xml:space="preserve">Skip for conceptual reading; use when verifying implementation.</w:t>
            </w:r>
          </w:p>
          <w:p/>
        </w:tc>
      </w:tr>
    </w:tbl>
    <w:bookmarkEnd w:id="90"/>
    <w:bookmarkEnd w:id="91"/>
    <w:bookmarkStart w:id="93"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2"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2"/>
    <w:bookmarkEnd w:id="93"/>
    <w:bookmarkStart w:id="95" w:name="sub-module-1.4-a"/>
    <w:p>
      <w:pPr>
        <w:pStyle w:val="Heading1"/>
      </w:pPr>
      <w:r>
        <w:t xml:space="preserve">11.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94" w:name="X69635ae1c73923f9a6444193a28864d61fa98a8"/>
    <w:p>
      <w:pPr>
        <w:pStyle w:val="Heading2"/>
      </w:pPr>
      <w:r>
        <w:t xml:space="preserve">11.1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94"/>
    <w:bookmarkEnd w:id="95"/>
    <w:bookmarkStart w:id="97" w:name="sub-module-1.7-a"/>
    <w:p>
      <w:pPr>
        <w:pStyle w:val="Heading1"/>
      </w:pPr>
      <w:r>
        <w:t xml:space="preserve">12.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96" w:name="X62e5ca817b5c2a1ea5ab7d0bbc6537e54d0f226"/>
    <w:p>
      <w:pPr>
        <w:pStyle w:val="Heading2"/>
      </w:pPr>
      <w:r>
        <w:t xml:space="preserve">12.1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96"/>
    <w:bookmarkEnd w:id="97"/>
    <w:bookmarkStart w:id="105" w:name="sub-module-1.2-a"/>
    <w:p>
      <w:pPr>
        <w:pStyle w:val="Heading1"/>
      </w:pPr>
      <w:r>
        <w:t xml:space="preserve">13.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8" w:name="indices-and-sets"/>
    <w:p>
      <w:pPr>
        <w:pStyle w:val="Heading2"/>
      </w:pPr>
      <w:r>
        <w:t xml:space="preserve">13.1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8"/>
    <w:bookmarkStart w:id="99" w:name="demand-construction-demandpack"/>
    <w:p>
      <w:pPr>
        <w:pStyle w:val="Heading2"/>
      </w:pPr>
      <w:r>
        <w:t xml:space="preserve">13.2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9"/>
    <w:bookmarkStart w:id="100" w:name="site-dispatch"/>
    <w:p>
      <w:pPr>
        <w:pStyle w:val="Heading2"/>
      </w:pPr>
      <w:r>
        <w:t xml:space="preserve">13.3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100"/>
    <w:bookmarkStart w:id="101" w:name="gxp-interface-signals"/>
    <w:p>
      <w:pPr>
        <w:pStyle w:val="Heading2"/>
      </w:pPr>
      <w:r>
        <w:t xml:space="preserve">13.4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101"/>
    <w:bookmarkStart w:id="102" w:name="economic-notation"/>
    <w:p>
      <w:pPr>
        <w:pStyle w:val="Heading2"/>
      </w:pPr>
      <w:r>
        <w:t xml:space="preserve">13.5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102"/>
    <w:bookmarkStart w:id="103" w:name="robustness-and-regret"/>
    <w:p>
      <w:pPr>
        <w:pStyle w:val="Heading2"/>
      </w:pPr>
      <w:r>
        <w:t xml:space="preserve">13.6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103"/>
    <w:bookmarkStart w:id="104" w:name="X89cfa361ec77b148628229a0da91787638b71af"/>
    <w:p>
      <w:pPr>
        <w:pStyle w:val="Heading2"/>
      </w:pPr>
      <w:r>
        <w:t xml:space="preserve">13.7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104"/>
    <w:bookmarkEnd w:id="105"/>
    <w:bookmarkStart w:id="106" w:name="the-framework-design"/>
    <w:p>
      <w:pPr>
        <w:pStyle w:val="Heading1"/>
      </w:pPr>
      <w:r>
        <w:t xml:space="preserve">14. The Framework Design</w:t>
      </w:r>
    </w:p>
    <w:p>
      <w:pPr>
        <w:pStyle w:val="FirstParagraph"/>
      </w:pPr>
      <w:r>
        <w:t xml:space="preserve">This cluster specifies how the analytical</w:t>
      </w:r>
      <w:r>
        <w:t xml:space="preserve"> </w:t>
      </w:r>
      <w:r>
        <w:t xml:space="preserve">environment is built — the artefact governance</w:t>
      </w:r>
      <w:r>
        <w:t xml:space="preserve"> </w:t>
      </w:r>
      <w:r>
        <w:t xml:space="preserve">architecture, the thin-waist interface design,</w:t>
      </w:r>
      <w:r>
        <w:t xml:space="preserve"> </w:t>
      </w:r>
      <w:r>
        <w:t xml:space="preserve">the modelling methods available at each layer,</w:t>
      </w:r>
      <w:r>
        <w:t xml:space="preserve"> </w:t>
      </w:r>
      <w:r>
        <w:t xml:space="preserve">and the domain translation that makes the</w:t>
      </w:r>
      <w:r>
        <w:t xml:space="preserve"> </w:t>
      </w:r>
      <w:r>
        <w:t xml:space="preserve">framework instantiable in a specific industrial</w:t>
      </w:r>
      <w:r>
        <w:t xml:space="preserve"> </w:t>
      </w:r>
      <w:r>
        <w:t xml:space="preserve">context.</w:t>
      </w:r>
    </w:p>
    <w:p>
      <w:pPr>
        <w:pStyle w:val="BodyText"/>
      </w:pPr>
      <w:r>
        <w:t xml:space="preserve">The architecture section (modular design and</w:t>
      </w:r>
      <w:r>
        <w:t xml:space="preserve"> </w:t>
      </w:r>
      <w:r>
        <w:t xml:space="preserve">artefact governance) is the intellectual core</w:t>
      </w:r>
      <w:r>
        <w:t xml:space="preserve"> </w:t>
      </w:r>
      <w:r>
        <w:t xml:space="preserve">of the framework. The modelling methods section</w:t>
      </w:r>
      <w:r>
        <w:t xml:space="preserve"> </w:t>
      </w:r>
      <w:r>
        <w:t xml:space="preserve">provides the toolbox. Domain translation shows</w:t>
      </w:r>
      <w:r>
        <w:t xml:space="preserve"> </w:t>
      </w:r>
      <w:r>
        <w:t xml:space="preserve">how general principles become specific to</w:t>
      </w:r>
      <w:r>
        <w:t xml:space="preserve"> </w:t>
      </w:r>
      <w:r>
        <w:t xml:space="preserve">industrial process heat.</w:t>
      </w:r>
    </w:p>
    <w:p>
      <w:r>
        <w:pict>
          <v:rect style="width:0;height:1.5pt" o:hralign="center" o:hrstd="t" o:hr="t"/>
        </w:pict>
      </w:r>
    </w:p>
    <w:bookmarkEnd w:id="106"/>
    <w:bookmarkStart w:id="124" w:name="module-3-architecture"/>
    <w:p>
      <w:pPr>
        <w:pStyle w:val="Heading1"/>
      </w:pPr>
      <w:r>
        <w:t xml:space="preserve">15.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07" w:name="why-modularity-is-necessary"/>
    <w:p>
      <w:pPr>
        <w:pStyle w:val="Heading2"/>
      </w:pPr>
      <w:r>
        <w:t xml:space="preserve">15.1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07"/>
    <w:bookmarkStart w:id="108" w:name="what-a-module-is-and-what-it-is-not"/>
    <w:p>
      <w:pPr>
        <w:pStyle w:val="Heading2"/>
      </w:pPr>
      <w:r>
        <w:t xml:space="preserve">15.2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08"/>
    <w:bookmarkStart w:id="109" w:name="the-five-layer-architecture"/>
    <w:p>
      <w:pPr>
        <w:pStyle w:val="Heading2"/>
      </w:pPr>
      <w:r>
        <w:t xml:space="preserve">15.3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09"/>
    <w:bookmarkStart w:id="110" w:name="the-thin-waist-artefact-exchange"/>
    <w:p>
      <w:pPr>
        <w:pStyle w:val="Heading2"/>
      </w:pPr>
      <w:r>
        <w:t xml:space="preserve">15.4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10"/>
    <w:bookmarkStart w:id="114" w:name="artefact-families-and-schema-design"/>
    <w:p>
      <w:pPr>
        <w:pStyle w:val="Heading2"/>
      </w:pPr>
      <w:r>
        <w:t xml:space="preserve">15.5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13">
              <w:r>
                <w:rPr>
                  <w:rStyle w:val="Hyperlink"/>
                </w:rPr>
                <w:t xml:space="preserve">SM-3.5-A</w:t>
              </w:r>
            </w:hyperlink>
            <w:r>
              <w:t xml:space="preserve">. Do not skip when implementing any module that produces or consumes these artefacts.</w:t>
            </w:r>
          </w:p>
          <w:p/>
        </w:tc>
      </w:tr>
    </w:tbl>
    <w:bookmarkEnd w:id="114"/>
    <w:bookmarkStart w:id="115" w:name="X313ac2c8ed4f20f45bd62977e05338b7f91e68d"/>
    <w:p>
      <w:pPr>
        <w:pStyle w:val="Heading2"/>
      </w:pPr>
      <w:r>
        <w:t xml:space="preserve">15.6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15"/>
    <w:bookmarkStart w:id="119" w:name="the-analytical-backbone"/>
    <w:p>
      <w:pPr>
        <w:pStyle w:val="Heading2"/>
      </w:pPr>
      <w:r>
        <w:t xml:space="preserve">15.7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tip.png" id="11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18">
              <w:r>
                <w:rPr>
                  <w:rStyle w:val="Hyperlink"/>
                </w:rPr>
                <w:t xml:space="preserve">SM-3.7-A</w:t>
              </w:r>
            </w:hyperlink>
            <w:r>
              <w:t xml:space="preserve">. Skip if conceptual backbone understanding is sufficient; process when implementing the next-phase backbone.</w:t>
            </w:r>
          </w:p>
          <w:p/>
        </w:tc>
      </w:tr>
    </w:tbl>
    <w:bookmarkEnd w:id="119"/>
    <w:bookmarkStart w:id="123" w:name="ai-and-ml-artefact-governance"/>
    <w:p>
      <w:pPr>
        <w:pStyle w:val="Heading2"/>
      </w:pPr>
      <w:r>
        <w:t xml:space="preserve">15.8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tip.png" id="12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22">
              <w:r>
                <w:rPr>
                  <w:rStyle w:val="Hyperlink"/>
                </w:rPr>
                <w:t xml:space="preserve">SM-3.8-A</w:t>
              </w:r>
            </w:hyperlink>
            <w:r>
              <w:t xml:space="preserve">. Process when deploying any surrogate module.</w:t>
            </w:r>
          </w:p>
          <w:p/>
        </w:tc>
      </w:tr>
    </w:tbl>
    <w:bookmarkEnd w:id="123"/>
    <w:bookmarkEnd w:id="124"/>
    <w:bookmarkStart w:id="133" w:name="sub-module-3.5-a"/>
    <w:p>
      <w:pPr>
        <w:pStyle w:val="Heading1"/>
      </w:pPr>
      <w:r>
        <w:t xml:space="preserve">16.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31" w:name="Xea898945d9a5cced52e884fdee3deb0c0de07b8"/>
    <w:p>
      <w:pPr>
        <w:pStyle w:val="Heading2"/>
      </w:pPr>
      <w:r>
        <w:t xml:space="preserve">16.1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25" w:name="demandpack-schema-version-1.0"/>
    <w:p>
      <w:pPr>
        <w:pStyle w:val="Heading3"/>
      </w:pPr>
      <w:r>
        <w:t xml:space="preserve">16.1.1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25"/>
    <w:bookmarkStart w:id="126" w:name="X01233da66a9ccb4fa3d95e6a26a6d852bf50819"/>
    <w:p>
      <w:pPr>
        <w:pStyle w:val="Heading3"/>
      </w:pPr>
      <w:r>
        <w:t xml:space="preserve">16.1.2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26"/>
    <w:bookmarkStart w:id="127" w:name="X3f5809b32862b8281a7d8c967325422f514f55f"/>
    <w:p>
      <w:pPr>
        <w:pStyle w:val="Heading3"/>
      </w:pPr>
      <w:r>
        <w:t xml:space="preserve">16.1.3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27"/>
    <w:bookmarkStart w:id="128" w:name="futureartefact-schema-version-1.0"/>
    <w:p>
      <w:pPr>
        <w:pStyle w:val="Heading3"/>
      </w:pPr>
      <w:r>
        <w:t xml:space="preserve">16.1.4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28"/>
    <w:bookmarkStart w:id="129" w:name="schema-version-history"/>
    <w:p>
      <w:pPr>
        <w:pStyle w:val="Heading3"/>
      </w:pPr>
      <w:r>
        <w:t xml:space="preserve">16.1.5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29"/>
    <w:bookmarkStart w:id="130" w:name="Xbf55f1fe4a145bc828ce94146be4be9644f8ea8"/>
    <w:p>
      <w:pPr>
        <w:pStyle w:val="Heading3"/>
      </w:pPr>
      <w:r>
        <w:t xml:space="preserve">16.1.6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30"/>
    <w:bookmarkEnd w:id="131"/>
    <w:bookmarkStart w:id="132" w:name="X68a1f591078c6440d6fa99ccee2d629e294df9e"/>
    <w:p>
      <w:pPr>
        <w:pStyle w:val="Heading2"/>
      </w:pPr>
      <w:r>
        <w:t xml:space="preserve">16.2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32"/>
    <w:bookmarkEnd w:id="133"/>
    <w:bookmarkStart w:id="135" w:name="sub-module-3.7-a"/>
    <w:p>
      <w:pPr>
        <w:pStyle w:val="Heading1"/>
      </w:pPr>
      <w:r>
        <w:t xml:space="preserve">17.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34" w:name="X65941703e7327f7d9abbc880fce1da1e838a4ff"/>
    <w:p>
      <w:pPr>
        <w:pStyle w:val="Heading2"/>
      </w:pPr>
      <w:r>
        <w:t xml:space="preserve">17.1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34"/>
    <w:bookmarkEnd w:id="135"/>
    <w:bookmarkStart w:id="137" w:name="sub-module-3.8-a"/>
    <w:p>
      <w:pPr>
        <w:pStyle w:val="Heading1"/>
      </w:pPr>
      <w:r>
        <w:t xml:space="preserve">18.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36" w:name="X87a03f6055f044d88e6777ecba32a6dc5e79cb0"/>
    <w:p>
      <w:pPr>
        <w:pStyle w:val="Heading2"/>
      </w:pPr>
      <w:r>
        <w:t xml:space="preserve">18.1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36"/>
    <w:bookmarkEnd w:id="137"/>
    <w:bookmarkStart w:id="152" w:name="module-2-modelling-foundations"/>
    <w:p>
      <w:pPr>
        <w:pStyle w:val="Heading1"/>
      </w:pPr>
      <w:r>
        <w:t xml:space="preserve">19.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38" w:name="Xe3e187b946834871b3813e5b533b2f3de603610"/>
    <w:p>
      <w:pPr>
        <w:pStyle w:val="Heading2"/>
      </w:pPr>
      <w:r>
        <w:t xml:space="preserve">19.1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38"/>
    <w:bookmarkStart w:id="142" w:name="optimisation-as-consequence-generation"/>
    <w:p>
      <w:pPr>
        <w:pStyle w:val="Heading2"/>
      </w:pPr>
      <w:r>
        <w:t xml:space="preserve">19.2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41">
              <w:r>
                <w:rPr>
                  <w:rStyle w:val="Hyperlink"/>
                </w:rPr>
                <w:t xml:space="preserve">SM-2.2-A</w:t>
              </w:r>
            </w:hyperlink>
            <w:r>
              <w:t xml:space="preserve">. Skip if the optimisation classes and their appropriate uses are already known.</w:t>
            </w:r>
          </w:p>
          <w:p/>
        </w:tc>
      </w:tr>
    </w:tbl>
    <w:bookmarkEnd w:id="142"/>
    <w:bookmarkStart w:id="146" w:name="simulation-and-surrogate-emulation"/>
    <w:p>
      <w:pPr>
        <w:pStyle w:val="Heading2"/>
      </w:pPr>
      <w:r>
        <w:t xml:space="preserve">19.3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45">
              <w:r>
                <w:rPr>
                  <w:rStyle w:val="Hyperlink"/>
                </w:rPr>
                <w:t xml:space="preserve">SM-2.3-A</w:t>
              </w:r>
            </w:hyperlink>
            <w:r>
              <w:t xml:space="preserve">. Skip if the surrogate validation approach is already known.</w:t>
            </w:r>
          </w:p>
          <w:p/>
        </w:tc>
      </w:tr>
    </w:tbl>
    <w:bookmarkEnd w:id="146"/>
    <w:bookmarkStart w:id="150" w:name="constructing-and-selecting-futures"/>
    <w:p>
      <w:pPr>
        <w:pStyle w:val="Heading2"/>
      </w:pPr>
      <w:r>
        <w:t xml:space="preserve">19.4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tip.png" id="14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49">
              <w:r>
                <w:rPr>
                  <w:rStyle w:val="Hyperlink"/>
                </w:rPr>
                <w:t xml:space="preserve">SM-2.4-A</w:t>
              </w:r>
            </w:hyperlink>
            <w:r>
              <w:t xml:space="preserve">. Skip if PRIM and CART are already known.</w:t>
            </w:r>
          </w:p>
          <w:p/>
        </w:tc>
      </w:tr>
    </w:tbl>
    <w:bookmarkEnd w:id="150"/>
    <w:bookmarkStart w:id="151" w:name="Xe65a928f97e5ea3a075fb28f5fba9ee517b5353"/>
    <w:p>
      <w:pPr>
        <w:pStyle w:val="Heading2"/>
      </w:pPr>
      <w:r>
        <w:t xml:space="preserve">19.5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51"/>
    <w:bookmarkEnd w:id="152"/>
    <w:bookmarkStart w:id="157" w:name="sub-module-2.2-a"/>
    <w:p>
      <w:pPr>
        <w:pStyle w:val="Heading1"/>
      </w:pPr>
      <w:r>
        <w:t xml:space="preserve">20.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56" w:name="X6402a51fa30169410af258e02f778bc913a4caa"/>
    <w:p>
      <w:pPr>
        <w:pStyle w:val="Heading2"/>
      </w:pPr>
      <w:r>
        <w:t xml:space="preserve">20.1 SM-2.2-A: LP, MILP, and Stochastic Optimisation, Role Summary</w:t>
      </w:r>
    </w:p>
    <w:bookmarkStart w:id="155" w:name="X51c30451cf8a0e0560f49c2cea4cfaf5cca984a"/>
    <w:p>
      <w:pPr>
        <w:pStyle w:val="Heading3"/>
      </w:pPr>
      <w:r>
        <w:t xml:space="preserve">20.1.1 The Four Classes of Policy: Powell’s Unified Framework</w:t>
      </w:r>
    </w:p>
    <w:p>
      <w:pPr>
        <w:pStyle w:val="FirstParagraph"/>
      </w:pPr>
      <w:r>
        <w:t xml:space="preserve">Any method for making decisions in a sequential decision problem — from a simple dispatch rule to a full stochastic programme — can be classified into one of four policy classes, or a hybrid of several. This taxonomy was developed by Warren Powell at Princeton University and provides the organising framework for understanding what role each modelling method plays within the DCM analytical environment.</w:t>
      </w:r>
    </w:p>
    <w:p>
      <w:pPr>
        <w:pStyle w:val="BodyText"/>
      </w:pPr>
      <w:r>
        <w:t xml:space="preserve">A policy</w:t>
      </w:r>
      <w:r>
        <w:t xml:space="preserve"> </w:t>
      </w:r>
      <m:oMath>
        <m:r>
          <m:t>π</m:t>
        </m:r>
      </m:oMath>
      <w:r>
        <w:t xml:space="preserve"> </w:t>
      </w:r>
      <w:r>
        <w:t xml:space="preserve">is any function that maps the current state</w:t>
      </w:r>
      <w:r>
        <w:t xml:space="preserve"> </w:t>
      </w:r>
      <m:oMath>
        <m:sSub>
          <m:e>
            <m:r>
              <m:t>S</m:t>
            </m:r>
          </m:e>
          <m:sub>
            <m:r>
              <m:t>t</m:t>
            </m:r>
          </m:sub>
        </m:sSub>
      </m:oMath>
      <w:r>
        <w:t xml:space="preserve"> </w:t>
      </w:r>
      <w:r>
        <w:t xml:space="preserve">to a decision</w:t>
      </w:r>
      <w:r>
        <w:t xml:space="preserve"> </w:t>
      </w:r>
      <m:oMath>
        <m:sSub>
          <m:e>
            <m:r>
              <m:t>X</m:t>
            </m:r>
          </m:e>
          <m:sub>
            <m:r>
              <m:t>t</m:t>
            </m:r>
          </m:sub>
        </m:sSub>
      </m:oMath>
      <w:r>
        <w:t xml:space="preserve">:</w:t>
      </w:r>
    </w:p>
    <w:p>
      <w:pPr>
        <w:pStyle w:val="BodyText"/>
      </w:pPr>
      <m:oMathPara>
        <m:oMathParaPr>
          <m:jc m:val="center"/>
        </m:oMathParaPr>
        <m:oMath>
          <m:sSub>
            <m:e>
              <m:r>
                <m:t>X</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oMath>
      </m:oMathPara>
    </w:p>
    <w:p>
      <w:pPr>
        <w:pStyle w:val="FirstParagraph"/>
      </w:pPr>
      <w:r>
        <w:t xml:space="preserve">where</w:t>
      </w:r>
      <w:r>
        <w:t xml:space="preserve"> </w:t>
      </w:r>
      <m:oMath>
        <m:r>
          <m:t>θ</m:t>
        </m:r>
      </m:oMath>
      <w:r>
        <w:t xml:space="preserve"> </w:t>
      </w:r>
      <w:r>
        <w:t xml:space="preserve">are tunable parameters and</w:t>
      </w:r>
      <w:r>
        <w:t xml:space="preserve"> </w:t>
      </w:r>
      <m:oMath>
        <m:r>
          <m:t>f</m:t>
        </m:r>
      </m:oMath>
      <w:r>
        <w:t xml:space="preserve"> </w:t>
      </w:r>
      <w:r>
        <w:t xml:space="preserve">is the function class. Searching for the best policy means searching over both</w:t>
      </w:r>
      <w:r>
        <w:t xml:space="preserve"> </w:t>
      </w:r>
      <m:oMath>
        <m:r>
          <m:t>f</m:t>
        </m:r>
        <m:r>
          <m:rPr>
            <m:sty m:val="p"/>
          </m:rPr>
          <m:t>∈</m:t>
        </m:r>
        <m:r>
          <m:t>F</m:t>
        </m:r>
      </m:oMath>
      <w:r>
        <w:t xml:space="preserve"> </w:t>
      </w:r>
      <w:r>
        <w:t xml:space="preserve">(the class of function) and</w:t>
      </w:r>
      <w:r>
        <w:t xml:space="preserve"> </w:t>
      </w:r>
      <m:oMath>
        <m:r>
          <m:t>θ</m:t>
        </m:r>
        <m:r>
          <m:rPr>
            <m:sty m:val="p"/>
          </m:rPr>
          <m:t>∈</m:t>
        </m:r>
        <m:r>
          <m:rPr>
            <m:sty m:val="p"/>
          </m:rPr>
          <m:t>Θ</m:t>
        </m:r>
      </m:oMath>
      <w:r>
        <w:t xml:space="preserve"> </w:t>
      </w:r>
      <w:r>
        <w:t xml:space="preserve">(the parameterisation within that class).</w:t>
      </w:r>
    </w:p>
    <w:p>
      <w:pPr>
        <w:pStyle w:val="BodyText"/>
      </w:pPr>
      <w:r>
        <w:t xml:space="preserve">The four classes are:</w:t>
      </w:r>
    </w:p>
    <w:p>
      <w:pPr>
        <w:pStyle w:val="BodyText"/>
      </w:pPr>
      <w:r>
        <w:rPr>
          <w:b/>
          <w:bCs/>
        </w:rPr>
        <w:t xml:space="preserve">1. Policy Function Approximations (PFAs)</w:t>
      </w:r>
      <w:r>
        <w:t xml:space="preserve"> </w:t>
      </w:r>
      <w:r>
        <w:t xml:space="preserve">Any analytical function that returns a decision directly from the state variable, without solving an embedded optimisation problem. Rule-based dispatch logic —</w:t>
      </w:r>
      <w:r>
        <w:t xml:space="preserve"> </w:t>
      </w:r>
      <w:r>
        <w:t xml:space="preserve">“run the base boiler first, then the peaking boiler”</w:t>
      </w:r>
      <w:r>
        <w:t xml:space="preserve"> </w:t>
      </w:r>
      <w:r>
        <w:t xml:space="preserve">— is a PFA. Proportional dispatch, as used in the DCM PoC, is a PFA parameterised by the capacity fractions.</w:t>
      </w:r>
    </w:p>
    <w:p>
      <w:pPr>
        <w:pStyle w:val="BodyText"/>
      </w:pPr>
      <w:r>
        <w:rPr>
          <w:b/>
          <w:bCs/>
        </w:rPr>
        <w:t xml:space="preserve">2. Cost Function Approximations (CFAs)</w:t>
      </w:r>
      <w:r>
        <w:t xml:space="preserve"> </w:t>
      </w:r>
      <w:r>
        <w:t xml:space="preserve">Parameterised versions of deterministic approximations that do not explicitly plan into the future. These modify the immediate cost function to produce better behaviour over time. A CFA is appropriate when the full stochastic programme is computationally intractable or when probabilities over futures cannot be specified — both conditions that apply in the DCM context.</w:t>
      </w:r>
    </w:p>
    <w:p>
      <w:pPr>
        <w:pStyle w:val="BodyText"/>
      </w:pPr>
      <w:r>
        <w:rPr>
          <w:b/>
          <w:bCs/>
        </w:rPr>
        <w:t xml:space="preserve">3. Value Function Approximations (VFAs)</w:t>
      </w:r>
      <w:r>
        <w:t xml:space="preserve"> </w:t>
      </w:r>
      <w:r>
        <w:t xml:space="preserve">These approximate Bellman’s value function, representing the expected future value of being in state</w:t>
      </w:r>
      <w:r>
        <w:t xml:space="preserve"> </w:t>
      </w:r>
      <m:oMath>
        <m:sSub>
          <m:e>
            <m:r>
              <m:t>S</m:t>
            </m:r>
          </m:e>
          <m:sub>
            <m:r>
              <m:t>t</m:t>
            </m:r>
          </m:sub>
        </m:sSub>
      </m:oMath>
      <w:r>
        <w:t xml:space="preserve">. VFAs are the domain of reinforcement learning and approximate dynamic programming. They are powerful for problems with large, well-characterised state spaces and available training data. In the DCM framework, VFAs become relevant as surrogate models (SM-2.3-A) that accelerate ensemble evaluation by approximating the dispatch module’s outputs without running full simulations.</w:t>
      </w:r>
    </w:p>
    <w:p>
      <w:pPr>
        <w:pStyle w:val="BodyText"/>
      </w:pPr>
      <w:r>
        <w:rPr>
          <w:b/>
          <w:bCs/>
        </w:rPr>
        <w:t xml:space="preserve">4. Direct Lookahead Approximations (DLAs)</w:t>
      </w:r>
      <w:r>
        <w:t xml:space="preserve"> </w:t>
      </w:r>
      <w:r>
        <w:t xml:space="preserve">These solve a deterministic or stochastic approximation of the decision problem over a finite horizon — the familiar rolling horizon procedure, parameterised to perform well under uncertainty. LP dispatch with a 24-hour or seasonal lookahead horizon is a DLA. Two-stage stochastic programming (Dantzig) is a DLA that explicitly represents one stage of future uncertainty.</w:t>
      </w:r>
    </w:p>
    <w:p>
      <w:pPr>
        <w:pStyle w:val="BodyText"/>
      </w:pPr>
      <w:r>
        <w:rPr>
          <w:b/>
          <w:bCs/>
        </w:rPr>
        <w:t xml:space="preserve">The DCM framework in Powell’s taxonomy</w:t>
      </w:r>
    </w:p>
    <w:p>
      <w:pPr>
        <w:pStyle w:val="BodyText"/>
      </w:pPr>
      <w:r>
        <w:t xml:space="preserve">The current DCM proof-of-concept uses a PFA (proportional dispatch) for computational tractability across 100 futures. The LP dispatch module is a single-period DLA. The surrogate acceleration pathway in SM-2.3-A moves toward VFA territory. Powell’s insight — that the policy class taxonomy produces better decisions than knowledge of any single method — is directly analogous to the DCM framework’s argument: understanding the decision structure produces better outcomes than optimising any single assumed future.</w:t>
      </w:r>
    </w:p>
    <w:p>
      <w:pPr>
        <w:pStyle w:val="BodyText"/>
      </w:pPr>
      <w:r>
        <w:rPr>
          <w:b/>
          <w:bCs/>
        </w:rPr>
        <w:t xml:space="preserve">The critical extension: deep uncertainty</w:t>
      </w:r>
    </w:p>
    <w:p>
      <w:pPr>
        <w:pStyle w:val="BodyText"/>
      </w:pPr>
      <w:r>
        <w:t xml:space="preserve">Powell’s unified formulation maximises expected cumulative contribution:</w:t>
      </w:r>
    </w:p>
    <w:p>
      <w:pPr>
        <w:pStyle w:val="BodyText"/>
      </w:pPr>
      <m:oMathPara>
        <m:oMathParaPr>
          <m:jc m:val="center"/>
        </m:oMathParaPr>
        <m:oMath>
          <m:limLow>
            <m:e>
              <m:r>
                <m:rPr>
                  <m:sty m:val="p"/>
                </m:rPr>
                <m:t>max</m:t>
              </m:r>
            </m:e>
            <m:lim>
              <m:r>
                <m:t>f</m:t>
              </m:r>
              <m:r>
                <m:rPr>
                  <m:sty m:val="p"/>
                </m:rPr>
                <m:t>∈</m:t>
              </m:r>
              <m:r>
                <m:t>F</m:t>
              </m:r>
            </m:lim>
          </m:limLow>
          <m:limLow>
            <m:e>
              <m:r>
                <m:rPr>
                  <m:sty m:val="p"/>
                </m:rPr>
                <m:t>max</m:t>
              </m:r>
            </m:e>
            <m:lim>
              <m:r>
                <m:t>θ</m:t>
              </m:r>
              <m:r>
                <m:rPr>
                  <m:sty m:val="p"/>
                </m:rPr>
                <m:t>∈</m:t>
              </m:r>
              <m:r>
                <m:rPr>
                  <m:sty m:val="p"/>
                </m:rPr>
                <m:t>Θ</m:t>
              </m:r>
            </m:lim>
          </m:limLow>
          <m:r>
            <m:rPr>
              <m:scr m:val="double-struck"/>
              <m:sty m:val="p"/>
            </m:rPr>
            <m:t>E</m:t>
          </m:r>
          <m:d>
            <m:dPr>
              <m:begChr m:val="["/>
              <m:sepChr m:val="|"/>
              <m:endChr m:val="]"/>
              <m:grow/>
            </m:dPr>
            <m:e>
              <m:nary>
                <m:naryPr>
                  <m:chr m:val="∑"/>
                  <m:limLoc m:val="undOvr"/>
                  <m:subHide m:val="off"/>
                  <m:supHide m:val="off"/>
                </m:naryPr>
                <m:sub>
                  <m:r>
                    <m:t>t</m:t>
                  </m:r>
                  <m:r>
                    <m:rPr>
                      <m:sty m:val="p"/>
                    </m:rPr>
                    <m:t>=</m:t>
                  </m:r>
                  <m:r>
                    <m:t>0</m:t>
                  </m:r>
                </m:sub>
                <m:sup>
                  <m:r>
                    <m:t>T</m:t>
                  </m:r>
                </m:sup>
                <m:e>
                  <m:sSub>
                    <m:e>
                      <m:r>
                        <m:t>C</m:t>
                      </m:r>
                    </m:e>
                    <m:sub>
                      <m:r>
                        <m:t>t</m:t>
                      </m:r>
                    </m:sub>
                  </m:sSub>
                </m:e>
              </m:nary>
              <m:r>
                <m:t>​</m:t>
              </m:r>
              <m:d>
                <m:dPr>
                  <m:begChr m:val="("/>
                  <m:sepChr m:val=""/>
                  <m:endChr m:val=")"/>
                  <m:grow/>
                </m:dPr>
                <m:e>
                  <m:sSub>
                    <m:e>
                      <m:r>
                        <m:t>S</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e>
              </m:d>
            </m:e>
            <m:e>
              <m:sSub>
                <m:e>
                  <m:r>
                    <m:t>S</m:t>
                  </m:r>
                </m:e>
                <m:sub>
                  <m:r>
                    <m:t>0</m:t>
                  </m:r>
                </m:sub>
              </m:sSub>
            </m:e>
          </m:d>
        </m:oMath>
      </m:oMathPara>
    </w:p>
    <w:p>
      <w:pPr>
        <w:pStyle w:val="FirstParagraph"/>
      </w:pPr>
      <w:r>
        <w:t xml:space="preserve">The DCM framework is the appropriate generalisation for conditions where the expectation operator</w:t>
      </w:r>
      <w:r>
        <w:t xml:space="preserve"> </w:t>
      </w:r>
      <m:oMath>
        <m:r>
          <m:rPr>
            <m:scr m:val="double-struck"/>
            <m:sty m:val="p"/>
          </m:rPr>
          <m:t>E</m:t>
        </m:r>
        <m:r>
          <m:rPr>
            <m:sty m:val="p"/>
          </m:rPr>
          <m:t>[</m:t>
        </m:r>
        <m:r>
          <m:rPr>
            <m:sty m:val="p"/>
          </m:rPr>
          <m:t>⋅</m:t>
        </m:r>
        <m:r>
          <m:rPr>
            <m:sty m:val="p"/>
          </m:rPr>
          <m:t>]</m:t>
        </m:r>
      </m:oMath>
      <w:r>
        <w:t xml:space="preserve"> </w:t>
      </w:r>
      <w:r>
        <w:t xml:space="preserve">cannot be applied — because probabilities over futures are not available or not defensible. Under deep uncertainty, the expectation is replaced by the robustness, regret, and satisficing metrics defined in SM-1.2-A. Powell’s four policy classes apply in both regimes; only the evaluative standard changes.</w:t>
      </w:r>
    </w:p>
    <w:p>
      <w:pPr>
        <w:pStyle w:val="BodyText"/>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tip.png" id="15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Connection: Powell and the DMDU Tradition</w:t>
            </w:r>
          </w:p>
        </w:tc>
      </w:tr>
      <w:tr>
        <w:trPr>
          <w:cantSplit/>
        </w:trPr>
        <w:tc>
          <w:tcPr>
            <w:tcMar>
              <w:top w:w="108" w:type="dxa"/>
              <w:bottom w:w="108" w:type="dxa"/>
            </w:tcMar>
          </w:tcPr>
          <w:p>
            <w:pPr>
              <w:pStyle w:val="BodyText"/>
            </w:pPr>
            <w:pPr>
              <w:spacing w:before="16" w:after="16"/>
            </w:pPr>
            <w:r>
              <w:t xml:space="preserve">Powell’s framework originates in stochastic optimisation — a domain where probability distributions over futures are assumed available. The DMDU tradition (Lempert, Walker, Kwakkel) addresses the case where they are not. The DCM framework bridges the two: it uses Powell’s policy class taxonomy to structure the analytical choices, and the DMDU evaluative standards (regret, robustness, satisficing) to replace expected value when probabilities cannot be specified. See SM-1.4-A for the intellectual lineage and SM-1.2-A for the formal definitions.</w:t>
            </w:r>
          </w:p>
          <w:p/>
        </w:tc>
      </w:tr>
    </w:tbl>
    <w:bookmarkEnd w:id="155"/>
    <w:bookmarkEnd w:id="156"/>
    <w:bookmarkEnd w:id="157"/>
    <w:bookmarkStart w:id="159" w:name="sub-module-2.3-a"/>
    <w:p>
      <w:pPr>
        <w:pStyle w:val="Heading1"/>
      </w:pPr>
      <w:r>
        <w:t xml:space="preserve">21.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58" w:name="Xf4dcb1b9653718fc64eea4841368d22cd062c52"/>
    <w:p>
      <w:pPr>
        <w:pStyle w:val="Heading2"/>
      </w:pPr>
      <w:r>
        <w:t xml:space="preserve">21.1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58"/>
    <w:bookmarkEnd w:id="159"/>
    <w:bookmarkStart w:id="161" w:name="sub-module-2.4-a"/>
    <w:p>
      <w:pPr>
        <w:pStyle w:val="Heading1"/>
      </w:pPr>
      <w:r>
        <w:t xml:space="preserve">22.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60" w:name="Xb6698e44097c3fe7f9e5db7a65cd048a3a9be79"/>
    <w:p>
      <w:pPr>
        <w:pStyle w:val="Heading2"/>
      </w:pPr>
      <w:r>
        <w:t xml:space="preserve">22.1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60"/>
    <w:bookmarkEnd w:id="161"/>
    <w:bookmarkStart w:id="169"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62"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62"/>
    <w:bookmarkStart w:id="163"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63"/>
    <w:bookmarkStart w:id="164"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64"/>
    <w:bookmarkStart w:id="168"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7">
              <w:r>
                <w:rPr>
                  <w:rStyle w:val="Hyperlink"/>
                </w:rPr>
                <w:t xml:space="preserve">SM-4.4-A</w:t>
              </w:r>
            </w:hyperlink>
            <w:r>
              <w:t xml:space="preserve">. Skip if the conceptual account above is sufficient; process when the formal basis of the evaluation frame divergence is needed.</w:t>
            </w:r>
          </w:p>
          <w:p/>
        </w:tc>
      </w:tr>
    </w:tbl>
    <w:bookmarkEnd w:id="168"/>
    <w:bookmarkEnd w:id="169"/>
    <w:bookmarkStart w:id="171"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70"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70"/>
    <w:bookmarkEnd w:id="171"/>
    <w:bookmarkStart w:id="172" w:name="the-evidence"/>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72"/>
    <w:bookmarkStart w:id="191"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73"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73"/>
    <w:bookmarkStart w:id="177"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tip.png" id="175"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6">
              <w:r>
                <w:rPr>
                  <w:rStyle w:val="Hyperlink"/>
                </w:rPr>
                <w:t xml:space="preserve">SM-5.2-A</w:t>
              </w:r>
            </w:hyperlink>
            <w:r>
              <w:t xml:space="preserve">. Process when verifying the headroom multiplier range used in the FutureArtefact ensemble design.</w:t>
            </w:r>
          </w:p>
          <w:p/>
        </w:tc>
      </w:tr>
    </w:tbl>
    <w:bookmarkEnd w:id="177"/>
    <w:bookmarkStart w:id="181"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opt/quarto/share/formats/docx/tip.png" id="17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80">
              <w:r>
                <w:rPr>
                  <w:rStyle w:val="Hyperlink"/>
                </w:rPr>
                <w:t xml:space="preserve">SM-5.3-A</w:t>
              </w:r>
            </w:hyperlink>
            <w:r>
              <w:t xml:space="preserve">. Process when verifying the biomass availability and cost multiplier ranges.</w:t>
            </w:r>
          </w:p>
          <w:p/>
        </w:tc>
      </w:tr>
    </w:tbl>
    <w:bookmarkEnd w:id="181"/>
    <w:bookmarkStart w:id="185"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tip.png" id="18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84">
              <w:r>
                <w:rPr>
                  <w:rStyle w:val="Hyperlink"/>
                </w:rPr>
                <w:t xml:space="preserve">SM-5.4-A</w:t>
              </w:r>
            </w:hyperlink>
            <w:r>
              <w:t xml:space="preserve">. Process when verifying the ETS price range in the FutureArtefact design.</w:t>
            </w:r>
          </w:p>
          <w:p/>
        </w:tc>
      </w:tr>
    </w:tbl>
    <w:bookmarkEnd w:id="185"/>
    <w:bookmarkStart w:id="189"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tip.png" id="18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8">
              <w:r>
                <w:rPr>
                  <w:rStyle w:val="Hyperlink"/>
                </w:rPr>
                <w:t xml:space="preserve">SM-5.5-A</w:t>
              </w:r>
            </w:hyperlink>
            <w:r>
              <w:t xml:space="preserve">. Skip if TIMES-NZ technical detail is not required.</w:t>
            </w:r>
          </w:p>
          <w:p/>
        </w:tc>
      </w:tr>
    </w:tbl>
    <w:bookmarkEnd w:id="189"/>
    <w:bookmarkStart w:id="190"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90"/>
    <w:bookmarkEnd w:id="191"/>
    <w:bookmarkStart w:id="193"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2"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92"/>
    <w:bookmarkEnd w:id="193"/>
    <w:bookmarkStart w:id="195"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4"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94"/>
    <w:bookmarkEnd w:id="195"/>
    <w:bookmarkStart w:id="197"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6"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6"/>
    <w:bookmarkEnd w:id="197"/>
    <w:bookmarkStart w:id="208"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8"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8"/>
    <w:bookmarkStart w:id="199"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9"/>
    <w:bookmarkStart w:id="200"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200"/>
    <w:bookmarkStart w:id="201"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201"/>
    <w:bookmarkStart w:id="202"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202"/>
    <w:bookmarkStart w:id="203"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203"/>
    <w:bookmarkStart w:id="204"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204"/>
    <w:bookmarkStart w:id="207"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7"/>
    <w:bookmarkEnd w:id="208"/>
    <w:bookmarkStart w:id="257"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9"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9"/>
    <w:bookmarkStart w:id="213"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12">
              <w:r>
                <w:rPr>
                  <w:rStyle w:val="Hyperlink"/>
                </w:rPr>
                <w:t xml:space="preserve">SM-6.2-A</w:t>
              </w:r>
            </w:hyperlink>
            <w:r>
              <w:t xml:space="preserve">. Process when replicating or extending the pipeline.</w:t>
            </w:r>
          </w:p>
          <w:p/>
        </w:tc>
      </w:tr>
    </w:tbl>
    <w:bookmarkEnd w:id="213"/>
    <w:bookmarkStart w:id="217"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tip.png" id="215"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6">
              <w:r>
                <w:rPr>
                  <w:rStyle w:val="Hyperlink"/>
                </w:rPr>
                <w:t xml:space="preserve">SM-6.3-B</w:t>
              </w:r>
            </w:hyperlink>
            <w:r>
              <w:t xml:space="preserve">. Process when validating or reproducing the DemandPack construction.</w:t>
            </w:r>
          </w:p>
          <w:p/>
        </w:tc>
      </w:tr>
    </w:tbl>
    <w:bookmarkEnd w:id="217"/>
    <w:bookmarkStart w:id="221"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20">
              <w:r>
                <w:rPr>
                  <w:rStyle w:val="Hyperlink"/>
                </w:rPr>
                <w:t xml:space="preserve">SM-6.4-C</w:t>
              </w:r>
            </w:hyperlink>
            <w:r>
              <w:t xml:space="preserve">. Process when implementing or verifying site module compliance.</w:t>
            </w:r>
          </w:p>
          <w:p/>
        </w:tc>
      </w:tr>
    </w:tbl>
    <w:bookmarkEnd w:id="221"/>
    <w:bookmarkStart w:id="225"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24">
              <w:r>
                <w:rPr>
                  <w:rStyle w:val="Hyperlink"/>
                </w:rPr>
                <w:t xml:space="preserve">SM-6.5-D</w:t>
              </w:r>
            </w:hyperlink>
            <w:r>
              <w:t xml:space="preserve">. Process when verifying SignalsPack integrity or planning a module upgrade.</w:t>
            </w:r>
          </w:p>
          <w:p/>
        </w:tc>
      </w:tr>
    </w:tbl>
    <w:bookmarkEnd w:id="225"/>
    <w:bookmarkStart w:id="229"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8">
              <w:r>
                <w:rPr>
                  <w:rStyle w:val="Hyperlink"/>
                </w:rPr>
                <w:t xml:space="preserve">SM-6.6-E</w:t>
              </w:r>
            </w:hyperlink>
            <w:r>
              <w:t xml:space="preserve">. Process when planning or implementing the PyPSA regional module.</w:t>
            </w:r>
          </w:p>
          <w:p/>
        </w:tc>
      </w:tr>
    </w:tbl>
    <w:bookmarkEnd w:id="229"/>
    <w:bookmarkStart w:id="230"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30"/>
    <w:bookmarkStart w:id="234"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opt/quarto/share/formats/docx/tip.png" id="23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33">
              <w:r>
                <w:rPr>
                  <w:rStyle w:val="Hyperlink"/>
                </w:rPr>
                <w:t xml:space="preserve">SM-6.8-F</w:t>
              </w:r>
            </w:hyperlink>
            <w:r>
              <w:t xml:space="preserve">. Process when auditing the PoC or verifying governance completeness.</w:t>
            </w:r>
          </w:p>
          <w:p/>
        </w:tc>
      </w:tr>
    </w:tbl>
    <w:bookmarkEnd w:id="234"/>
    <w:bookmarkStart w:id="255"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8" w:name="fig-pathway-decision"/>
          <w:p>
            <w:pPr>
              <w:pStyle w:val="Compact"/>
              <w:jc w:val="center"/>
            </w:pPr>
            <w:r>
              <w:drawing>
                <wp:inline>
                  <wp:extent cx="5334000" cy="3017921"/>
                  <wp:effectExtent b="0" l="0" r="0" t="0"/>
                  <wp:docPr descr="" title="" id="236" name="Picture"/>
                  <a:graphic>
                    <a:graphicData uri="http://schemas.openxmlformats.org/drawingml/2006/picture">
                      <pic:pic>
                        <pic:nvPicPr>
                          <pic:cNvPr descr="manuscript/../assets/figures/diagram3-pathway-comparison.png" id="237" name="Picture"/>
                          <pic:cNvPicPr>
                            <a:picLocks noChangeArrowheads="1" noChangeAspect="1"/>
                          </pic:cNvPicPr>
                        </pic:nvPicPr>
                        <pic:blipFill>
                          <a:blip r:embed="rId235"/>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8"/>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42" w:name="fig-dispatch-epochs"/>
          <w:p>
            <w:pPr>
              <w:pStyle w:val="Compact"/>
              <w:jc w:val="center"/>
            </w:pPr>
            <w:r>
              <w:drawing>
                <wp:inline>
                  <wp:extent cx="5334000" cy="2510952"/>
                  <wp:effectExtent b="0" l="0" r="0" t="0"/>
                  <wp:docPr descr="" title="" id="240" name="Picture"/>
                  <a:graphic>
                    <a:graphicData uri="http://schemas.openxmlformats.org/drawingml/2006/picture">
                      <pic:pic>
                        <pic:nvPicPr>
                          <pic:cNvPr descr="manuscript/../assets/figures/fig6_1_dispatch_epochs.png" id="241" name="Picture"/>
                          <pic:cNvPicPr>
                            <a:picLocks noChangeArrowheads="1" noChangeAspect="1"/>
                          </pic:cNvPicPr>
                        </pic:nvPicPr>
                        <pic:blipFill>
                          <a:blip r:embed="rId239"/>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42"/>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6" w:name="fig-rdm-upgrade"/>
          <w:p>
            <w:pPr>
              <w:pStyle w:val="Compact"/>
              <w:jc w:val="center"/>
            </w:pPr>
            <w:r>
              <w:drawing>
                <wp:inline>
                  <wp:extent cx="5334000" cy="2364529"/>
                  <wp:effectExtent b="0" l="0" r="0" t="0"/>
                  <wp:docPr descr="" title="" id="244" name="Picture"/>
                  <a:graphic>
                    <a:graphicData uri="http://schemas.openxmlformats.org/drawingml/2006/picture">
                      <pic:pic>
                        <pic:nvPicPr>
                          <pic:cNvPr descr="manuscript/../assets/figures/fig6_2_rdm_upgrade_distribution.png" id="245" name="Picture"/>
                          <pic:cNvPicPr>
                            <a:picLocks noChangeArrowheads="1" noChangeAspect="1"/>
                          </pic:cNvPicPr>
                        </pic:nvPicPr>
                        <pic:blipFill>
                          <a:blip r:embed="rId243"/>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6"/>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50" w:name="fig-robustness"/>
          <w:p>
            <w:pPr>
              <w:pStyle w:val="Compact"/>
              <w:jc w:val="center"/>
            </w:pPr>
            <w:r>
              <w:drawing>
                <wp:inline>
                  <wp:extent cx="5334000" cy="3487516"/>
                  <wp:effectExtent b="0" l="0" r="0" t="0"/>
                  <wp:docPr descr="" title="" id="248" name="Picture"/>
                  <a:graphic>
                    <a:graphicData uri="http://schemas.openxmlformats.org/drawingml/2006/picture">
                      <pic:pic>
                        <pic:nvPicPr>
                          <pic:cNvPr descr="manuscript/../assets/figures/fig6_3_robustness_comparison.png" id="249" name="Picture"/>
                          <pic:cNvPicPr>
                            <a:picLocks noChangeArrowheads="1" noChangeAspect="1"/>
                          </pic:cNvPicPr>
                        </pic:nvPicPr>
                        <pic:blipFill>
                          <a:blip r:embed="rId247"/>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50"/>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54" w:name="fig-regret-cdf"/>
          <w:p>
            <w:pPr>
              <w:pStyle w:val="Compact"/>
              <w:jc w:val="center"/>
            </w:pPr>
            <w:r>
              <w:drawing>
                <wp:inline>
                  <wp:extent cx="5334000" cy="2175880"/>
                  <wp:effectExtent b="0" l="0" r="0" t="0"/>
                  <wp:docPr descr="" title="" id="252" name="Picture"/>
                  <a:graphic>
                    <a:graphicData uri="http://schemas.openxmlformats.org/drawingml/2006/picture">
                      <pic:pic>
                        <pic:nvPicPr>
                          <pic:cNvPr descr="manuscript/../assets/figures/fig6_4_regret_cdf_and_cost_difference.png" id="253" name="Picture"/>
                          <pic:cNvPicPr>
                            <a:picLocks noChangeArrowheads="1" noChangeAspect="1"/>
                          </pic:cNvPicPr>
                        </pic:nvPicPr>
                        <pic:blipFill>
                          <a:blip r:embed="rId251"/>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54"/>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5"/>
    <w:bookmarkStart w:id="256"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6"/>
    <w:bookmarkEnd w:id="257"/>
    <w:bookmarkStart w:id="259"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8"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8"/>
    <w:bookmarkEnd w:id="259"/>
    <w:bookmarkStart w:id="261"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60"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60"/>
    <w:bookmarkEnd w:id="261"/>
    <w:bookmarkStart w:id="267"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6" w:name="Xe2a15f6beaf6e10340f26c3ee1eea189ba864eb"/>
    <w:p>
      <w:pPr>
        <w:pStyle w:val="Heading2"/>
      </w:pPr>
      <w:r>
        <w:t xml:space="preserve">34.1 SM-6.4-C: Site Module Interface Contract and Schema Tables</w:t>
      </w:r>
    </w:p>
    <w:bookmarkStart w:id="262"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62"/>
    <w:bookmarkStart w:id="263"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63"/>
    <w:bookmarkStart w:id="264"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64"/>
    <w:bookmarkStart w:id="265"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5"/>
    <w:bookmarkEnd w:id="266"/>
    <w:bookmarkEnd w:id="267"/>
    <w:bookmarkStart w:id="272"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71"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8"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8"/>
    <w:bookmarkStart w:id="269"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9"/>
    <w:bookmarkStart w:id="270"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70"/>
    <w:bookmarkEnd w:id="271"/>
    <w:bookmarkEnd w:id="272"/>
    <w:bookmarkStart w:id="274"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73"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73"/>
    <w:bookmarkEnd w:id="274"/>
    <w:bookmarkStart w:id="279"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8" w:name="X7d4ec75426a9b17e4df6e476114f872265c3397"/>
    <w:p>
      <w:pPr>
        <w:pStyle w:val="Heading2"/>
      </w:pPr>
      <w:r>
        <w:t xml:space="preserve">37.1 SM-6.8-F: Validation Records and Artefact Log</w:t>
      </w:r>
    </w:p>
    <w:bookmarkStart w:id="275"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5"/>
    <w:bookmarkStart w:id="276"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6"/>
    <w:bookmarkStart w:id="277"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7"/>
    <w:bookmarkEnd w:id="278"/>
    <w:bookmarkEnd w:id="279"/>
    <w:bookmarkStart w:id="280" w:name="X7766ba4e2a82a555e219524eec2705b95757c1e"/>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80"/>
    <w:bookmarkStart w:id="294"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81"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81"/>
    <w:bookmarkStart w:id="282"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82"/>
    <w:bookmarkStart w:id="283"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83"/>
    <w:bookmarkStart w:id="284"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84"/>
    <w:bookmarkStart w:id="285"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5"/>
    <w:bookmarkStart w:id="286"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6"/>
    <w:bookmarkStart w:id="287"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7"/>
    <w:bookmarkStart w:id="288"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8"/>
    <w:bookmarkStart w:id="289"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9"/>
    <w:bookmarkStart w:id="293"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92">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93"/>
    <w:bookmarkEnd w:id="294"/>
    <w:bookmarkStart w:id="324"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5"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5"/>
    <w:bookmarkStart w:id="296"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6"/>
    <w:bookmarkStart w:id="297"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7"/>
    <w:bookmarkStart w:id="298"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8"/>
    <w:bookmarkStart w:id="299"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9"/>
    <w:bookmarkStart w:id="300"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300"/>
    <w:bookmarkStart w:id="301"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301"/>
    <w:bookmarkStart w:id="302"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302"/>
    <w:bookmarkStart w:id="303"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303"/>
    <w:bookmarkStart w:id="304"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304"/>
    <w:bookmarkStart w:id="305"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5"/>
    <w:bookmarkStart w:id="306"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6"/>
    <w:bookmarkStart w:id="307"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7"/>
    <w:bookmarkStart w:id="308"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8"/>
    <w:bookmarkStart w:id="309"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9"/>
    <w:bookmarkStart w:id="310"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10"/>
    <w:bookmarkStart w:id="311"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11"/>
    <w:bookmarkStart w:id="312"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12"/>
    <w:bookmarkStart w:id="313"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13"/>
    <w:bookmarkStart w:id="314"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14"/>
    <w:bookmarkStart w:id="315"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5"/>
    <w:bookmarkStart w:id="316"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6"/>
    <w:bookmarkStart w:id="317"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7"/>
    <w:bookmarkStart w:id="318"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8"/>
    <w:bookmarkStart w:id="319"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9"/>
    <w:bookmarkStart w:id="323"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20"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20"/>
    <w:bookmarkStart w:id="321"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21"/>
    <w:bookmarkStart w:id="322"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22"/>
    <w:bookmarkEnd w:id="323"/>
    <w:bookmarkEnd w:id="3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hyperlink" Id="rId34" Target="../references/glossary.qmd" TargetMode="External" /><Relationship Type="http://schemas.openxmlformats.org/officeDocument/2006/relationships/hyperlink" Id="rId29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7" Target="sub-modules/sm-4-4A-system-regret.qmd" TargetMode="External" /><Relationship Type="http://schemas.openxmlformats.org/officeDocument/2006/relationships/hyperlink" Id="rId176" Target="sub-modules/sm-5-2A-gxp-capacity.qmd" TargetMode="External" /><Relationship Type="http://schemas.openxmlformats.org/officeDocument/2006/relationships/hyperlink" Id="rId180" Target="sub-modules/sm-5-3A-biomass-supply.qmd" TargetMode="External" /><Relationship Type="http://schemas.openxmlformats.org/officeDocument/2006/relationships/hyperlink" Id="rId184" Target="sub-modules/sm-5-4A-ets-history.qmd" TargetMode="External" /><Relationship Type="http://schemas.openxmlformats.org/officeDocument/2006/relationships/hyperlink" Id="rId188" Target="sub-modules/sm-5-5A-times-nz-ecosystem.qmd" TargetMode="External" /><Relationship Type="http://schemas.openxmlformats.org/officeDocument/2006/relationships/hyperlink" Id="rId212" Target="sub-modules/sm-6-2A-poc-pipeline.qmd" TargetMode="External" /><Relationship Type="http://schemas.openxmlformats.org/officeDocument/2006/relationships/hyperlink" Id="rId216" Target="sub-modules/sm-6-3B-demandpack-methods.qmd" TargetMode="External" /><Relationship Type="http://schemas.openxmlformats.org/officeDocument/2006/relationships/hyperlink" Id="rId220" Target="sub-modules/sm-6-4C-site-interface-contract.qmd" TargetMode="External" /><Relationship Type="http://schemas.openxmlformats.org/officeDocument/2006/relationships/hyperlink" Id="rId224" Target="sub-modules/sm-6-5D-signalspack-contract.qmd" TargetMode="External" /><Relationship Type="http://schemas.openxmlformats.org/officeDocument/2006/relationships/hyperlink" Id="rId228" Target="sub-modules/sm-6-6E-pypsa-module-design.qmd" TargetMode="External" /><Relationship Type="http://schemas.openxmlformats.org/officeDocument/2006/relationships/hyperlink" Id="rId233"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9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7" Target="sub-modules/sm-4-4A-system-regret.qmd" TargetMode="External" /><Relationship Type="http://schemas.openxmlformats.org/officeDocument/2006/relationships/hyperlink" Id="rId176" Target="sub-modules/sm-5-2A-gxp-capacity.qmd" TargetMode="External" /><Relationship Type="http://schemas.openxmlformats.org/officeDocument/2006/relationships/hyperlink" Id="rId180" Target="sub-modules/sm-5-3A-biomass-supply.qmd" TargetMode="External" /><Relationship Type="http://schemas.openxmlformats.org/officeDocument/2006/relationships/hyperlink" Id="rId184" Target="sub-modules/sm-5-4A-ets-history.qmd" TargetMode="External" /><Relationship Type="http://schemas.openxmlformats.org/officeDocument/2006/relationships/hyperlink" Id="rId188" Target="sub-modules/sm-5-5A-times-nz-ecosystem.qmd" TargetMode="External" /><Relationship Type="http://schemas.openxmlformats.org/officeDocument/2006/relationships/hyperlink" Id="rId212" Target="sub-modules/sm-6-2A-poc-pipeline.qmd" TargetMode="External" /><Relationship Type="http://schemas.openxmlformats.org/officeDocument/2006/relationships/hyperlink" Id="rId216" Target="sub-modules/sm-6-3B-demandpack-methods.qmd" TargetMode="External" /><Relationship Type="http://schemas.openxmlformats.org/officeDocument/2006/relationships/hyperlink" Id="rId220" Target="sub-modules/sm-6-4C-site-interface-contract.qmd" TargetMode="External" /><Relationship Type="http://schemas.openxmlformats.org/officeDocument/2006/relationships/hyperlink" Id="rId224" Target="sub-modules/sm-6-5D-signalspack-contract.qmd" TargetMode="External" /><Relationship Type="http://schemas.openxmlformats.org/officeDocument/2006/relationships/hyperlink" Id="rId228" Target="sub-modules/sm-6-6E-pypsa-module-design.qmd" TargetMode="External" /><Relationship Type="http://schemas.openxmlformats.org/officeDocument/2006/relationships/hyperlink" Id="rId233"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dc:description>A governed, modular analytical environment for long-horizon planning under deep uncertainty—demonstrated on NZ industrial process heat decarbonisation; 93/100 futures favour biomass over full electrification when regional infrastructure costs are visible.</dc:description>
  <cp:keywords/>
  <dcterms:created xsi:type="dcterms:W3CDTF">2026-05-19T01:33:43Z</dcterms:created>
  <dcterms:modified xsi:type="dcterms:W3CDTF">2026-05-19T01:33:43Z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itle-block-banner">
    <vt:lpwstr>False</vt:lpwstr>
  </property>
  <property fmtid="{D5CDD505-2E9C-101B-9397-08002B2CF9AE}" pid="19" name="title-block-style">
    <vt:lpwstr>none</vt:lpwstr>
  </property>
  <property fmtid="{D5CDD505-2E9C-101B-9397-08002B2CF9AE}" pid="20" name="toc-title">
    <vt:lpwstr>Table of contents</vt:lpwstr>
  </property>
</Properties>
</file>