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opt/quarto/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maintained at the University of Auckland Energy Centre in partnership with the BusinessNZ Energy Council.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represents a full year using 24 time slices — combinations of season and time-of-day that together approximate the variety of supply and demand conditions across the year.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aggregates New Zealand to two regions — broadly North Island and South Island — connected by the HVDC inter-island link.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sensitivity analysis is conducted through scenario comparison rather than probabilistic or DMDU-style ensemble evaluation. Typical studies vary one parameter at a time across a set of internally consistent configurations: high versus low electricity demand growth, faster versus slower EV uptake, different carbon price trajectories, alternative technology cost assumptions. Each scenario produces a complete optimal investment pathway for the national system.</w:t>
      </w:r>
    </w:p>
    <w:p>
      <w:pPr>
        <w:pStyle w:val="BodyText"/>
      </w:pPr>
      <w:r>
        <w:t xml:space="preserve">The strengths of this approach are transparency and interpretability: each scenario is a coherent, self-consistent account of a possible future. The limitation is coverage. With five to eight scenarios, the analysis explores only a tiny fraction of the combinatorial uncertainty space, and the scenarios are typically designed to bound a range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produces five to eight internally consistent national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scenario outputs provide plausible national electricity price trajectories, carbon price pathways under different ETS designs, and sectoral demand projections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2.0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2.0 Energy Scenarios</w:t>
            </w:r>
          </w:p>
        </w:tc>
        <w:tc>
          <w:tcPr/>
          <w:p>
            <w:pPr>
              <w:pStyle w:val="Compact"/>
            </w:pPr>
            <w:r>
              <w:t xml:space="preserve">University of Auckland / BEC</w:t>
            </w:r>
          </w:p>
        </w:tc>
        <w:tc>
          <w:tcPr/>
          <w:p>
            <w:pPr>
              <w:pStyle w:val="Compact"/>
            </w:pPr>
            <w:r>
              <w:t xml:space="preserve">p_elec_mult range; ets_price range</w:t>
            </w:r>
          </w:p>
        </w:tc>
        <w:tc>
          <w:tcPr/>
          <w:p>
            <w:pPr>
              <w:pStyle w:val="Compact"/>
            </w:pPr>
            <w:r>
              <w:t xml:space="preserve">Tūī and Kea scenario wholesale price trajectories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png" id="232" name="Picture"/>
                          <pic:cNvPicPr>
                            <a:picLocks noChangeArrowheads="1" noChangeAspect="1"/>
                          </pic:cNvPicPr>
                        </pic:nvPicPr>
                        <pic:blipFill>
                          <a:blip r:embed="rId230"/>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2026-05-07T23:55:49Z</dcterms:created>
  <dcterms:modified xsi:type="dcterms:W3CDTF">2026-05-07T23:55:49Z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