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png" ContentType="image/png"/>
  <Override PartName="/word/media/rId64.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png" id="66" name="Picture"/>
                          <pic:cNvPicPr>
                            <a:picLocks noChangeArrowheads="1" noChangeAspect="1"/>
                          </pic:cNvPicPr>
                        </pic:nvPicPr>
                        <pic:blipFill>
                          <a:blip r:embed="rId64"/>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0"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9" w:name="X6402a51fa30169410af258e02f778bc913a4caa"/>
    <w:p>
      <w:pPr>
        <w:pStyle w:val="Heading2"/>
      </w:pPr>
      <w:r>
        <w:t xml:space="preserve">15.1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9"/>
    <w:bookmarkEnd w:id="120"/>
    <w:bookmarkStart w:id="122"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1"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1"/>
    <w:bookmarkEnd w:id="122"/>
    <w:bookmarkStart w:id="124"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3"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3"/>
    <w:bookmarkEnd w:id="124"/>
    <w:bookmarkStart w:id="125"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5"/>
    <w:bookmarkStart w:id="143"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6"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6"/>
    <w:bookmarkStart w:id="127"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7"/>
    <w:bookmarkStart w:id="128"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8"/>
    <w:bookmarkStart w:id="129"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9"/>
    <w:bookmarkStart w:id="133"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opt/quarto/share/formats/docx/tip.png" id="13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2">
              <w:r>
                <w:rPr>
                  <w:rStyle w:val="Hyperlink"/>
                </w:rPr>
                <w:t xml:space="preserve">SM-3.5-A</w:t>
              </w:r>
            </w:hyperlink>
            <w:r>
              <w:t xml:space="preserve">. Do not skip when implementing any module that produces or consumes these artefacts.</w:t>
            </w:r>
          </w:p>
          <w:p/>
        </w:tc>
      </w:tr>
    </w:tbl>
    <w:bookmarkEnd w:id="133"/>
    <w:bookmarkStart w:id="134"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4"/>
    <w:bookmarkStart w:id="138"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7">
              <w:r>
                <w:rPr>
                  <w:rStyle w:val="Hyperlink"/>
                </w:rPr>
                <w:t xml:space="preserve">SM-3.7-A</w:t>
              </w:r>
            </w:hyperlink>
            <w:r>
              <w:t xml:space="preserve">. Skip if conceptual backbone understanding is sufficient; process when implementing the next-phase backbone.</w:t>
            </w:r>
          </w:p>
          <w:p/>
        </w:tc>
      </w:tr>
    </w:tbl>
    <w:bookmarkEnd w:id="138"/>
    <w:bookmarkStart w:id="142"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1">
              <w:r>
                <w:rPr>
                  <w:rStyle w:val="Hyperlink"/>
                </w:rPr>
                <w:t xml:space="preserve">SM-3.8-A</w:t>
              </w:r>
            </w:hyperlink>
            <w:r>
              <w:t xml:space="preserve">. Process when deploying any surrogate module.</w:t>
            </w:r>
          </w:p>
          <w:p/>
        </w:tc>
      </w:tr>
    </w:tbl>
    <w:bookmarkEnd w:id="142"/>
    <w:bookmarkEnd w:id="143"/>
    <w:bookmarkStart w:id="152"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0"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4"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4"/>
    <w:bookmarkStart w:id="145"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5"/>
    <w:bookmarkStart w:id="146"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6"/>
    <w:bookmarkStart w:id="147"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7"/>
    <w:bookmarkStart w:id="148"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8"/>
    <w:bookmarkStart w:id="149"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9"/>
    <w:bookmarkEnd w:id="150"/>
    <w:bookmarkStart w:id="151"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1"/>
    <w:bookmarkEnd w:id="152"/>
    <w:bookmarkStart w:id="154"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3"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3"/>
    <w:bookmarkEnd w:id="154"/>
    <w:bookmarkStart w:id="156"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5"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5"/>
    <w:bookmarkEnd w:id="156"/>
    <w:bookmarkStart w:id="164"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7"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7"/>
    <w:bookmarkStart w:id="158"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8"/>
    <w:bookmarkStart w:id="159"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9"/>
    <w:bookmarkStart w:id="163"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2">
              <w:r>
                <w:rPr>
                  <w:rStyle w:val="Hyperlink"/>
                </w:rPr>
                <w:t xml:space="preserve">SM-4.4-A</w:t>
              </w:r>
            </w:hyperlink>
            <w:r>
              <w:t xml:space="preserve">. Skip if the conceptual account above is sufficient; process when the formal basis of the evaluation frame divergence is needed.</w:t>
            </w:r>
          </w:p>
          <w:p/>
        </w:tc>
      </w:tr>
    </w:tbl>
    <w:bookmarkEnd w:id="163"/>
    <w:bookmarkEnd w:id="164"/>
    <w:bookmarkStart w:id="166"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5"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5"/>
    <w:bookmarkEnd w:id="166"/>
    <w:bookmarkStart w:id="167"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7"/>
    <w:bookmarkStart w:id="186"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8"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8"/>
    <w:bookmarkStart w:id="172"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tip.png" id="17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1">
              <w:r>
                <w:rPr>
                  <w:rStyle w:val="Hyperlink"/>
                </w:rPr>
                <w:t xml:space="preserve">SM-5.2-A</w:t>
              </w:r>
            </w:hyperlink>
            <w:r>
              <w:t xml:space="preserve">. Process when verifying the headroom multiplier range used in the FutureArtefact ensemble design.</w:t>
            </w:r>
          </w:p>
          <w:p/>
        </w:tc>
      </w:tr>
    </w:tbl>
    <w:bookmarkEnd w:id="172"/>
    <w:bookmarkStart w:id="176"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5">
              <w:r>
                <w:rPr>
                  <w:rStyle w:val="Hyperlink"/>
                </w:rPr>
                <w:t xml:space="preserve">SM-5.3-A</w:t>
              </w:r>
            </w:hyperlink>
            <w:r>
              <w:t xml:space="preserve">. Process when verifying the biomass availability and cost multiplier ranges.</w:t>
            </w:r>
          </w:p>
          <w:p/>
        </w:tc>
      </w:tr>
    </w:tbl>
    <w:bookmarkEnd w:id="176"/>
    <w:bookmarkStart w:id="180"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tip.png" id="17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9">
              <w:r>
                <w:rPr>
                  <w:rStyle w:val="Hyperlink"/>
                </w:rPr>
                <w:t xml:space="preserve">SM-5.4-A</w:t>
              </w:r>
            </w:hyperlink>
            <w:r>
              <w:t xml:space="preserve">. Process when verifying the ETS price range in the FutureArtefact design.</w:t>
            </w:r>
          </w:p>
          <w:p/>
        </w:tc>
      </w:tr>
    </w:tbl>
    <w:bookmarkEnd w:id="180"/>
    <w:bookmarkStart w:id="184"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tip.png" id="18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3">
              <w:r>
                <w:rPr>
                  <w:rStyle w:val="Hyperlink"/>
                </w:rPr>
                <w:t xml:space="preserve">SM-5.5-A</w:t>
              </w:r>
            </w:hyperlink>
            <w:r>
              <w:t xml:space="preserve">. Skip if TIMES-NZ technical detail is not required.</w:t>
            </w:r>
          </w:p>
          <w:p/>
        </w:tc>
      </w:tr>
    </w:tbl>
    <w:bookmarkEnd w:id="184"/>
    <w:bookmarkStart w:id="185"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5"/>
    <w:bookmarkEnd w:id="186"/>
    <w:bookmarkStart w:id="188"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7"/>
    <w:bookmarkEnd w:id="188"/>
    <w:bookmarkStart w:id="190"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9"/>
    <w:bookmarkEnd w:id="190"/>
    <w:bookmarkStart w:id="192"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1"/>
    <w:bookmarkEnd w:id="192"/>
    <w:bookmarkStart w:id="203"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3"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3"/>
    <w:bookmarkStart w:id="194"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4"/>
    <w:bookmarkStart w:id="195"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5"/>
    <w:bookmarkStart w:id="196"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196"/>
    <w:bookmarkStart w:id="197"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7"/>
    <w:bookmarkStart w:id="198"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198"/>
    <w:bookmarkStart w:id="199"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9"/>
    <w:bookmarkStart w:id="202"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tip.png" id="20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2"/>
    <w:bookmarkEnd w:id="203"/>
    <w:bookmarkStart w:id="252"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4"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4"/>
    <w:bookmarkStart w:id="208"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7">
              <w:r>
                <w:rPr>
                  <w:rStyle w:val="Hyperlink"/>
                </w:rPr>
                <w:t xml:space="preserve">SM-6.2-A</w:t>
              </w:r>
            </w:hyperlink>
            <w:r>
              <w:t xml:space="preserve">. Process when replicating or extending the pipeline.</w:t>
            </w:r>
          </w:p>
          <w:p/>
        </w:tc>
      </w:tr>
    </w:tbl>
    <w:bookmarkEnd w:id="208"/>
    <w:bookmarkStart w:id="212"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tip.png" id="2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1">
              <w:r>
                <w:rPr>
                  <w:rStyle w:val="Hyperlink"/>
                </w:rPr>
                <w:t xml:space="preserve">SM-6.3-B</w:t>
              </w:r>
            </w:hyperlink>
            <w:r>
              <w:t xml:space="preserve">. Process when validating or reproducing the DemandPack construction.</w:t>
            </w:r>
          </w:p>
          <w:p/>
        </w:tc>
      </w:tr>
    </w:tbl>
    <w:bookmarkEnd w:id="212"/>
    <w:bookmarkStart w:id="216"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tip.png" id="2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5">
              <w:r>
                <w:rPr>
                  <w:rStyle w:val="Hyperlink"/>
                </w:rPr>
                <w:t xml:space="preserve">SM-6.4-C</w:t>
              </w:r>
            </w:hyperlink>
            <w:r>
              <w:t xml:space="preserve">. Process when implementing or verifying site module compliance.</w:t>
            </w:r>
          </w:p>
          <w:p/>
        </w:tc>
      </w:tr>
    </w:tbl>
    <w:bookmarkEnd w:id="216"/>
    <w:bookmarkStart w:id="220"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tip.png" id="21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9">
              <w:r>
                <w:rPr>
                  <w:rStyle w:val="Hyperlink"/>
                </w:rPr>
                <w:t xml:space="preserve">SM-6.5-D</w:t>
              </w:r>
            </w:hyperlink>
            <w:r>
              <w:t xml:space="preserve">. Process when verifying SignalsPack integrity or planning a module upgrade.</w:t>
            </w:r>
          </w:p>
          <w:p/>
        </w:tc>
      </w:tr>
    </w:tbl>
    <w:bookmarkEnd w:id="220"/>
    <w:bookmarkStart w:id="224"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tip.png" id="22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3">
              <w:r>
                <w:rPr>
                  <w:rStyle w:val="Hyperlink"/>
                </w:rPr>
                <w:t xml:space="preserve">SM-6.6-E</w:t>
              </w:r>
            </w:hyperlink>
            <w:r>
              <w:t xml:space="preserve">. Process when planning or implementing the PyPSA regional module.</w:t>
            </w:r>
          </w:p>
          <w:p/>
        </w:tc>
      </w:tr>
    </w:tbl>
    <w:bookmarkEnd w:id="224"/>
    <w:bookmarkStart w:id="225"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5"/>
    <w:bookmarkStart w:id="229"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8">
              <w:r>
                <w:rPr>
                  <w:rStyle w:val="Hyperlink"/>
                </w:rPr>
                <w:t xml:space="preserve">SM-6.8-F</w:t>
              </w:r>
            </w:hyperlink>
            <w:r>
              <w:t xml:space="preserve">. Process when auditing the PoC or verifying governance completeness.</w:t>
            </w:r>
          </w:p>
          <w:p/>
        </w:tc>
      </w:tr>
    </w:tbl>
    <w:bookmarkEnd w:id="229"/>
    <w:bookmarkStart w:id="250"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3" w:name="fig-pathway-decision"/>
          <w:p>
            <w:pPr>
              <w:pStyle w:val="Compact"/>
              <w:jc w:val="center"/>
            </w:pPr>
            <w:r>
              <w:drawing>
                <wp:inline>
                  <wp:extent cx="5334000" cy="3017921"/>
                  <wp:effectExtent b="0" l="0" r="0" t="0"/>
                  <wp:docPr descr="" title="" id="231" name="Picture"/>
                  <a:graphic>
                    <a:graphicData uri="http://schemas.openxmlformats.org/drawingml/2006/picture">
                      <pic:pic>
                        <pic:nvPicPr>
                          <pic:cNvPr descr="manuscript/../assets/figures/diagram3-pathway-comparison.png" id="232" name="Picture"/>
                          <pic:cNvPicPr>
                            <a:picLocks noChangeArrowheads="1" noChangeAspect="1"/>
                          </pic:cNvPicPr>
                        </pic:nvPicPr>
                        <pic:blipFill>
                          <a:blip r:embed="rId230"/>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3"/>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7" w:name="fig-dispatch-epochs"/>
          <w:p>
            <w:pPr>
              <w:pStyle w:val="Compact"/>
              <w:jc w:val="center"/>
            </w:pPr>
            <w:r>
              <w:drawing>
                <wp:inline>
                  <wp:extent cx="5334000" cy="2510952"/>
                  <wp:effectExtent b="0" l="0" r="0" t="0"/>
                  <wp:docPr descr="" title="" id="235" name="Picture"/>
                  <a:graphic>
                    <a:graphicData uri="http://schemas.openxmlformats.org/drawingml/2006/picture">
                      <pic:pic>
                        <pic:nvPicPr>
                          <pic:cNvPr descr="manuscript/../assets/figures/fig6_1_dispatch_epochs.png" id="236" name="Picture"/>
                          <pic:cNvPicPr>
                            <a:picLocks noChangeArrowheads="1" noChangeAspect="1"/>
                          </pic:cNvPicPr>
                        </pic:nvPicPr>
                        <pic:blipFill>
                          <a:blip r:embed="rId234"/>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7"/>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1" w:name="fig-rdm-upgrade"/>
          <w:p>
            <w:pPr>
              <w:pStyle w:val="Compact"/>
              <w:jc w:val="center"/>
            </w:pPr>
            <w:r>
              <w:drawing>
                <wp:inline>
                  <wp:extent cx="5334000" cy="2364529"/>
                  <wp:effectExtent b="0" l="0" r="0" t="0"/>
                  <wp:docPr descr="" title="" id="239" name="Picture"/>
                  <a:graphic>
                    <a:graphicData uri="http://schemas.openxmlformats.org/drawingml/2006/picture">
                      <pic:pic>
                        <pic:nvPicPr>
                          <pic:cNvPr descr="manuscript/../assets/figures/fig6_2_rdm_upgrade_distribution.png" id="240" name="Picture"/>
                          <pic:cNvPicPr>
                            <a:picLocks noChangeArrowheads="1" noChangeAspect="1"/>
                          </pic:cNvPicPr>
                        </pic:nvPicPr>
                        <pic:blipFill>
                          <a:blip r:embed="rId238"/>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1"/>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5" w:name="fig-robustness"/>
          <w:p>
            <w:pPr>
              <w:pStyle w:val="Compact"/>
              <w:jc w:val="center"/>
            </w:pPr>
            <w:r>
              <w:drawing>
                <wp:inline>
                  <wp:extent cx="5334000" cy="3487516"/>
                  <wp:effectExtent b="0" l="0" r="0" t="0"/>
                  <wp:docPr descr="" title="" id="243" name="Picture"/>
                  <a:graphic>
                    <a:graphicData uri="http://schemas.openxmlformats.org/drawingml/2006/picture">
                      <pic:pic>
                        <pic:nvPicPr>
                          <pic:cNvPr descr="manuscript/../assets/figures/fig6_3_robustness_comparison.png" id="244" name="Picture"/>
                          <pic:cNvPicPr>
                            <a:picLocks noChangeArrowheads="1" noChangeAspect="1"/>
                          </pic:cNvPicPr>
                        </pic:nvPicPr>
                        <pic:blipFill>
                          <a:blip r:embed="rId242"/>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5"/>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9" w:name="fig-regret-cdf"/>
          <w:p>
            <w:pPr>
              <w:pStyle w:val="Compact"/>
              <w:jc w:val="center"/>
            </w:pPr>
            <w:r>
              <w:drawing>
                <wp:inline>
                  <wp:extent cx="5334000" cy="2175880"/>
                  <wp:effectExtent b="0" l="0" r="0" t="0"/>
                  <wp:docPr descr="" title="" id="247" name="Picture"/>
                  <a:graphic>
                    <a:graphicData uri="http://schemas.openxmlformats.org/drawingml/2006/picture">
                      <pic:pic>
                        <pic:nvPicPr>
                          <pic:cNvPr descr="manuscript/../assets/figures/fig6_4_regret_cdf_and_cost_difference.png" id="248" name="Picture"/>
                          <pic:cNvPicPr>
                            <a:picLocks noChangeArrowheads="1" noChangeAspect="1"/>
                          </pic:cNvPicPr>
                        </pic:nvPicPr>
                        <pic:blipFill>
                          <a:blip r:embed="rId246"/>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49"/>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0"/>
    <w:bookmarkStart w:id="251"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1"/>
    <w:bookmarkEnd w:id="252"/>
    <w:bookmarkStart w:id="254"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3"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3"/>
    <w:bookmarkEnd w:id="254"/>
    <w:bookmarkStart w:id="256"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5"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5"/>
    <w:bookmarkEnd w:id="256"/>
    <w:bookmarkStart w:id="262"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1" w:name="Xe2a15f6beaf6e10340f26c3ee1eea189ba864eb"/>
    <w:p>
      <w:pPr>
        <w:pStyle w:val="Heading2"/>
      </w:pPr>
      <w:r>
        <w:t xml:space="preserve">34.1 SM-6.4-C: Site Module Interface Contract and Schema Tables</w:t>
      </w:r>
    </w:p>
    <w:bookmarkStart w:id="257"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7"/>
    <w:bookmarkStart w:id="258"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8"/>
    <w:bookmarkStart w:id="259"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9"/>
    <w:bookmarkStart w:id="260"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0"/>
    <w:bookmarkEnd w:id="261"/>
    <w:bookmarkEnd w:id="262"/>
    <w:bookmarkStart w:id="267"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6"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3"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3"/>
    <w:bookmarkStart w:id="264"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4"/>
    <w:bookmarkStart w:id="265"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5"/>
    <w:bookmarkEnd w:id="266"/>
    <w:bookmarkEnd w:id="267"/>
    <w:bookmarkStart w:id="269"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8"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8"/>
    <w:bookmarkEnd w:id="269"/>
    <w:bookmarkStart w:id="274"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3" w:name="X7d4ec75426a9b17e4df6e476114f872265c3397"/>
    <w:p>
      <w:pPr>
        <w:pStyle w:val="Heading2"/>
      </w:pPr>
      <w:r>
        <w:t xml:space="preserve">37.1 SM-6.8-F: Validation Records and Artefact Log</w:t>
      </w:r>
    </w:p>
    <w:bookmarkStart w:id="270"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0"/>
    <w:bookmarkStart w:id="271"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1"/>
    <w:bookmarkStart w:id="272"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2"/>
    <w:bookmarkEnd w:id="273"/>
    <w:bookmarkEnd w:id="274"/>
    <w:bookmarkStart w:id="275"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5"/>
    <w:bookmarkStart w:id="289"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6"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6"/>
    <w:bookmarkStart w:id="277"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7"/>
    <w:bookmarkStart w:id="278"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8"/>
    <w:bookmarkStart w:id="279"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9"/>
    <w:bookmarkStart w:id="280"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0"/>
    <w:bookmarkStart w:id="281"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1"/>
    <w:bookmarkStart w:id="282"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2"/>
    <w:bookmarkStart w:id="283"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3"/>
    <w:bookmarkStart w:id="284"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4"/>
    <w:bookmarkStart w:id="288"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tip.png" id="2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7">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8"/>
    <w:bookmarkEnd w:id="289"/>
    <w:bookmarkStart w:id="319"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0"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0"/>
    <w:bookmarkStart w:id="291"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1"/>
    <w:bookmarkStart w:id="292"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2"/>
    <w:bookmarkStart w:id="293"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3"/>
    <w:bookmarkStart w:id="294"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4"/>
    <w:bookmarkStart w:id="295"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5"/>
    <w:bookmarkStart w:id="296"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6"/>
    <w:bookmarkStart w:id="297"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7"/>
    <w:bookmarkStart w:id="298"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8"/>
    <w:bookmarkStart w:id="299"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9"/>
    <w:bookmarkStart w:id="300"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0"/>
    <w:bookmarkStart w:id="301"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1"/>
    <w:bookmarkStart w:id="302"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2"/>
    <w:bookmarkStart w:id="303"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3"/>
    <w:bookmarkStart w:id="304"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4"/>
    <w:bookmarkStart w:id="305"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5"/>
    <w:bookmarkStart w:id="306"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6"/>
    <w:bookmarkStart w:id="307"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7"/>
    <w:bookmarkStart w:id="308"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8"/>
    <w:bookmarkStart w:id="309"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9"/>
    <w:bookmarkStart w:id="310"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0"/>
    <w:bookmarkStart w:id="311"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1"/>
    <w:bookmarkStart w:id="312"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2"/>
    <w:bookmarkStart w:id="313"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3"/>
    <w:bookmarkStart w:id="314"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4"/>
    <w:bookmarkStart w:id="318"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5"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5"/>
    <w:bookmarkStart w:id="316"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6"/>
    <w:bookmarkStart w:id="317"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7"/>
    <w:bookmarkEnd w:id="318"/>
    <w:bookmarkEnd w:id="3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cp:keywords/>
  <dcterms:created xsi:type="dcterms:W3CDTF">2026-05-08T20:52:42Z</dcterms:created>
  <dcterms:modified xsi:type="dcterms:W3CDTF">2026-05-08T20:52:42Z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