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svg" ContentType="image/svg+xml"/>
  <Override PartName="/word/media/rId64.svg" ContentType="image/svg+xml"/>
  <Override PartName="/word/media/rId230.svg" ContentType="image/svg+xml"/>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sensitivity analysis is conducted through scenario comparison rather than probabilistic or DMDU-style ensemble evaluation. Typical studies vary one parameter at a time across a set of internally consistent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svg" id="2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svg" /><Relationship Type="http://schemas.openxmlformats.org/officeDocument/2006/relationships/image" Id="rId64" Target="media/rId64.svg" /><Relationship Type="http://schemas.openxmlformats.org/officeDocument/2006/relationships/image" Id="rId230" Target="media/rId230.sv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2026-05-07T23:32:58Z</dcterms:created>
  <dcterms:modified xsi:type="dcterms:W3CDTF">2026-05-07T23:32:58Z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