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54.png" ContentType="image/png"/>
  <Override PartName="/word/media/rId64.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Module 1: Foundations</w:t>
              </w:r>
            </w:hyperlink>
          </w:p>
        </w:tc>
      </w:tr>
      <w:tr>
        <w:tc>
          <w:tcPr/>
          <w:p>
            <w:pPr>
              <w:pStyle w:val="Compact"/>
            </w:pPr>
            <w:r>
              <w:t xml:space="preserve">An energy system modeller or tool developer</w:t>
            </w:r>
          </w:p>
        </w:tc>
        <w:tc>
          <w:tcPr/>
          <w:p>
            <w:pPr>
              <w:pStyle w:val="Compact"/>
            </w:pPr>
            <w:hyperlink r:id="rId11">
              <w:r>
                <w:rPr>
                  <w:rStyle w:val="Hyperlink"/>
                </w:rPr>
                <w:t xml:space="preserve">Module 3: Architecture</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Module 6: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Model\tools\quarto-1.9.37\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0" w:name="the-framework-part-i-foundations-1"/>
    <w:p>
      <w:pPr>
        <w:pStyle w:val="Heading1"/>
      </w:pPr>
      <w:r>
        <w:t xml:space="preserve">7. The Framework — Part I: Foundations</w:t>
      </w:r>
    </w:p>
    <w:p>
      <w:pPr>
        <w:pStyle w:val="FirstParagraph"/>
      </w:pPr>
      <w:r>
        <w:t xml:space="preserve">Modules 0 through 2 establish the conceptual and</w:t>
      </w:r>
      <w:r>
        <w:t xml:space="preserve"> </w:t>
      </w:r>
      <w:r>
        <w:t xml:space="preserve">methodological foundations: why decision-centred</w:t>
      </w:r>
      <w:r>
        <w:t xml:space="preserve"> </w:t>
      </w:r>
      <w:r>
        <w:t xml:space="preserve">boundary setting is necessary, why conventional</w:t>
      </w:r>
      <w:r>
        <w:t xml:space="preserve"> </w:t>
      </w:r>
      <w:r>
        <w:t xml:space="preserve">tools are insufficient, and what kind of</w:t>
      </w:r>
      <w:r>
        <w:t xml:space="preserve"> </w:t>
      </w:r>
      <w:r>
        <w:t xml:space="preserve">mathematical and modelling architecture is required.</w:t>
      </w:r>
    </w:p>
    <w:bookmarkEnd w:id="60"/>
    <w:bookmarkStart w:id="71" w:name="module-0-orientation"/>
    <w:p>
      <w:pPr>
        <w:pStyle w:val="Heading1"/>
      </w:pPr>
      <w:r>
        <w:t xml:space="preserve">8. Module 0: Orientation</w:t>
      </w:r>
    </w:p>
    <w:p>
      <w:pPr>
        <w:pStyle w:val="FirstParagraph"/>
      </w:pPr>
      <w:r>
        <w:t xml:space="preserve">The Framework at a Glance</w:t>
      </w:r>
    </w:p>
    <w:p>
      <w:pPr>
        <w:pStyle w:val="BodyText"/>
      </w:pPr>
      <w:r>
        <w:br/>
      </w:r>
    </w:p>
    <w:bookmarkStart w:id="61"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1"/>
    <w:bookmarkStart w:id="62"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2"/>
    <w:bookmarkStart w:id="63"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3"/>
    <w:bookmarkStart w:id="68"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7" w:name="fig-architecture"/>
          <w:p>
            <w:pPr>
              <w:pStyle w:val="Compact"/>
              <w:jc w:val="center"/>
            </w:pPr>
            <w:r>
              <w:drawing>
                <wp:inline>
                  <wp:extent cx="5334000" cy="3852333"/>
                  <wp:effectExtent b="0" l="0" r="0" t="0"/>
                  <wp:docPr descr="" title="" id="65" name="Picture"/>
                  <a:graphic>
                    <a:graphicData uri="http://schemas.openxmlformats.org/drawingml/2006/picture">
                      <pic:pic>
                        <pic:nvPicPr>
                          <pic:cNvPr descr="manuscript/../assets/figures/diagram1-architecture-stack.png" id="66" name="Picture"/>
                          <pic:cNvPicPr>
                            <a:picLocks noChangeArrowheads="1" noChangeAspect="1"/>
                          </pic:cNvPicPr>
                        </pic:nvPicPr>
                        <pic:blipFill>
                          <a:blip r:embed="rId64"/>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7"/>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68"/>
    <w:bookmarkStart w:id="69"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69"/>
    <w:bookmarkStart w:id="70"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0"/>
    <w:bookmarkEnd w:id="71"/>
    <w:bookmarkStart w:id="89"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6"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Model\tools\quarto-1.9.37\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5">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6"/>
    <w:bookmarkStart w:id="77"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7"/>
    <w:bookmarkStart w:id="78"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78"/>
    <w:bookmarkStart w:id="82"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Model\tools\quarto-1.9.37\share\formats\docx\tip.png" id="8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1">
              <w:r>
                <w:rPr>
                  <w:rStyle w:val="Hyperlink"/>
                </w:rPr>
                <w:t xml:space="preserve">SM-1.4-A</w:t>
              </w:r>
            </w:hyperlink>
            <w:r>
              <w:t xml:space="preserve">.</w:t>
            </w:r>
            <w:r>
              <w:t xml:space="preserve"> </w:t>
            </w:r>
            <w:r>
              <w:t xml:space="preserve">Skip if formal decision theory is already known.</w:t>
            </w:r>
          </w:p>
          <w:p/>
        </w:tc>
      </w:tr>
    </w:tbl>
    <w:bookmarkEnd w:id="82"/>
    <w:bookmarkStart w:id="83"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3"/>
    <w:bookmarkStart w:id="84"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4"/>
    <w:bookmarkStart w:id="88"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Model\tools\quarto-1.9.37\share\formats\docx\tip.png" id="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7">
              <w:r>
                <w:rPr>
                  <w:rStyle w:val="Hyperlink"/>
                </w:rPr>
                <w:t xml:space="preserve">SM-1.7-A</w:t>
              </w:r>
            </w:hyperlink>
            <w:r>
              <w:t xml:space="preserve">.</w:t>
            </w:r>
            <w:r>
              <w:t xml:space="preserve"> </w:t>
            </w:r>
            <w:r>
              <w:t xml:space="preserve">Skip for conceptual reading; use when verifying implementation.</w:t>
            </w:r>
          </w:p>
          <w:p/>
        </w:tc>
      </w:tr>
    </w:tbl>
    <w:bookmarkEnd w:id="88"/>
    <w:bookmarkEnd w:id="89"/>
    <w:bookmarkStart w:id="91"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0"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0"/>
    <w:bookmarkEnd w:id="91"/>
    <w:bookmarkStart w:id="99" w:name="sub-module-1.2-a"/>
    <w:p>
      <w:pPr>
        <w:pStyle w:val="Heading1"/>
      </w:pPr>
      <w:r>
        <w:t xml:space="preserve">11.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2" w:name="indices-and-sets"/>
    <w:p>
      <w:pPr>
        <w:pStyle w:val="Heading2"/>
      </w:pPr>
      <w:r>
        <w:t xml:space="preserve">11.1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2"/>
    <w:bookmarkStart w:id="93" w:name="demand-construction-demandpack"/>
    <w:p>
      <w:pPr>
        <w:pStyle w:val="Heading2"/>
      </w:pPr>
      <w:r>
        <w:t xml:space="preserve">11.2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3"/>
    <w:bookmarkStart w:id="94" w:name="site-dispatch"/>
    <w:p>
      <w:pPr>
        <w:pStyle w:val="Heading2"/>
      </w:pPr>
      <w:r>
        <w:t xml:space="preserve">11.3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94"/>
    <w:bookmarkStart w:id="95" w:name="gxp-interface-signals"/>
    <w:p>
      <w:pPr>
        <w:pStyle w:val="Heading2"/>
      </w:pPr>
      <w:r>
        <w:t xml:space="preserve">11.4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95"/>
    <w:bookmarkStart w:id="96" w:name="economic-notation"/>
    <w:p>
      <w:pPr>
        <w:pStyle w:val="Heading2"/>
      </w:pPr>
      <w:r>
        <w:t xml:space="preserve">11.5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96"/>
    <w:bookmarkStart w:id="97" w:name="robustness-and-regret"/>
    <w:p>
      <w:pPr>
        <w:pStyle w:val="Heading2"/>
      </w:pPr>
      <w:r>
        <w:t xml:space="preserve">11.6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97"/>
    <w:bookmarkStart w:id="98" w:name="X89cfa361ec77b148628229a0da91787638b71af"/>
    <w:p>
      <w:pPr>
        <w:pStyle w:val="Heading2"/>
      </w:pPr>
      <w:r>
        <w:t xml:space="preserve">11.7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98"/>
    <w:bookmarkEnd w:id="99"/>
    <w:bookmarkStart w:id="101" w:name="sub-module-1.4-a"/>
    <w:p>
      <w:pPr>
        <w:pStyle w:val="Heading1"/>
      </w:pPr>
      <w:r>
        <w:t xml:space="preserve">12.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100" w:name="X69635ae1c73923f9a6444193a28864d61fa98a8"/>
    <w:p>
      <w:pPr>
        <w:pStyle w:val="Heading2"/>
      </w:pPr>
      <w:r>
        <w:t xml:space="preserve">12.1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100"/>
    <w:bookmarkEnd w:id="101"/>
    <w:bookmarkStart w:id="103" w:name="sub-module-1.7-a"/>
    <w:p>
      <w:pPr>
        <w:pStyle w:val="Heading1"/>
      </w:pPr>
      <w:r>
        <w:t xml:space="preserve">13.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102" w:name="X62e5ca817b5c2a1ea5ab7d0bbc6537e54d0f226"/>
    <w:p>
      <w:pPr>
        <w:pStyle w:val="Heading2"/>
      </w:pPr>
      <w:r>
        <w:t xml:space="preserve">13.1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102"/>
    <w:bookmarkEnd w:id="103"/>
    <w:bookmarkStart w:id="118" w:name="module-2-modelling-foundations"/>
    <w:p>
      <w:pPr>
        <w:pStyle w:val="Heading1"/>
      </w:pPr>
      <w:r>
        <w:t xml:space="preserve">14.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04" w:name="Xe3e187b946834871b3813e5b533b2f3de603610"/>
    <w:p>
      <w:pPr>
        <w:pStyle w:val="Heading2"/>
      </w:pPr>
      <w:r>
        <w:t xml:space="preserve">14.1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04"/>
    <w:bookmarkStart w:id="108" w:name="optimisation-as-consequence-generation"/>
    <w:p>
      <w:pPr>
        <w:pStyle w:val="Heading2"/>
      </w:pPr>
      <w:r>
        <w:t xml:space="preserve">14.2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C:\Model\tools\quarto-1.9.37\share\formats\docx\tip.png" id="1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07">
              <w:r>
                <w:rPr>
                  <w:rStyle w:val="Hyperlink"/>
                </w:rPr>
                <w:t xml:space="preserve">SM-2.2-A</w:t>
              </w:r>
            </w:hyperlink>
            <w:r>
              <w:t xml:space="preserve">. Skip if the optimisation classes and their appropriate uses are already known.</w:t>
            </w:r>
          </w:p>
          <w:p/>
        </w:tc>
      </w:tr>
    </w:tbl>
    <w:bookmarkEnd w:id="108"/>
    <w:bookmarkStart w:id="112" w:name="simulation-and-surrogate-emulation"/>
    <w:p>
      <w:pPr>
        <w:pStyle w:val="Heading2"/>
      </w:pPr>
      <w:r>
        <w:t xml:space="preserve">14.3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Model\tools\quarto-1.9.37\share\formats\docx\tip.png" id="1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11">
              <w:r>
                <w:rPr>
                  <w:rStyle w:val="Hyperlink"/>
                </w:rPr>
                <w:t xml:space="preserve">SM-2.3-A</w:t>
              </w:r>
            </w:hyperlink>
            <w:r>
              <w:t xml:space="preserve">. Skip if the surrogate validation approach is already known.</w:t>
            </w:r>
          </w:p>
          <w:p/>
        </w:tc>
      </w:tr>
    </w:tbl>
    <w:bookmarkEnd w:id="112"/>
    <w:bookmarkStart w:id="116" w:name="constructing-and-selecting-futures"/>
    <w:p>
      <w:pPr>
        <w:pStyle w:val="Heading2"/>
      </w:pPr>
      <w:r>
        <w:t xml:space="preserve">14.4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C:\Model\tools\quarto-1.9.37\share\formats\docx\tip.png" id="1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15">
              <w:r>
                <w:rPr>
                  <w:rStyle w:val="Hyperlink"/>
                </w:rPr>
                <w:t xml:space="preserve">SM-2.4-A</w:t>
              </w:r>
            </w:hyperlink>
            <w:r>
              <w:t xml:space="preserve">. Skip if PRIM and CART are already known.</w:t>
            </w:r>
          </w:p>
          <w:p/>
        </w:tc>
      </w:tr>
    </w:tbl>
    <w:bookmarkEnd w:id="116"/>
    <w:bookmarkStart w:id="117" w:name="Xe65a928f97e5ea3a075fb28f5fba9ee517b5353"/>
    <w:p>
      <w:pPr>
        <w:pStyle w:val="Heading2"/>
      </w:pPr>
      <w:r>
        <w:t xml:space="preserve">14.5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17"/>
    <w:bookmarkEnd w:id="118"/>
    <w:bookmarkStart w:id="120" w:name="sub-module-2.2-a"/>
    <w:p>
      <w:pPr>
        <w:pStyle w:val="Heading1"/>
      </w:pPr>
      <w:r>
        <w:t xml:space="preserve">15.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19" w:name="X6402a51fa30169410af258e02f778bc913a4caa"/>
    <w:p>
      <w:pPr>
        <w:pStyle w:val="Heading2"/>
      </w:pPr>
      <w:r>
        <w:t xml:space="preserve">15.1 SM-2.2-A: LP, MILP, and Stochastic Optimisation, Role Summary</w:t>
      </w:r>
    </w:p>
    <w:p>
      <w:pPr>
        <w:pStyle w:val="FirstParagraph"/>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bookmarkEnd w:id="119"/>
    <w:bookmarkEnd w:id="120"/>
    <w:bookmarkStart w:id="122" w:name="sub-module-2.3-a"/>
    <w:p>
      <w:pPr>
        <w:pStyle w:val="Heading1"/>
      </w:pPr>
      <w:r>
        <w:t xml:space="preserve">16.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21" w:name="Xf4dcb1b9653718fc64eea4841368d22cd062c52"/>
    <w:p>
      <w:pPr>
        <w:pStyle w:val="Heading2"/>
      </w:pPr>
      <w:r>
        <w:t xml:space="preserve">16.1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21"/>
    <w:bookmarkEnd w:id="122"/>
    <w:bookmarkStart w:id="124" w:name="sub-module-2.4-a"/>
    <w:p>
      <w:pPr>
        <w:pStyle w:val="Heading1"/>
      </w:pPr>
      <w:r>
        <w:t xml:space="preserve">17.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23" w:name="Xb6698e44097c3fe7f9e5db7a65cd048a3a9be79"/>
    <w:p>
      <w:pPr>
        <w:pStyle w:val="Heading2"/>
      </w:pPr>
      <w:r>
        <w:t xml:space="preserve">17.1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23"/>
    <w:bookmarkEnd w:id="124"/>
    <w:bookmarkStart w:id="125" w:name="the-framework-part-ii-architecture-1"/>
    <w:p>
      <w:pPr>
        <w:pStyle w:val="Heading1"/>
      </w:pPr>
      <w:r>
        <w:t xml:space="preserve">18. The Framework — Part II: Architecture</w:t>
      </w:r>
    </w:p>
    <w:p>
      <w:pPr>
        <w:pStyle w:val="FirstParagraph"/>
      </w:pPr>
      <w:r>
        <w:t xml:space="preserve">Modules 3 and 4 specify the analytical architecture:</w:t>
      </w:r>
      <w:r>
        <w:t xml:space="preserve"> </w:t>
      </w:r>
      <w:r>
        <w:t xml:space="preserve">modular decomposition, the thin-waist artefact</w:t>
      </w:r>
      <w:r>
        <w:t xml:space="preserve"> </w:t>
      </w:r>
      <w:r>
        <w:t xml:space="preserve">exchange, the governed backbone, and the energy-domain</w:t>
      </w:r>
      <w:r>
        <w:t xml:space="preserve"> </w:t>
      </w:r>
      <w:r>
        <w:t xml:space="preserve">translation layer that makes the framework</w:t>
      </w:r>
      <w:r>
        <w:t xml:space="preserve"> </w:t>
      </w:r>
      <w:r>
        <w:t xml:space="preserve">instantiable in practice.</w:t>
      </w:r>
    </w:p>
    <w:bookmarkEnd w:id="125"/>
    <w:bookmarkStart w:id="143" w:name="module-3-architecture"/>
    <w:p>
      <w:pPr>
        <w:pStyle w:val="Heading1"/>
      </w:pPr>
      <w:r>
        <w:t xml:space="preserve">19.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26" w:name="why-modularity-is-necessary"/>
    <w:p>
      <w:pPr>
        <w:pStyle w:val="Heading2"/>
      </w:pPr>
      <w:r>
        <w:t xml:space="preserve">19.1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26"/>
    <w:bookmarkStart w:id="127" w:name="what-a-module-is-and-what-it-is-not"/>
    <w:p>
      <w:pPr>
        <w:pStyle w:val="Heading2"/>
      </w:pPr>
      <w:r>
        <w:t xml:space="preserve">19.2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27"/>
    <w:bookmarkStart w:id="128" w:name="the-five-layer-architecture"/>
    <w:p>
      <w:pPr>
        <w:pStyle w:val="Heading2"/>
      </w:pPr>
      <w:r>
        <w:t xml:space="preserve">19.3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28"/>
    <w:bookmarkStart w:id="129" w:name="the-thin-waist-artefact-exchange"/>
    <w:p>
      <w:pPr>
        <w:pStyle w:val="Heading2"/>
      </w:pPr>
      <w:r>
        <w:t xml:space="preserve">19.4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29"/>
    <w:bookmarkStart w:id="133" w:name="artefact-families-and-schema-design"/>
    <w:p>
      <w:pPr>
        <w:pStyle w:val="Heading2"/>
      </w:pPr>
      <w:r>
        <w:t xml:space="preserve">19.5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Model\tools\quarto-1.9.37\share\formats\docx\tip.png" id="13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32">
              <w:r>
                <w:rPr>
                  <w:rStyle w:val="Hyperlink"/>
                </w:rPr>
                <w:t xml:space="preserve">SM-3.5-A</w:t>
              </w:r>
            </w:hyperlink>
            <w:r>
              <w:t xml:space="preserve">. Do not skip when implementing any module that produces or consumes these artefacts.</w:t>
            </w:r>
          </w:p>
          <w:p/>
        </w:tc>
      </w:tr>
    </w:tbl>
    <w:bookmarkEnd w:id="133"/>
    <w:bookmarkStart w:id="134" w:name="X313ac2c8ed4f20f45bd62977e05338b7f91e68d"/>
    <w:p>
      <w:pPr>
        <w:pStyle w:val="Heading2"/>
      </w:pPr>
      <w:r>
        <w:t xml:space="preserve">19.6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34"/>
    <w:bookmarkStart w:id="138" w:name="the-analytical-backbone"/>
    <w:p>
      <w:pPr>
        <w:pStyle w:val="Heading2"/>
      </w:pPr>
      <w:r>
        <w:t xml:space="preserve">19.7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C:\Model\tools\quarto-1.9.37\share\formats\docx\tip.png" id="13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37">
              <w:r>
                <w:rPr>
                  <w:rStyle w:val="Hyperlink"/>
                </w:rPr>
                <w:t xml:space="preserve">SM-3.7-A</w:t>
              </w:r>
            </w:hyperlink>
            <w:r>
              <w:t xml:space="preserve">. Skip if conceptual backbone understanding is sufficient; process when implementing the next-phase backbone.</w:t>
            </w:r>
          </w:p>
          <w:p/>
        </w:tc>
      </w:tr>
    </w:tbl>
    <w:bookmarkEnd w:id="138"/>
    <w:bookmarkStart w:id="142" w:name="ai-and-ml-artefact-governance"/>
    <w:p>
      <w:pPr>
        <w:pStyle w:val="Heading2"/>
      </w:pPr>
      <w:r>
        <w:t xml:space="preserve">19.8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Model\tools\quarto-1.9.37\share\formats\docx\tip.png" id="14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41">
              <w:r>
                <w:rPr>
                  <w:rStyle w:val="Hyperlink"/>
                </w:rPr>
                <w:t xml:space="preserve">SM-3.8-A</w:t>
              </w:r>
            </w:hyperlink>
            <w:r>
              <w:t xml:space="preserve">. Process when deploying any surrogate module.</w:t>
            </w:r>
          </w:p>
          <w:p/>
        </w:tc>
      </w:tr>
    </w:tbl>
    <w:bookmarkEnd w:id="142"/>
    <w:bookmarkEnd w:id="143"/>
    <w:bookmarkStart w:id="152" w:name="sub-module-3.5-a"/>
    <w:p>
      <w:pPr>
        <w:pStyle w:val="Heading1"/>
      </w:pPr>
      <w:r>
        <w:t xml:space="preserve">20.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50" w:name="Xea898945d9a5cced52e884fdee3deb0c0de07b8"/>
    <w:p>
      <w:pPr>
        <w:pStyle w:val="Heading2"/>
      </w:pPr>
      <w:r>
        <w:t xml:space="preserve">20.1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44" w:name="demandpack-schema-version-1.0"/>
    <w:p>
      <w:pPr>
        <w:pStyle w:val="Heading3"/>
      </w:pPr>
      <w:r>
        <w:t xml:space="preserve">20.1.1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44"/>
    <w:bookmarkStart w:id="145" w:name="X01233da66a9ccb4fa3d95e6a26a6d852bf50819"/>
    <w:p>
      <w:pPr>
        <w:pStyle w:val="Heading3"/>
      </w:pPr>
      <w:r>
        <w:t xml:space="preserve">20.1.2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45"/>
    <w:bookmarkStart w:id="146" w:name="X3f5809b32862b8281a7d8c967325422f514f55f"/>
    <w:p>
      <w:pPr>
        <w:pStyle w:val="Heading3"/>
      </w:pPr>
      <w:r>
        <w:t xml:space="preserve">20.1.3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46"/>
    <w:bookmarkStart w:id="147" w:name="futureartefact-schema-version-1.0"/>
    <w:p>
      <w:pPr>
        <w:pStyle w:val="Heading3"/>
      </w:pPr>
      <w:r>
        <w:t xml:space="preserve">20.1.4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47"/>
    <w:bookmarkStart w:id="148" w:name="schema-version-history"/>
    <w:p>
      <w:pPr>
        <w:pStyle w:val="Heading3"/>
      </w:pPr>
      <w:r>
        <w:t xml:space="preserve">20.1.5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48"/>
    <w:bookmarkStart w:id="149" w:name="Xbf55f1fe4a145bc828ce94146be4be9644f8ea8"/>
    <w:p>
      <w:pPr>
        <w:pStyle w:val="Heading3"/>
      </w:pPr>
      <w:r>
        <w:t xml:space="preserve">20.1.6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49"/>
    <w:bookmarkEnd w:id="150"/>
    <w:bookmarkStart w:id="151" w:name="X68a1f591078c6440d6fa99ccee2d629e294df9e"/>
    <w:p>
      <w:pPr>
        <w:pStyle w:val="Heading2"/>
      </w:pPr>
      <w:r>
        <w:t xml:space="preserve">20.2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51"/>
    <w:bookmarkEnd w:id="152"/>
    <w:bookmarkStart w:id="154" w:name="sub-module-3.7-a"/>
    <w:p>
      <w:pPr>
        <w:pStyle w:val="Heading1"/>
      </w:pPr>
      <w:r>
        <w:t xml:space="preserve">21.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53" w:name="X65941703e7327f7d9abbc880fce1da1e838a4ff"/>
    <w:p>
      <w:pPr>
        <w:pStyle w:val="Heading2"/>
      </w:pPr>
      <w:r>
        <w:t xml:space="preserve">21.1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53"/>
    <w:bookmarkEnd w:id="154"/>
    <w:bookmarkStart w:id="156" w:name="sub-module-3.8-a"/>
    <w:p>
      <w:pPr>
        <w:pStyle w:val="Heading1"/>
      </w:pPr>
      <w:r>
        <w:t xml:space="preserve">22.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55" w:name="X87a03f6055f044d88e6777ecba32a6dc5e79cb0"/>
    <w:p>
      <w:pPr>
        <w:pStyle w:val="Heading2"/>
      </w:pPr>
      <w:r>
        <w:t xml:space="preserve">22.1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55"/>
    <w:bookmarkEnd w:id="156"/>
    <w:bookmarkStart w:id="164"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§1.5 and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57"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57"/>
    <w:bookmarkStart w:id="158"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58"/>
    <w:bookmarkStart w:id="159"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59"/>
    <w:bookmarkStart w:id="163"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§1.5,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C:\Model\tools\quarto-1.9.37\share\formats\docx\tip.png" id="16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2">
              <w:r>
                <w:rPr>
                  <w:rStyle w:val="Hyperlink"/>
                </w:rPr>
                <w:t xml:space="preserve">SM-4.4-A</w:t>
              </w:r>
            </w:hyperlink>
            <w:r>
              <w:t xml:space="preserve">. Skip if the conceptual account above is sufficient; process when the formal basis of the evaluation frame divergence is needed.</w:t>
            </w:r>
          </w:p>
          <w:p/>
        </w:tc>
      </w:tr>
    </w:tbl>
    <w:bookmarkEnd w:id="163"/>
    <w:bookmarkEnd w:id="164"/>
    <w:bookmarkStart w:id="166"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65"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65"/>
    <w:bookmarkEnd w:id="166"/>
    <w:bookmarkStart w:id="167" w:name="the-evidence-1"/>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67"/>
    <w:bookmarkStart w:id="186"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§4.2 (industrial process heat) and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68"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68"/>
    <w:bookmarkStart w:id="172"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C:\Model\tools\quarto-1.9.37\share\formats\docx\tip.png" id="17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1">
              <w:r>
                <w:rPr>
                  <w:rStyle w:val="Hyperlink"/>
                </w:rPr>
                <w:t xml:space="preserve">SM-5.2-A</w:t>
              </w:r>
            </w:hyperlink>
            <w:r>
              <w:t xml:space="preserve">. Process when verifying the headroom multiplier range used in the FutureArtefact ensemble design.</w:t>
            </w:r>
          </w:p>
          <w:p/>
        </w:tc>
      </w:tr>
    </w:tbl>
    <w:bookmarkEnd w:id="172"/>
    <w:bookmarkStart w:id="176"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C:\Model\tools\quarto-1.9.37\share\formats\docx\tip.png" id="1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75">
              <w:r>
                <w:rPr>
                  <w:rStyle w:val="Hyperlink"/>
                </w:rPr>
                <w:t xml:space="preserve">SM-5.3-A</w:t>
              </w:r>
            </w:hyperlink>
            <w:r>
              <w:t xml:space="preserve">. Process when verifying the biomass availability and cost multiplier ranges.</w:t>
            </w:r>
          </w:p>
          <w:p/>
        </w:tc>
      </w:tr>
    </w:tbl>
    <w:bookmarkEnd w:id="176"/>
    <w:bookmarkStart w:id="180"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Model\tools\quarto-1.9.37\share\formats\docx\tip.png" id="17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79">
              <w:r>
                <w:rPr>
                  <w:rStyle w:val="Hyperlink"/>
                </w:rPr>
                <w:t xml:space="preserve">SM-5.4-A</w:t>
              </w:r>
            </w:hyperlink>
            <w:r>
              <w:t xml:space="preserve">. Process when verifying the ETS price range in the FutureArtefact design.</w:t>
            </w:r>
          </w:p>
          <w:p/>
        </w:tc>
      </w:tr>
    </w:tbl>
    <w:bookmarkEnd w:id="180"/>
    <w:bookmarkStart w:id="184"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C:\Model\tools\quarto-1.9.37\share\formats\docx\tip.png" id="18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3">
              <w:r>
                <w:rPr>
                  <w:rStyle w:val="Hyperlink"/>
                </w:rPr>
                <w:t xml:space="preserve">SM-5.5-A</w:t>
              </w:r>
            </w:hyperlink>
            <w:r>
              <w:t xml:space="preserve">. Skip if TIMES-NZ technical detail is not required.</w:t>
            </w:r>
          </w:p>
          <w:p/>
        </w:tc>
      </w:tr>
    </w:tbl>
    <w:bookmarkEnd w:id="184"/>
    <w:bookmarkStart w:id="185"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85"/>
    <w:bookmarkEnd w:id="186"/>
    <w:bookmarkStart w:id="188"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7"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87"/>
    <w:bookmarkEnd w:id="188"/>
    <w:bookmarkStart w:id="190"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89"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89"/>
    <w:bookmarkEnd w:id="190"/>
    <w:bookmarkStart w:id="192"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1"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1"/>
    <w:bookmarkEnd w:id="192"/>
    <w:bookmarkStart w:id="203"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3"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3"/>
    <w:bookmarkStart w:id="194"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4"/>
    <w:bookmarkStart w:id="195" w:name="spatial-resolution-two-regions"/>
    <w:p>
      <w:pPr>
        <w:pStyle w:val="Heading2"/>
      </w:pPr>
      <w:r>
        <w:t xml:space="preserve">30.3 Spatial Resolution: Two Regions</w:t>
      </w:r>
    </w:p>
    <w:p>
      <w:pPr>
        <w:pStyle w:val="FirstParagraph"/>
      </w:pPr>
      <w:r>
        <w:t xml:space="preserve">TIMES-NZ 3.0 aggregates New Zealand to two regions — broadly North Island and South Island — connected by the HVDC inter-island link.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195"/>
    <w:bookmarkStart w:id="196"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196"/>
    <w:bookmarkStart w:id="197"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197"/>
    <w:bookmarkStart w:id="198"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198"/>
    <w:bookmarkStart w:id="199"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199"/>
    <w:bookmarkStart w:id="202"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Model\tools\quarto-1.9.37\share\formats\docx\tip.png" id="20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2"/>
    <w:bookmarkEnd w:id="203"/>
    <w:bookmarkStart w:id="252"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4"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4"/>
    <w:bookmarkStart w:id="208"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C:\Model\tools\quarto-1.9.37\share\formats\docx\tip.png" id="20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07">
              <w:r>
                <w:rPr>
                  <w:rStyle w:val="Hyperlink"/>
                </w:rPr>
                <w:t xml:space="preserve">SM-6.2-A</w:t>
              </w:r>
            </w:hyperlink>
            <w:r>
              <w:t xml:space="preserve">. Process when replicating or extending the pipeline.</w:t>
            </w:r>
          </w:p>
          <w:p/>
        </w:tc>
      </w:tr>
    </w:tbl>
    <w:bookmarkEnd w:id="208"/>
    <w:bookmarkStart w:id="212"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Model\tools\quarto-1.9.37\share\formats\docx\tip.png" id="21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1">
              <w:r>
                <w:rPr>
                  <w:rStyle w:val="Hyperlink"/>
                </w:rPr>
                <w:t xml:space="preserve">SM-6.3-B</w:t>
              </w:r>
            </w:hyperlink>
            <w:r>
              <w:t xml:space="preserve">. Process when validating or reproducing the DemandPack construction.</w:t>
            </w:r>
          </w:p>
          <w:p/>
        </w:tc>
      </w:tr>
    </w:tbl>
    <w:bookmarkEnd w:id="212"/>
    <w:bookmarkStart w:id="216"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Model\tools\quarto-1.9.37\share\formats\docx\tip.png" id="21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15">
              <w:r>
                <w:rPr>
                  <w:rStyle w:val="Hyperlink"/>
                </w:rPr>
                <w:t xml:space="preserve">SM-6.4-C</w:t>
              </w:r>
            </w:hyperlink>
            <w:r>
              <w:t xml:space="preserve">. Process when implementing or verifying site module compliance.</w:t>
            </w:r>
          </w:p>
          <w:p/>
        </w:tc>
      </w:tr>
    </w:tbl>
    <w:bookmarkEnd w:id="216"/>
    <w:bookmarkStart w:id="220"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C:\Model\tools\quarto-1.9.37\share\formats\docx\tip.png" id="21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19">
              <w:r>
                <w:rPr>
                  <w:rStyle w:val="Hyperlink"/>
                </w:rPr>
                <w:t xml:space="preserve">SM-6.5-D</w:t>
              </w:r>
            </w:hyperlink>
            <w:r>
              <w:t xml:space="preserve">. Process when verifying SignalsPack integrity or planning a module upgrade.</w:t>
            </w:r>
          </w:p>
          <w:p/>
        </w:tc>
      </w:tr>
    </w:tbl>
    <w:bookmarkEnd w:id="220"/>
    <w:bookmarkStart w:id="224"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C:\Model\tools\quarto-1.9.37\share\formats\docx\tip.png" id="22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3">
              <w:r>
                <w:rPr>
                  <w:rStyle w:val="Hyperlink"/>
                </w:rPr>
                <w:t xml:space="preserve">SM-6.6-E</w:t>
              </w:r>
            </w:hyperlink>
            <w:r>
              <w:t xml:space="preserve">. Process when planning or implementing the PyPSA regional module.</w:t>
            </w:r>
          </w:p>
          <w:p/>
        </w:tc>
      </w:tr>
    </w:tbl>
    <w:bookmarkEnd w:id="224"/>
    <w:bookmarkStart w:id="225"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25"/>
    <w:bookmarkStart w:id="229"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C:\Model\tools\quarto-1.9.37\share\formats\docx\tip.png" id="22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28">
              <w:r>
                <w:rPr>
                  <w:rStyle w:val="Hyperlink"/>
                </w:rPr>
                <w:t xml:space="preserve">SM-6.8-F</w:t>
              </w:r>
            </w:hyperlink>
            <w:r>
              <w:t xml:space="preserve">. Process when auditing the PoC or verifying governance completeness.</w:t>
            </w:r>
          </w:p>
          <w:p/>
        </w:tc>
      </w:tr>
    </w:tbl>
    <w:bookmarkEnd w:id="229"/>
    <w:bookmarkStart w:id="250"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3" w:name="fig-pathway-decision"/>
          <w:p>
            <w:pPr>
              <w:pStyle w:val="Compact"/>
              <w:jc w:val="center"/>
            </w:pPr>
            <w:r>
              <w:drawing>
                <wp:inline>
                  <wp:extent cx="5334000" cy="3017921"/>
                  <wp:effectExtent b="0" l="0" r="0" t="0"/>
                  <wp:docPr descr="" title="" id="231" name="Picture"/>
                  <a:graphic>
                    <a:graphicData uri="http://schemas.openxmlformats.org/drawingml/2006/picture">
                      <pic:pic>
                        <pic:nvPicPr>
                          <pic:cNvPr descr="manuscript/../assets/figures/diagram3-pathway-comparison.png" id="232" name="Picture"/>
                          <pic:cNvPicPr>
                            <a:picLocks noChangeArrowheads="1" noChangeAspect="1"/>
                          </pic:cNvPicPr>
                        </pic:nvPicPr>
                        <pic:blipFill>
                          <a:blip r:embed="rId230"/>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3"/>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37" w:name="fig-dispatch-epochs"/>
          <w:p>
            <w:pPr>
              <w:pStyle w:val="Compact"/>
              <w:jc w:val="center"/>
            </w:pPr>
            <w:r>
              <w:drawing>
                <wp:inline>
                  <wp:extent cx="5334000" cy="2510952"/>
                  <wp:effectExtent b="0" l="0" r="0" t="0"/>
                  <wp:docPr descr="" title="" id="235" name="Picture"/>
                  <a:graphic>
                    <a:graphicData uri="http://schemas.openxmlformats.org/drawingml/2006/picture">
                      <pic:pic>
                        <pic:nvPicPr>
                          <pic:cNvPr descr="manuscript/../assets/figures/fig6_1_dispatch_epochs.png" id="236" name="Picture"/>
                          <pic:cNvPicPr>
                            <a:picLocks noChangeArrowheads="1" noChangeAspect="1"/>
                          </pic:cNvPicPr>
                        </pic:nvPicPr>
                        <pic:blipFill>
                          <a:blip r:embed="rId234"/>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37"/>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1" w:name="fig-rdm-upgrade"/>
          <w:p>
            <w:pPr>
              <w:pStyle w:val="Compact"/>
              <w:jc w:val="center"/>
            </w:pPr>
            <w:r>
              <w:drawing>
                <wp:inline>
                  <wp:extent cx="5334000" cy="2364529"/>
                  <wp:effectExtent b="0" l="0" r="0" t="0"/>
                  <wp:docPr descr="" title="" id="239" name="Picture"/>
                  <a:graphic>
                    <a:graphicData uri="http://schemas.openxmlformats.org/drawingml/2006/picture">
                      <pic:pic>
                        <pic:nvPicPr>
                          <pic:cNvPr descr="manuscript/../assets/figures/fig6_2_rdm_upgrade_distribution.png" id="240" name="Picture"/>
                          <pic:cNvPicPr>
                            <a:picLocks noChangeArrowheads="1" noChangeAspect="1"/>
                          </pic:cNvPicPr>
                        </pic:nvPicPr>
                        <pic:blipFill>
                          <a:blip r:embed="rId238"/>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1"/>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45" w:name="fig-robustness"/>
          <w:p>
            <w:pPr>
              <w:pStyle w:val="Compact"/>
              <w:jc w:val="center"/>
            </w:pPr>
            <w:r>
              <w:drawing>
                <wp:inline>
                  <wp:extent cx="5334000" cy="3487516"/>
                  <wp:effectExtent b="0" l="0" r="0" t="0"/>
                  <wp:docPr descr="" title="" id="243" name="Picture"/>
                  <a:graphic>
                    <a:graphicData uri="http://schemas.openxmlformats.org/drawingml/2006/picture">
                      <pic:pic>
                        <pic:nvPicPr>
                          <pic:cNvPr descr="manuscript/../assets/figures/fig6_3_robustness_comparison.png" id="244" name="Picture"/>
                          <pic:cNvPicPr>
                            <a:picLocks noChangeArrowheads="1" noChangeAspect="1"/>
                          </pic:cNvPicPr>
                        </pic:nvPicPr>
                        <pic:blipFill>
                          <a:blip r:embed="rId242"/>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45"/>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49" w:name="fig-regret-cdf"/>
          <w:p>
            <w:pPr>
              <w:pStyle w:val="Compact"/>
              <w:jc w:val="center"/>
            </w:pPr>
            <w:r>
              <w:drawing>
                <wp:inline>
                  <wp:extent cx="5334000" cy="2175880"/>
                  <wp:effectExtent b="0" l="0" r="0" t="0"/>
                  <wp:docPr descr="" title="" id="247" name="Picture"/>
                  <a:graphic>
                    <a:graphicData uri="http://schemas.openxmlformats.org/drawingml/2006/picture">
                      <pic:pic>
                        <pic:nvPicPr>
                          <pic:cNvPr descr="manuscript/../assets/figures/fig6_4_regret_cdf_and_cost_difference.png" id="248" name="Picture"/>
                          <pic:cNvPicPr>
                            <a:picLocks noChangeArrowheads="1" noChangeAspect="1"/>
                          </pic:cNvPicPr>
                        </pic:nvPicPr>
                        <pic:blipFill>
                          <a:blip r:embed="rId246"/>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49"/>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0"/>
    <w:bookmarkStart w:id="251"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1"/>
    <w:bookmarkEnd w:id="252"/>
    <w:bookmarkStart w:id="254"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3"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3"/>
    <w:bookmarkEnd w:id="254"/>
    <w:bookmarkStart w:id="256"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55"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55"/>
    <w:bookmarkEnd w:id="256"/>
    <w:bookmarkStart w:id="262"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1" w:name="Xe2a15f6beaf6e10340f26c3ee1eea189ba864eb"/>
    <w:p>
      <w:pPr>
        <w:pStyle w:val="Heading2"/>
      </w:pPr>
      <w:r>
        <w:t xml:space="preserve">34.1 SM-6.4-C: Site Module Interface Contract and Schema Tables</w:t>
      </w:r>
    </w:p>
    <w:bookmarkStart w:id="257"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57"/>
    <w:bookmarkStart w:id="258"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58"/>
    <w:bookmarkStart w:id="259"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59"/>
    <w:bookmarkStart w:id="260"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0"/>
    <w:bookmarkEnd w:id="261"/>
    <w:bookmarkEnd w:id="262"/>
    <w:bookmarkStart w:id="267"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66"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3"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3"/>
    <w:bookmarkStart w:id="264"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4"/>
    <w:bookmarkStart w:id="265"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65"/>
    <w:bookmarkEnd w:id="266"/>
    <w:bookmarkEnd w:id="267"/>
    <w:bookmarkStart w:id="269"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68"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68"/>
    <w:bookmarkEnd w:id="269"/>
    <w:bookmarkStart w:id="274"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3" w:name="X7d4ec75426a9b17e4df6e476114f872265c3397"/>
    <w:p>
      <w:pPr>
        <w:pStyle w:val="Heading2"/>
      </w:pPr>
      <w:r>
        <w:t xml:space="preserve">37.1 SM-6.8-F: Validation Records and Artefact Log</w:t>
      </w:r>
    </w:p>
    <w:bookmarkStart w:id="270"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0"/>
    <w:bookmarkStart w:id="271"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1"/>
    <w:bookmarkStart w:id="272"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2"/>
    <w:bookmarkEnd w:id="273"/>
    <w:bookmarkEnd w:id="274"/>
    <w:bookmarkStart w:id="275" w:name="X52982c1cd9fbc30d20029111922b6402ba7bdaa"/>
    <w:p>
      <w:pPr>
        <w:pStyle w:val="Heading1"/>
      </w:pPr>
      <w:r>
        <w:t xml:space="preserve">38. Synthesis — Part V: Extension and Conclusions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75"/>
    <w:bookmarkStart w:id="289" w:name="module-7-extension-and-synthesis"/>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Nothing — this is the terminal module</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76"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76"/>
    <w:bookmarkStart w:id="277"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77"/>
    <w:bookmarkStart w:id="278"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78"/>
    <w:bookmarkStart w:id="279"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79"/>
    <w:bookmarkStart w:id="280"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0"/>
    <w:bookmarkStart w:id="281"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1"/>
    <w:bookmarkStart w:id="282"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2"/>
    <w:bookmarkStart w:id="283"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3"/>
    <w:bookmarkStart w:id="284"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4"/>
    <w:bookmarkStart w:id="288"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C:\Model\tools\quarto-1.9.37\share\formats\docx\tip.png" id="286"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87">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88"/>
    <w:bookmarkEnd w:id="289"/>
    <w:bookmarkStart w:id="319"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0"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0"/>
    <w:bookmarkStart w:id="291"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1"/>
    <w:bookmarkStart w:id="292"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2"/>
    <w:bookmarkStart w:id="293"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3"/>
    <w:bookmarkStart w:id="294"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4"/>
    <w:bookmarkStart w:id="295"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295"/>
    <w:bookmarkStart w:id="296"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296"/>
    <w:bookmarkStart w:id="297"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297"/>
    <w:bookmarkStart w:id="298"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298"/>
    <w:bookmarkStart w:id="299"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299"/>
    <w:bookmarkStart w:id="300"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0"/>
    <w:bookmarkStart w:id="301"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1"/>
    <w:bookmarkStart w:id="302"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2"/>
    <w:bookmarkStart w:id="303"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3"/>
    <w:bookmarkStart w:id="304"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4"/>
    <w:bookmarkStart w:id="305"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05"/>
    <w:bookmarkStart w:id="306"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06"/>
    <w:bookmarkStart w:id="307"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07"/>
    <w:bookmarkStart w:id="308"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08"/>
    <w:bookmarkStart w:id="309"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09"/>
    <w:bookmarkStart w:id="310"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0"/>
    <w:bookmarkStart w:id="311"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1"/>
    <w:bookmarkStart w:id="312"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2"/>
    <w:bookmarkStart w:id="313"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3"/>
    <w:bookmarkStart w:id="314"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4"/>
    <w:bookmarkStart w:id="318"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15"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15"/>
    <w:bookmarkStart w:id="316"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16"/>
    <w:bookmarkStart w:id="317"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17"/>
    <w:bookmarkEnd w:id="318"/>
    <w:bookmarkEnd w:id="3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87"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75" Target="sub-modules/sm-1-1A-philosophical-lineage.qmd" TargetMode="External" /><Relationship Type="http://schemas.openxmlformats.org/officeDocument/2006/relationships/hyperlink" Id="rId81" Target="sub-modules/sm-1-4A-decision-theory.qmd" TargetMode="External" /><Relationship Type="http://schemas.openxmlformats.org/officeDocument/2006/relationships/hyperlink" Id="rId87" Target="sub-modules/sm-1-7A-requirements-mapping.qmd" TargetMode="External" /><Relationship Type="http://schemas.openxmlformats.org/officeDocument/2006/relationships/hyperlink" Id="rId107" Target="sub-modules/sm-2-2A-optimisation-roles.qmd" TargetMode="External" /><Relationship Type="http://schemas.openxmlformats.org/officeDocument/2006/relationships/hyperlink" Id="rId111" Target="sub-modules/sm-2-3A-surrogate-validation.qmd" TargetMode="External" /><Relationship Type="http://schemas.openxmlformats.org/officeDocument/2006/relationships/hyperlink" Id="rId115" Target="sub-modules/sm-2-4A-scenario-discovery.qmd" TargetMode="External" /><Relationship Type="http://schemas.openxmlformats.org/officeDocument/2006/relationships/hyperlink" Id="rId132" Target="sub-modules/sm-3-5A-artefact-schema.qmd" TargetMode="External" /><Relationship Type="http://schemas.openxmlformats.org/officeDocument/2006/relationships/hyperlink" Id="rId137" Target="sub-modules/sm-3-7A-backbone-implementation.qmd" TargetMode="External" /><Relationship Type="http://schemas.openxmlformats.org/officeDocument/2006/relationships/hyperlink" Id="rId141" Target="sub-modules/sm-3-8A-aiml-governance.qmd" TargetMode="External" /><Relationship Type="http://schemas.openxmlformats.org/officeDocument/2006/relationships/hyperlink" Id="rId162" Target="sub-modules/sm-4-4A-system-regret.qmd" TargetMode="External" /><Relationship Type="http://schemas.openxmlformats.org/officeDocument/2006/relationships/hyperlink" Id="rId171" Target="sub-modules/sm-5-2A-gxp-capacity.qmd" TargetMode="External" /><Relationship Type="http://schemas.openxmlformats.org/officeDocument/2006/relationships/hyperlink" Id="rId175" Target="sub-modules/sm-5-3A-biomass-supply.qmd" TargetMode="External" /><Relationship Type="http://schemas.openxmlformats.org/officeDocument/2006/relationships/hyperlink" Id="rId179" Target="sub-modules/sm-5-4A-ets-history.qmd" TargetMode="External" /><Relationship Type="http://schemas.openxmlformats.org/officeDocument/2006/relationships/hyperlink" Id="rId183" Target="sub-modules/sm-5-5A-times-nz-ecosystem.qmd" TargetMode="External" /><Relationship Type="http://schemas.openxmlformats.org/officeDocument/2006/relationships/hyperlink" Id="rId207" Target="sub-modules/sm-6-2A-poc-pipeline.qmd" TargetMode="External" /><Relationship Type="http://schemas.openxmlformats.org/officeDocument/2006/relationships/hyperlink" Id="rId211" Target="sub-modules/sm-6-3B-demandpack-methods.qmd" TargetMode="External" /><Relationship Type="http://schemas.openxmlformats.org/officeDocument/2006/relationships/hyperlink" Id="rId215" Target="sub-modules/sm-6-4C-site-interface-contract.qmd" TargetMode="External" /><Relationship Type="http://schemas.openxmlformats.org/officeDocument/2006/relationships/hyperlink" Id="rId219" Target="sub-modules/sm-6-5D-signalspack-contract.qmd" TargetMode="External" /><Relationship Type="http://schemas.openxmlformats.org/officeDocument/2006/relationships/hyperlink" Id="rId223" Target="sub-modules/sm-6-6E-pypsa-module-design.qmd" TargetMode="External" /><Relationship Type="http://schemas.openxmlformats.org/officeDocument/2006/relationships/hyperlink" Id="rId228"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cp:keywords/>
  <dcterms:created xsi:type="dcterms:W3CDTF">2026-05-08T00:44:46Z</dcterms:created>
  <dcterms:modified xsi:type="dcterms:W3CDTF">2026-05-08T00:44:46Z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oc-title">
    <vt:lpwstr>Table of contents</vt:lpwstr>
  </property>
</Properties>
</file>