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0.png" ContentType="image/png"/>
  <Override PartName="/word/media/rId53.svg" ContentType="image/svg+xml"/>
  <Override PartName="/word/media/rId62.svg" ContentType="image/svg+xml"/>
  <Override PartName="/word/media/rId226.svg" ContentType="image/svg+xml"/>
  <Override PartName="/word/media/rId230.png" ContentType="image/png"/>
  <Override PartName="/word/media/rId234.png" ContentType="image/png"/>
  <Override PartName="/word/media/rId238.png" ContentType="image/pn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thinking-and-modelling"/>
    <w:p>
      <w:pPr>
        <w:pStyle w:val="Heading1"/>
      </w:pPr>
      <w:r>
        <w:t xml:space="preserve">1. Decision-Centred Thinking and Modelling</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36" w:name="context-declaration"/>
    <w:p>
      <w:pPr>
        <w:pStyle w:val="Heading1"/>
      </w:pPr>
      <w:r>
        <w:t xml:space="preserve">2. Context Declaration</w:t>
      </w:r>
    </w:p>
    <w:p>
      <w:pPr>
        <w:pStyle w:val="FirstParagraph"/>
      </w:pPr>
      <w:r>
        <w:t xml:space="preserve">For Human Readers, AI Assistants, and the Research Community</w:t>
      </w:r>
    </w:p>
    <w:p>
      <w:pPr>
        <w:pStyle w:val="BodyText"/>
      </w:pPr>
      <w:r>
        <w:br/>
      </w:r>
    </w:p>
    <w:bookmarkStart w:id="19" w:name="a-vision-before-the-detail"/>
    <w:p>
      <w:pPr>
        <w:pStyle w:val="Heading2"/>
      </w:pPr>
      <w:r>
        <w:t xml:space="preserve">2.1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19"/>
    <w:bookmarkStart w:id="20" w:name="what-the-framework-is-attempting"/>
    <w:p>
      <w:pPr>
        <w:pStyle w:val="Heading2"/>
      </w:pPr>
      <w:r>
        <w:t xml:space="preserve">2.2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0"/>
    <w:bookmarkStart w:id="21" w:name="X80b233808d630b779fa9ff5ce8df34491ea6e88"/>
    <w:p>
      <w:pPr>
        <w:pStyle w:val="Heading2"/>
      </w:pPr>
      <w:r>
        <w:t xml:space="preserve">2.3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1"/>
    <w:bookmarkStart w:id="22" w:name="X410b7f29c1b4b77ff41fd7ff93ed599a2278cad"/>
    <w:p>
      <w:pPr>
        <w:pStyle w:val="Heading2"/>
      </w:pPr>
      <w:r>
        <w:t xml:space="preserve">2.4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2"/>
    <w:bookmarkStart w:id="29" w:name="who-this-is-for"/>
    <w:p>
      <w:pPr>
        <w:pStyle w:val="Heading2"/>
      </w:pPr>
      <w:r>
        <w:t xml:space="preserve">2.5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3" w:name="Xf77fae16f796507a40f1916eddcb7651d648946"/>
    <w:p>
      <w:pPr>
        <w:pStyle w:val="Heading3"/>
      </w:pPr>
      <w:r>
        <w:t xml:space="preserve">2.5.1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3"/>
    <w:bookmarkStart w:id="24" w:name="Xb36498fe9fdba984fe4ab3d19bb68df71cc27cb"/>
    <w:p>
      <w:pPr>
        <w:pStyle w:val="Heading3"/>
      </w:pPr>
      <w:r>
        <w:t xml:space="preserve">2.5.2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4"/>
    <w:bookmarkStart w:id="25" w:name="X02215b62baf41015eb617997420bf9cf035f8ff"/>
    <w:p>
      <w:pPr>
        <w:pStyle w:val="Heading3"/>
      </w:pPr>
      <w:r>
        <w:t xml:space="preserve">2.5.3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5"/>
    <w:bookmarkStart w:id="26" w:name="Xf695764ab3ef1572ba918d9abfd46ca6761230e"/>
    <w:p>
      <w:pPr>
        <w:pStyle w:val="Heading3"/>
      </w:pPr>
      <w:r>
        <w:t xml:space="preserve">2.5.4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6"/>
    <w:bookmarkStart w:id="27" w:name="X71cc449aa9ed7d55481515686c83c31eb43c60d"/>
    <w:p>
      <w:pPr>
        <w:pStyle w:val="Heading3"/>
      </w:pPr>
      <w:r>
        <w:t xml:space="preserve">2.5.5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7"/>
    <w:bookmarkStart w:id="28" w:name="X5ccb0785451a92b95283f307765618012420126"/>
    <w:p>
      <w:pPr>
        <w:pStyle w:val="Heading3"/>
      </w:pPr>
      <w:r>
        <w:t xml:space="preserve">2.5.6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8"/>
    <w:bookmarkEnd w:id="29"/>
    <w:bookmarkStart w:id="30" w:name="Xff856afe17fc2ce0e26c5fb1c5c1db19a0e845e"/>
    <w:p>
      <w:pPr>
        <w:pStyle w:val="Heading2"/>
      </w:pPr>
      <w:r>
        <w:t xml:space="preserve">2.6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0"/>
    <w:bookmarkStart w:id="31" w:name="what-this-document-contains"/>
    <w:p>
      <w:pPr>
        <w:pStyle w:val="Heading2"/>
      </w:pPr>
      <w:r>
        <w:t xml:space="preserve">2.7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1"/>
    <w:bookmarkStart w:id="32" w:name="current-implementation-status"/>
    <w:p>
      <w:pPr>
        <w:pStyle w:val="Heading2"/>
      </w:pPr>
      <w:r>
        <w:t xml:space="preserve">2.8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2"/>
    <w:bookmarkStart w:id="34" w:name="key-concepts-defined-here"/>
    <w:p>
      <w:pPr>
        <w:pStyle w:val="Heading2"/>
      </w:pPr>
      <w:r>
        <w:t xml:space="preserve">2.9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3">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4"/>
    <w:bookmarkStart w:id="35" w:name="community-extension"/>
    <w:p>
      <w:pPr>
        <w:pStyle w:val="Heading2"/>
      </w:pPr>
      <w:r>
        <w:t xml:space="preserve">2.10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5"/>
    <w:bookmarkEnd w:id="36"/>
    <w:bookmarkStart w:id="37" w:name="X01f6b7d54affb04dc25cab4dc6763578b00e798"/>
    <w:p>
      <w:pPr>
        <w:pStyle w:val="Heading1"/>
      </w:pPr>
      <w:r>
        <w:t xml:space="preserve">3.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7"/>
    <w:bookmarkStart w:id="43" w:name="preamble"/>
    <w:p>
      <w:pPr>
        <w:pStyle w:val="Heading1"/>
      </w:pPr>
      <w:r>
        <w:t xml:space="preserve">4.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8" w:name="the-ambition"/>
    <w:p>
      <w:pPr>
        <w:pStyle w:val="Heading2"/>
      </w:pPr>
      <w:r>
        <w:t xml:space="preserve">4.1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8"/>
    <w:bookmarkStart w:id="39" w:name="what-it-could-become"/>
    <w:p>
      <w:pPr>
        <w:pStyle w:val="Heading2"/>
      </w:pPr>
      <w:r>
        <w:t xml:space="preserve">4.2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39"/>
    <w:bookmarkStart w:id="40" w:name="what-it-asks"/>
    <w:p>
      <w:pPr>
        <w:pStyle w:val="Heading2"/>
      </w:pPr>
      <w:r>
        <w:t xml:space="preserve">4.3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0"/>
    <w:bookmarkStart w:id="41" w:name="on-the-documents-own-incompleteness"/>
    <w:p>
      <w:pPr>
        <w:pStyle w:val="Heading2"/>
      </w:pPr>
      <w:r>
        <w:t xml:space="preserve">4.4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1"/>
    <w:bookmarkStart w:id="42" w:name="the-reading-paths"/>
    <w:p>
      <w:pPr>
        <w:pStyle w:val="Heading2"/>
      </w:pPr>
      <w:r>
        <w:t xml:space="preserve">4.5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2"/>
    <w:bookmarkEnd w:id="43"/>
    <w:bookmarkStart w:id="58" w:name="navigation-guide"/>
    <w:p>
      <w:pPr>
        <w:pStyle w:val="Heading1"/>
      </w:pPr>
      <w:r>
        <w:t xml:space="preserve">5.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4" w:name="the-node-declaration-table"/>
    <w:p>
      <w:pPr>
        <w:pStyle w:val="Heading2"/>
      </w:pPr>
      <w:r>
        <w:t xml:space="preserve">5.1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4"/>
    <w:bookmarkStart w:id="45" w:name="X41eb3d99d534752e82c921de817015fa3a2d4ad"/>
    <w:p>
      <w:pPr>
        <w:pStyle w:val="Heading2"/>
      </w:pPr>
      <w:r>
        <w:t xml:space="preserve">5.2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5"/>
    <w:bookmarkStart w:id="46" w:name="the-four-reading-paths"/>
    <w:p>
      <w:pPr>
        <w:pStyle w:val="Heading2"/>
      </w:pPr>
      <w:r>
        <w:t xml:space="preserve">5.3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6"/>
    <w:bookmarkStart w:id="47" w:name="the-sub-module-structure"/>
    <w:p>
      <w:pPr>
        <w:pStyle w:val="Heading2"/>
      </w:pPr>
      <w:r>
        <w:t xml:space="preserve">5.4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7"/>
    <w:bookmarkStart w:id="48" w:name="the-table-of-contents"/>
    <w:p>
      <w:pPr>
        <w:pStyle w:val="Heading2"/>
      </w:pPr>
      <w:r>
        <w:t xml:space="preserve">5.5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8"/>
    <w:bookmarkStart w:id="52" w:name="worked-example"/>
    <w:p>
      <w:pPr>
        <w:pStyle w:val="Heading2"/>
      </w:pPr>
      <w:r>
        <w:t xml:space="preserve">5.6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2"/>
    <w:bookmarkStart w:id="57"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6" w:name="fig-module-map"/>
          <w:p>
            <w:pPr>
              <w:pStyle w:val="Compact"/>
              <w:jc w:val="center"/>
            </w:pPr>
            <w:r>
              <w:drawing>
                <wp:inline>
                  <wp:extent cx="5334000" cy="2947736"/>
                  <wp:effectExtent b="0" l="0" r="0" t="0"/>
                  <wp:docPr descr="" title="" id="54" name="Picture"/>
                  <a:graphic>
                    <a:graphicData uri="http://schemas.openxmlformats.org/drawingml/2006/picture">
                      <pic:pic>
                        <pic:nvPicPr>
                          <pic:cNvPr descr="front-matter/../assets/figures/diagram2-module-map.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Figure N.1: Module dependency map — prerequisite</w:t>
            </w:r>
            <w:r>
              <w:t xml:space="preserve"> </w:t>
            </w:r>
            <w:r>
              <w:t xml:space="preserve">reading paths across Modules 0 through 7.</w:t>
            </w:r>
          </w:p>
          <w:bookmarkEnd w:id="56"/>
        </w:tc>
      </w:tr>
    </w:tbl>
    <w:bookmarkEnd w:id="57"/>
    <w:bookmarkEnd w:id="58"/>
    <w:bookmarkStart w:id="69" w:name="module-0-orientation"/>
    <w:p>
      <w:pPr>
        <w:pStyle w:val="Heading1"/>
      </w:pPr>
      <w:r>
        <w:t xml:space="preserve">6. Module 0: Orientation</w:t>
      </w:r>
    </w:p>
    <w:p>
      <w:pPr>
        <w:pStyle w:val="FirstParagraph"/>
      </w:pPr>
      <w:r>
        <w:t xml:space="preserve">The Framework at a Glance</w:t>
      </w:r>
    </w:p>
    <w:p>
      <w:pPr>
        <w:pStyle w:val="BodyText"/>
      </w:pPr>
      <w:r>
        <w:br/>
      </w:r>
    </w:p>
    <w:bookmarkStart w:id="59" w:name="X07528ec5c613cfde8f8ee1bb460f68b8f943238"/>
    <w:p>
      <w:pPr>
        <w:pStyle w:val="Heading2"/>
      </w:pPr>
      <w:r>
        <w:t xml:space="preserve">6.1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59"/>
    <w:bookmarkStart w:id="60" w:name="the-gap-this-framework-fills"/>
    <w:p>
      <w:pPr>
        <w:pStyle w:val="Heading2"/>
      </w:pPr>
      <w:r>
        <w:t xml:space="preserve">6.2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0"/>
    <w:bookmarkStart w:id="61" w:name="the-decision-first-boundary-principle"/>
    <w:p>
      <w:pPr>
        <w:pStyle w:val="Heading2"/>
      </w:pPr>
      <w:r>
        <w:t xml:space="preserve">6.3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1"/>
    <w:bookmarkStart w:id="66" w:name="the-seven-functional-layers"/>
    <w:p>
      <w:pPr>
        <w:pStyle w:val="Heading2"/>
      </w:pPr>
      <w:r>
        <w:t xml:space="preserve">6.4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5" w:name="fig-architecture"/>
          <w:p>
            <w:pPr>
              <w:pStyle w:val="Compact"/>
              <w:jc w:val="center"/>
            </w:pPr>
            <w:r>
              <w:drawing>
                <wp:inline>
                  <wp:extent cx="5334000" cy="3852333"/>
                  <wp:effectExtent b="0" l="0" r="0" t="0"/>
                  <wp:docPr descr="" title="" id="63" name="Picture"/>
                  <a:graphic>
                    <a:graphicData uri="http://schemas.openxmlformats.org/drawingml/2006/picture">
                      <pic:pic>
                        <pic:nvPicPr>
                          <pic:cNvPr descr="manuscript/../assets/figures/diagram1-architecture-stack.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0.1: Seven analytical layers of the</w:t>
            </w:r>
            <w:r>
              <w:t xml:space="preserve"> </w:t>
            </w:r>
            <w:r>
              <w:t xml:space="preserve">Decision-Centred Modelling framework — artefact</w:t>
            </w:r>
            <w:r>
              <w:t xml:space="preserve"> </w:t>
            </w:r>
            <w:r>
              <w:t xml:space="preserve">exchange across the governed backbone.</w:t>
            </w:r>
          </w:p>
          <w:bookmarkEnd w:id="65"/>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6"/>
    <w:bookmarkStart w:id="67" w:name="the-thin-waist-principle"/>
    <w:p>
      <w:pPr>
        <w:pStyle w:val="Heading2"/>
      </w:pPr>
      <w:r>
        <w:t xml:space="preserve">6.5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7"/>
    <w:bookmarkStart w:id="68" w:name="current-state-of-the-framework"/>
    <w:p>
      <w:pPr>
        <w:pStyle w:val="Heading2"/>
      </w:pPr>
      <w:r>
        <w:t xml:space="preserve">6.6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68"/>
    <w:bookmarkEnd w:id="69"/>
    <w:bookmarkStart w:id="87" w:name="module-1-foundations"/>
    <w:p>
      <w:pPr>
        <w:pStyle w:val="Heading1"/>
      </w:pPr>
      <w:r>
        <w:t xml:space="preserve">7.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4" w:name="what-kind-of-problem-is-this"/>
    <w:p>
      <w:pPr>
        <w:pStyle w:val="Heading2"/>
      </w:pPr>
      <w:r>
        <w:t xml:space="preserve">7.1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3">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4"/>
    <w:bookmarkStart w:id="75" w:name="why-conventional-tools-fall-short"/>
    <w:p>
      <w:pPr>
        <w:pStyle w:val="Heading2"/>
      </w:pPr>
      <w:r>
        <w:t xml:space="preserve">7.2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5"/>
    <w:bookmarkStart w:id="76" w:name="Xc1035ea8d7815e37b1cc8922e9d1be7445caa0d"/>
    <w:p>
      <w:pPr>
        <w:pStyle w:val="Heading2"/>
      </w:pPr>
      <w:r>
        <w:t xml:space="preserve">7.3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6"/>
    <w:bookmarkStart w:id="80" w:name="thinking-clearly-about-decisions"/>
    <w:p>
      <w:pPr>
        <w:pStyle w:val="Heading2"/>
      </w:pPr>
      <w:r>
        <w:t xml:space="preserve">7.4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79">
              <w:r>
                <w:rPr>
                  <w:rStyle w:val="Hyperlink"/>
                </w:rPr>
                <w:t xml:space="preserve">SM-1.4-A</w:t>
              </w:r>
            </w:hyperlink>
            <w:r>
              <w:t xml:space="preserve">.</w:t>
            </w:r>
            <w:r>
              <w:t xml:space="preserve"> </w:t>
            </w:r>
            <w:r>
              <w:t xml:space="preserve">Skip if formal decision theory is already known.</w:t>
            </w:r>
          </w:p>
          <w:p/>
        </w:tc>
      </w:tr>
    </w:tbl>
    <w:bookmarkEnd w:id="80"/>
    <w:bookmarkStart w:id="81" w:name="regret-robustness-and-satisficing"/>
    <w:p>
      <w:pPr>
        <w:pStyle w:val="Heading2"/>
      </w:pPr>
      <w:r>
        <w:t xml:space="preserve">7.5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1"/>
    <w:bookmarkStart w:id="82" w:name="X65811602408c60cec220c8a9a982416bea76010"/>
    <w:p>
      <w:pPr>
        <w:pStyle w:val="Heading2"/>
      </w:pPr>
      <w:r>
        <w:t xml:space="preserve">7.6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2"/>
    <w:bookmarkStart w:id="86" w:name="X2e0cd3529333c9ef10964edad07575d53026ab7"/>
    <w:p>
      <w:pPr>
        <w:pStyle w:val="Heading2"/>
      </w:pPr>
      <w:r>
        <w:t xml:space="preserve">7.7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5">
              <w:r>
                <w:rPr>
                  <w:rStyle w:val="Hyperlink"/>
                </w:rPr>
                <w:t xml:space="preserve">SM-1.7-A</w:t>
              </w:r>
            </w:hyperlink>
            <w:r>
              <w:t xml:space="preserve">.</w:t>
            </w:r>
            <w:r>
              <w:t xml:space="preserve"> </w:t>
            </w:r>
            <w:r>
              <w:t xml:space="preserve">Skip for conceptual reading; use when verifying implementation.</w:t>
            </w:r>
          </w:p>
          <w:p/>
        </w:tc>
      </w:tr>
    </w:tbl>
    <w:bookmarkEnd w:id="86"/>
    <w:bookmarkEnd w:id="87"/>
    <w:bookmarkStart w:id="89" w:name="sub-module-1.1-a"/>
    <w:p>
      <w:pPr>
        <w:pStyle w:val="Heading1"/>
      </w:pPr>
      <w:r>
        <w:t xml:space="preserve">8.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88" w:name="Xf2eefb914940a0e0863d25e64537d25ca0000b2"/>
    <w:p>
      <w:pPr>
        <w:pStyle w:val="Heading2"/>
      </w:pPr>
      <w:r>
        <w:t xml:space="preserve">8.1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88"/>
    <w:bookmarkEnd w:id="89"/>
    <w:bookmarkStart w:id="97" w:name="sub-module-1.2-a"/>
    <w:p>
      <w:pPr>
        <w:pStyle w:val="Heading1"/>
      </w:pPr>
      <w:r>
        <w:t xml:space="preserve">9.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0" w:name="indices-and-sets"/>
    <w:p>
      <w:pPr>
        <w:pStyle w:val="Heading2"/>
      </w:pPr>
      <w:r>
        <w:t xml:space="preserve">9.1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0"/>
    <w:bookmarkStart w:id="91" w:name="demand-construction-demandpack"/>
    <w:p>
      <w:pPr>
        <w:pStyle w:val="Heading2"/>
      </w:pPr>
      <w:r>
        <w:t xml:space="preserve">9.2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1"/>
    <w:bookmarkStart w:id="92" w:name="site-dispatch"/>
    <w:p>
      <w:pPr>
        <w:pStyle w:val="Heading2"/>
      </w:pPr>
      <w:r>
        <w:t xml:space="preserve">9.3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2"/>
    <w:bookmarkStart w:id="93" w:name="gxp-interface-signals"/>
    <w:p>
      <w:pPr>
        <w:pStyle w:val="Heading2"/>
      </w:pPr>
      <w:r>
        <w:t xml:space="preserve">9.4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3"/>
    <w:bookmarkStart w:id="94" w:name="economic-notation"/>
    <w:p>
      <w:pPr>
        <w:pStyle w:val="Heading2"/>
      </w:pPr>
      <w:r>
        <w:t xml:space="preserve">9.5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4"/>
    <w:bookmarkStart w:id="95" w:name="robustness-and-regret"/>
    <w:p>
      <w:pPr>
        <w:pStyle w:val="Heading2"/>
      </w:pPr>
      <w:r>
        <w:t xml:space="preserve">9.6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5"/>
    <w:bookmarkStart w:id="96" w:name="X89cfa361ec77b148628229a0da91787638b71af"/>
    <w:p>
      <w:pPr>
        <w:pStyle w:val="Heading2"/>
      </w:pPr>
      <w:r>
        <w:t xml:space="preserve">9.7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6"/>
    <w:bookmarkEnd w:id="97"/>
    <w:bookmarkStart w:id="99" w:name="sub-module-1.4-a"/>
    <w:p>
      <w:pPr>
        <w:pStyle w:val="Heading1"/>
      </w:pPr>
      <w:r>
        <w:t xml:space="preserve">10.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8" w:name="X69635ae1c73923f9a6444193a28864d61fa98a8"/>
    <w:p>
      <w:pPr>
        <w:pStyle w:val="Heading2"/>
      </w:pPr>
      <w:r>
        <w:t xml:space="preserve">10.1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8"/>
    <w:bookmarkEnd w:id="99"/>
    <w:bookmarkStart w:id="101" w:name="sub-module-1.7-a"/>
    <w:p>
      <w:pPr>
        <w:pStyle w:val="Heading1"/>
      </w:pPr>
      <w:r>
        <w:t xml:space="preserve">11.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0" w:name="X62e5ca817b5c2a1ea5ab7d0bbc6537e54d0f226"/>
    <w:p>
      <w:pPr>
        <w:pStyle w:val="Heading2"/>
      </w:pPr>
      <w:r>
        <w:t xml:space="preserve">11.1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0"/>
    <w:bookmarkEnd w:id="101"/>
    <w:bookmarkStart w:id="116" w:name="module-2-modelling-foundations"/>
    <w:p>
      <w:pPr>
        <w:pStyle w:val="Heading1"/>
      </w:pPr>
      <w:r>
        <w:t xml:space="preserve">12.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2" w:name="Xe3e187b946834871b3813e5b533b2f3de603610"/>
    <w:p>
      <w:pPr>
        <w:pStyle w:val="Heading2"/>
      </w:pPr>
      <w:r>
        <w:t xml:space="preserve">12.1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2"/>
    <w:bookmarkStart w:id="106" w:name="optimisation-as-consequence-generation"/>
    <w:p>
      <w:pPr>
        <w:pStyle w:val="Heading2"/>
      </w:pPr>
      <w:r>
        <w:t xml:space="preserve">12.2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5">
              <w:r>
                <w:rPr>
                  <w:rStyle w:val="Hyperlink"/>
                </w:rPr>
                <w:t xml:space="preserve">SM-2.2-A</w:t>
              </w:r>
            </w:hyperlink>
            <w:r>
              <w:t xml:space="preserve">. Skip if the optimisation classes and their appropriate uses are already known.</w:t>
            </w:r>
          </w:p>
          <w:p/>
        </w:tc>
      </w:tr>
    </w:tbl>
    <w:bookmarkEnd w:id="106"/>
    <w:bookmarkStart w:id="110" w:name="simulation-and-surrogate-emulation"/>
    <w:p>
      <w:pPr>
        <w:pStyle w:val="Heading2"/>
      </w:pPr>
      <w:r>
        <w:t xml:space="preserve">12.3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09">
              <w:r>
                <w:rPr>
                  <w:rStyle w:val="Hyperlink"/>
                </w:rPr>
                <w:t xml:space="preserve">SM-2.3-A</w:t>
              </w:r>
            </w:hyperlink>
            <w:r>
              <w:t xml:space="preserve">. Skip if the surrogate validation approach is already known.</w:t>
            </w:r>
          </w:p>
          <w:p/>
        </w:tc>
      </w:tr>
    </w:tbl>
    <w:bookmarkEnd w:id="110"/>
    <w:bookmarkStart w:id="114" w:name="constructing-and-selecting-futures"/>
    <w:p>
      <w:pPr>
        <w:pStyle w:val="Heading2"/>
      </w:pPr>
      <w:r>
        <w:t xml:space="preserve">12.4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3">
              <w:r>
                <w:rPr>
                  <w:rStyle w:val="Hyperlink"/>
                </w:rPr>
                <w:t xml:space="preserve">SM-2.4-A</w:t>
              </w:r>
            </w:hyperlink>
            <w:r>
              <w:t xml:space="preserve">. Skip if PRIM and CART are already known.</w:t>
            </w:r>
          </w:p>
          <w:p/>
        </w:tc>
      </w:tr>
    </w:tbl>
    <w:bookmarkEnd w:id="114"/>
    <w:bookmarkStart w:id="115" w:name="Xe65a928f97e5ea3a075fb28f5fba9ee517b5353"/>
    <w:p>
      <w:pPr>
        <w:pStyle w:val="Heading2"/>
      </w:pPr>
      <w:r>
        <w:t xml:space="preserve">12.5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5"/>
    <w:bookmarkEnd w:id="116"/>
    <w:bookmarkStart w:id="118" w:name="sub-module-2.2-a"/>
    <w:p>
      <w:pPr>
        <w:pStyle w:val="Heading1"/>
      </w:pPr>
      <w:r>
        <w:t xml:space="preserve">13.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7" w:name="X6402a51fa30169410af258e02f778bc913a4caa"/>
    <w:p>
      <w:pPr>
        <w:pStyle w:val="Heading2"/>
      </w:pPr>
      <w:r>
        <w:t xml:space="preserve">13.1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7"/>
    <w:bookmarkEnd w:id="118"/>
    <w:bookmarkStart w:id="120" w:name="sub-module-2.3-a"/>
    <w:p>
      <w:pPr>
        <w:pStyle w:val="Heading1"/>
      </w:pPr>
      <w:r>
        <w:t xml:space="preserve">14.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19" w:name="Xf4dcb1b9653718fc64eea4841368d22cd062c52"/>
    <w:p>
      <w:pPr>
        <w:pStyle w:val="Heading2"/>
      </w:pPr>
      <w:r>
        <w:t xml:space="preserve">14.1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19"/>
    <w:bookmarkEnd w:id="120"/>
    <w:bookmarkStart w:id="122" w:name="sub-module-2.4-a"/>
    <w:p>
      <w:pPr>
        <w:pStyle w:val="Heading1"/>
      </w:pPr>
      <w:r>
        <w:t xml:space="preserve">15.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1" w:name="Xb6698e44097c3fe7f9e5db7a65cd048a3a9be79"/>
    <w:p>
      <w:pPr>
        <w:pStyle w:val="Heading2"/>
      </w:pPr>
      <w:r>
        <w:t xml:space="preserve">15.1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1"/>
    <w:bookmarkEnd w:id="122"/>
    <w:bookmarkStart w:id="140" w:name="module-3-architecture"/>
    <w:p>
      <w:pPr>
        <w:pStyle w:val="Heading1"/>
      </w:pPr>
      <w:r>
        <w:t xml:space="preserve">16.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3" w:name="why-modularity-is-necessary"/>
    <w:p>
      <w:pPr>
        <w:pStyle w:val="Heading2"/>
      </w:pPr>
      <w:r>
        <w:t xml:space="preserve">16.1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3"/>
    <w:bookmarkStart w:id="124" w:name="what-a-module-is-and-what-it-is-not"/>
    <w:p>
      <w:pPr>
        <w:pStyle w:val="Heading2"/>
      </w:pPr>
      <w:r>
        <w:t xml:space="preserve">16.2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4"/>
    <w:bookmarkStart w:id="125" w:name="the-five-layer-architecture"/>
    <w:p>
      <w:pPr>
        <w:pStyle w:val="Heading2"/>
      </w:pPr>
      <w:r>
        <w:t xml:space="preserve">16.3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5"/>
    <w:bookmarkStart w:id="126" w:name="the-thin-waist-artefact-exchange"/>
    <w:p>
      <w:pPr>
        <w:pStyle w:val="Heading2"/>
      </w:pPr>
      <w:r>
        <w:t xml:space="preserve">16.4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6"/>
    <w:bookmarkStart w:id="130" w:name="artefact-families-and-schema-design"/>
    <w:p>
      <w:pPr>
        <w:pStyle w:val="Heading2"/>
      </w:pPr>
      <w:r>
        <w:t xml:space="preserve">16.5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29">
              <w:r>
                <w:rPr>
                  <w:rStyle w:val="Hyperlink"/>
                </w:rPr>
                <w:t xml:space="preserve">SM-3.5-A</w:t>
              </w:r>
            </w:hyperlink>
            <w:r>
              <w:t xml:space="preserve">. Do not skip when implementing any module that produces or consumes these artefacts.</w:t>
            </w:r>
          </w:p>
          <w:p/>
        </w:tc>
      </w:tr>
    </w:tbl>
    <w:bookmarkEnd w:id="130"/>
    <w:bookmarkStart w:id="131" w:name="X313ac2c8ed4f20f45bd62977e05338b7f91e68d"/>
    <w:p>
      <w:pPr>
        <w:pStyle w:val="Heading2"/>
      </w:pPr>
      <w:r>
        <w:t xml:space="preserve">16.6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1"/>
    <w:bookmarkStart w:id="135" w:name="the-analytical-backbone"/>
    <w:p>
      <w:pPr>
        <w:pStyle w:val="Heading2"/>
      </w:pPr>
      <w:r>
        <w:t xml:space="preserve">16.7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tip.png" id="133"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4">
              <w:r>
                <w:rPr>
                  <w:rStyle w:val="Hyperlink"/>
                </w:rPr>
                <w:t xml:space="preserve">SM-3.7-A</w:t>
              </w:r>
            </w:hyperlink>
            <w:r>
              <w:t xml:space="preserve">. Skip if conceptual backbone understanding is sufficient; process when implementing the next-phase backbone.</w:t>
            </w:r>
          </w:p>
          <w:p/>
        </w:tc>
      </w:tr>
    </w:tbl>
    <w:bookmarkEnd w:id="135"/>
    <w:bookmarkStart w:id="139" w:name="ai-and-ml-artefact-governance"/>
    <w:p>
      <w:pPr>
        <w:pStyle w:val="Heading2"/>
      </w:pPr>
      <w:r>
        <w:t xml:space="preserve">16.8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tip.png" id="137"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38">
              <w:r>
                <w:rPr>
                  <w:rStyle w:val="Hyperlink"/>
                </w:rPr>
                <w:t xml:space="preserve">SM-3.8-A</w:t>
              </w:r>
            </w:hyperlink>
            <w:r>
              <w:t xml:space="preserve">. Process when deploying any surrogate module.</w:t>
            </w:r>
          </w:p>
          <w:p/>
        </w:tc>
      </w:tr>
    </w:tbl>
    <w:bookmarkEnd w:id="139"/>
    <w:bookmarkEnd w:id="140"/>
    <w:bookmarkStart w:id="149" w:name="sub-module-3.5-a"/>
    <w:p>
      <w:pPr>
        <w:pStyle w:val="Heading1"/>
      </w:pPr>
      <w:r>
        <w:t xml:space="preserve">17.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47" w:name="Xea898945d9a5cced52e884fdee3deb0c0de07b8"/>
    <w:p>
      <w:pPr>
        <w:pStyle w:val="Heading2"/>
      </w:pPr>
      <w:r>
        <w:t xml:space="preserve">17.1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1" w:name="demandpack-schema-version-1.0"/>
    <w:p>
      <w:pPr>
        <w:pStyle w:val="Heading3"/>
      </w:pPr>
      <w:r>
        <w:t xml:space="preserve">17.1.1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1"/>
    <w:bookmarkStart w:id="142" w:name="X01233da66a9ccb4fa3d95e6a26a6d852bf50819"/>
    <w:p>
      <w:pPr>
        <w:pStyle w:val="Heading3"/>
      </w:pPr>
      <w:r>
        <w:t xml:space="preserve">17.1.2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2"/>
    <w:bookmarkStart w:id="143" w:name="X3f5809b32862b8281a7d8c967325422f514f55f"/>
    <w:p>
      <w:pPr>
        <w:pStyle w:val="Heading3"/>
      </w:pPr>
      <w:r>
        <w:t xml:space="preserve">17.1.3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3"/>
    <w:bookmarkStart w:id="144" w:name="futureartefact-schema-version-1.0"/>
    <w:p>
      <w:pPr>
        <w:pStyle w:val="Heading3"/>
      </w:pPr>
      <w:r>
        <w:t xml:space="preserve">17.1.4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4"/>
    <w:bookmarkStart w:id="145" w:name="schema-version-history"/>
    <w:p>
      <w:pPr>
        <w:pStyle w:val="Heading3"/>
      </w:pPr>
      <w:r>
        <w:t xml:space="preserve">17.1.5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5"/>
    <w:bookmarkStart w:id="146" w:name="Xbf55f1fe4a145bc828ce94146be4be9644f8ea8"/>
    <w:p>
      <w:pPr>
        <w:pStyle w:val="Heading3"/>
      </w:pPr>
      <w:r>
        <w:t xml:space="preserve">17.1.6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6"/>
    <w:bookmarkEnd w:id="147"/>
    <w:bookmarkStart w:id="148" w:name="X68a1f591078c6440d6fa99ccee2d629e294df9e"/>
    <w:p>
      <w:pPr>
        <w:pStyle w:val="Heading2"/>
      </w:pPr>
      <w:r>
        <w:t xml:space="preserve">17.2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48"/>
    <w:bookmarkEnd w:id="149"/>
    <w:bookmarkStart w:id="151" w:name="sub-module-3.7-a"/>
    <w:p>
      <w:pPr>
        <w:pStyle w:val="Heading1"/>
      </w:pPr>
      <w:r>
        <w:t xml:space="preserve">18.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0" w:name="X65941703e7327f7d9abbc880fce1da1e838a4ff"/>
    <w:p>
      <w:pPr>
        <w:pStyle w:val="Heading2"/>
      </w:pPr>
      <w:r>
        <w:t xml:space="preserve">18.1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0"/>
    <w:bookmarkEnd w:id="151"/>
    <w:bookmarkStart w:id="153" w:name="sub-module-3.8-a"/>
    <w:p>
      <w:pPr>
        <w:pStyle w:val="Heading1"/>
      </w:pPr>
      <w:r>
        <w:t xml:space="preserve">19.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2" w:name="X87a03f6055f044d88e6777ecba32a6dc5e79cb0"/>
    <w:p>
      <w:pPr>
        <w:pStyle w:val="Heading2"/>
      </w:pPr>
      <w:r>
        <w:t xml:space="preserve">19.1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2"/>
    <w:bookmarkEnd w:id="153"/>
    <w:bookmarkStart w:id="161" w:name="module-4-domain-translation"/>
    <w:p>
      <w:pPr>
        <w:pStyle w:val="Heading1"/>
      </w:pPr>
      <w:r>
        <w:t xml:space="preserve">20.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4" w:name="Xd09afe1920c7d9d9306b6514d9780031506798e"/>
    <w:p>
      <w:pPr>
        <w:pStyle w:val="Heading2"/>
      </w:pPr>
      <w:r>
        <w:t xml:space="preserve">20.1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4"/>
    <w:bookmarkStart w:id="155" w:name="Xa06e2059e242b289d776eb35890241997489f00"/>
    <w:p>
      <w:pPr>
        <w:pStyle w:val="Heading2"/>
      </w:pPr>
      <w:r>
        <w:t xml:space="preserve">20.2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5"/>
    <w:bookmarkStart w:id="156" w:name="Xa975fe3d3d433b12dc2a81bd2d9f101d8054b02"/>
    <w:p>
      <w:pPr>
        <w:pStyle w:val="Heading2"/>
      </w:pPr>
      <w:r>
        <w:t xml:space="preserve">20.3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6"/>
    <w:bookmarkStart w:id="160" w:name="X908b41b38bc470be43d9a5f7c254cb8123c16f3"/>
    <w:p>
      <w:pPr>
        <w:pStyle w:val="Heading2"/>
      </w:pPr>
      <w:r>
        <w:t xml:space="preserve">20.4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tip.png" id="15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59">
              <w:r>
                <w:rPr>
                  <w:rStyle w:val="Hyperlink"/>
                </w:rPr>
                <w:t xml:space="preserve">SM-4.4-A</w:t>
              </w:r>
            </w:hyperlink>
            <w:r>
              <w:t xml:space="preserve">. Skip if the conceptual account above is sufficient; process when the formal basis of the evaluation frame divergence is needed.</w:t>
            </w:r>
          </w:p>
          <w:p/>
        </w:tc>
      </w:tr>
    </w:tbl>
    <w:bookmarkEnd w:id="160"/>
    <w:bookmarkEnd w:id="161"/>
    <w:bookmarkStart w:id="163" w:name="sub-module-4.4-a"/>
    <w:p>
      <w:pPr>
        <w:pStyle w:val="Heading1"/>
      </w:pPr>
      <w:r>
        <w:t xml:space="preserve">21.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2" w:name="Xa15f966df5b1fa0a870be4aa9e265b721db36ec"/>
    <w:p>
      <w:pPr>
        <w:pStyle w:val="Heading2"/>
      </w:pPr>
      <w:r>
        <w:t xml:space="preserve">21.1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2"/>
    <w:bookmarkEnd w:id="163"/>
    <w:bookmarkStart w:id="182" w:name="module-5-the-new-zealand-context"/>
    <w:p>
      <w:pPr>
        <w:pStyle w:val="Heading1"/>
      </w:pPr>
      <w:r>
        <w:t xml:space="preserve">22.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4" w:name="X42f27b8136a78a21b919a4d949d9035fbd72c78"/>
    <w:p>
      <w:pPr>
        <w:pStyle w:val="Heading2"/>
      </w:pPr>
      <w:r>
        <w:t xml:space="preserve">22.1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4"/>
    <w:bookmarkStart w:id="168" w:name="X891d674826d880c2249b3db4854e81ba8a72245"/>
    <w:p>
      <w:pPr>
        <w:pStyle w:val="Heading2"/>
      </w:pPr>
      <w:r>
        <w:t xml:space="preserve">22.2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67">
              <w:r>
                <w:rPr>
                  <w:rStyle w:val="Hyperlink"/>
                </w:rPr>
                <w:t xml:space="preserve">SM-5.2-A</w:t>
              </w:r>
            </w:hyperlink>
            <w:r>
              <w:t xml:space="preserve">. Process when verifying the headroom multiplier range used in the FutureArtefact ensemble design.</w:t>
            </w:r>
          </w:p>
          <w:p/>
        </w:tc>
      </w:tr>
    </w:tbl>
    <w:bookmarkEnd w:id="168"/>
    <w:bookmarkStart w:id="172" w:name="biomass-as-the-competing-pathway"/>
    <w:p>
      <w:pPr>
        <w:pStyle w:val="Heading2"/>
      </w:pPr>
      <w:r>
        <w:t xml:space="preserve">22.3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1">
              <w:r>
                <w:rPr>
                  <w:rStyle w:val="Hyperlink"/>
                </w:rPr>
                <w:t xml:space="preserve">SM-5.3-A</w:t>
              </w:r>
            </w:hyperlink>
            <w:r>
              <w:t xml:space="preserve">. Process when verifying the biomass availability and cost multiplier ranges.</w:t>
            </w:r>
          </w:p>
          <w:p/>
        </w:tc>
      </w:tr>
    </w:tbl>
    <w:bookmarkEnd w:id="172"/>
    <w:bookmarkStart w:id="176" w:name="X761b17aa00cb4739adbce9780d9e5e212782311"/>
    <w:p>
      <w:pPr>
        <w:pStyle w:val="Heading2"/>
      </w:pPr>
      <w:r>
        <w:t xml:space="preserve">22.4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5">
              <w:r>
                <w:rPr>
                  <w:rStyle w:val="Hyperlink"/>
                </w:rPr>
                <w:t xml:space="preserve">SM-5.4-A</w:t>
              </w:r>
            </w:hyperlink>
            <w:r>
              <w:t xml:space="preserve">. Process when verifying the ETS price range in the FutureArtefact design.</w:t>
            </w:r>
          </w:p>
          <w:p/>
        </w:tc>
      </w:tr>
    </w:tbl>
    <w:bookmarkEnd w:id="176"/>
    <w:bookmarkStart w:id="180" w:name="Xfe6c8790daed3f83747df2d46fa9865e67de80e"/>
    <w:p>
      <w:pPr>
        <w:pStyle w:val="Heading2"/>
      </w:pPr>
      <w:r>
        <w:t xml:space="preserve">22.5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79">
              <w:r>
                <w:rPr>
                  <w:rStyle w:val="Hyperlink"/>
                </w:rPr>
                <w:t xml:space="preserve">SM-5.5-A</w:t>
              </w:r>
            </w:hyperlink>
            <w:r>
              <w:t xml:space="preserve">. Skip if TIMES-NZ technical detail is not required.</w:t>
            </w:r>
          </w:p>
          <w:p/>
        </w:tc>
      </w:tr>
    </w:tbl>
    <w:bookmarkEnd w:id="180"/>
    <w:bookmarkStart w:id="181" w:name="Xa8191ad18e1caa458fe068fd6564db64f03670e"/>
    <w:p>
      <w:pPr>
        <w:pStyle w:val="Heading2"/>
      </w:pPr>
      <w:r>
        <w:t xml:space="preserve">22.6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1"/>
    <w:bookmarkEnd w:id="182"/>
    <w:bookmarkStart w:id="184" w:name="sub-module-5.2-a"/>
    <w:p>
      <w:pPr>
        <w:pStyle w:val="Heading1"/>
      </w:pPr>
      <w:r>
        <w:t xml:space="preserve">23.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3" w:name="Xd123a7435ef1a2558b22846c3f8d3fdc90773e4"/>
    <w:p>
      <w:pPr>
        <w:pStyle w:val="Heading2"/>
      </w:pPr>
      <w:r>
        <w:t xml:space="preserve">23.1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3"/>
    <w:bookmarkEnd w:id="184"/>
    <w:bookmarkStart w:id="186" w:name="sub-module-5.3-a"/>
    <w:p>
      <w:pPr>
        <w:pStyle w:val="Heading1"/>
      </w:pPr>
      <w:r>
        <w:t xml:space="preserve">24.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5" w:name="X5cd2726fdbf0a4628795c06a1ff2b4370d4ca09"/>
    <w:p>
      <w:pPr>
        <w:pStyle w:val="Heading2"/>
      </w:pPr>
      <w:r>
        <w:t xml:space="preserve">24.1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5"/>
    <w:bookmarkEnd w:id="186"/>
    <w:bookmarkStart w:id="188" w:name="sub-module-5.4-a"/>
    <w:p>
      <w:pPr>
        <w:pStyle w:val="Heading1"/>
      </w:pPr>
      <w:r>
        <w:t xml:space="preserve">25.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1f06e6404f01520904086615ddf89c7f70f0f05"/>
    <w:p>
      <w:pPr>
        <w:pStyle w:val="Heading2"/>
      </w:pPr>
      <w:r>
        <w:t xml:space="preserve">25.1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87"/>
    <w:bookmarkEnd w:id="188"/>
    <w:bookmarkStart w:id="199" w:name="sub-module-5.5-a"/>
    <w:p>
      <w:pPr>
        <w:pStyle w:val="Heading1"/>
      </w:pPr>
      <w:r>
        <w:t xml:space="preserve">26.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89" w:name="what-times-nz-is-and-how-it-works"/>
    <w:p>
      <w:pPr>
        <w:pStyle w:val="Heading2"/>
      </w:pPr>
      <w:r>
        <w:t xml:space="preserve">26.1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89"/>
    <w:bookmarkStart w:id="190" w:name="X2fe43b47a5d23b327945e1f6991417fb8f8f5d9"/>
    <w:p>
      <w:pPr>
        <w:pStyle w:val="Heading2"/>
      </w:pPr>
      <w:r>
        <w:t xml:space="preserve">26.2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0"/>
    <w:bookmarkStart w:id="191" w:name="spatial-resolution-two-regions"/>
    <w:p>
      <w:pPr>
        <w:pStyle w:val="Heading2"/>
      </w:pPr>
      <w:r>
        <w:t xml:space="preserve">26.3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1"/>
    <w:bookmarkStart w:id="192" w:name="Xc4c52927529b1ca32faeb20b97821d597d01c8a"/>
    <w:p>
      <w:pPr>
        <w:pStyle w:val="Heading2"/>
      </w:pPr>
      <w:r>
        <w:t xml:space="preserve">26.4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2"/>
    <w:bookmarkStart w:id="193" w:name="X0599a09e9071ff20bf07422d485bb3ac2970c52"/>
    <w:p>
      <w:pPr>
        <w:pStyle w:val="Heading2"/>
      </w:pPr>
      <w:r>
        <w:t xml:space="preserve">26.5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3"/>
    <w:bookmarkStart w:id="194" w:name="the-wider-nz-energy-modelling-ecosystem"/>
    <w:p>
      <w:pPr>
        <w:pStyle w:val="Heading2"/>
      </w:pPr>
      <w:r>
        <w:t xml:space="preserve">26.6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4"/>
    <w:bookmarkStart w:id="195" w:name="X00d36d1df16089cf367f7ccda2a79e3c9f0f41d"/>
    <w:p>
      <w:pPr>
        <w:pStyle w:val="Heading2"/>
      </w:pPr>
      <w:r>
        <w:t xml:space="preserve">26.7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5"/>
    <w:bookmarkStart w:id="198" w:name="X261619077bdfdac3362b88d2f47a49f1027171a"/>
    <w:p>
      <w:pPr>
        <w:pStyle w:val="Heading2"/>
      </w:pPr>
      <w:r>
        <w:t xml:space="preserve">26.8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198"/>
    <w:bookmarkEnd w:id="199"/>
    <w:bookmarkStart w:id="248" w:name="module-6-the-proof-of-concept"/>
    <w:p>
      <w:pPr>
        <w:pStyle w:val="Heading1"/>
      </w:pPr>
      <w:r>
        <w:t xml:space="preserve">27.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0" w:name="the-poc-claim-and-its-boundaries"/>
    <w:p>
      <w:pPr>
        <w:pStyle w:val="Heading2"/>
      </w:pPr>
      <w:r>
        <w:t xml:space="preserve">27.1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0"/>
    <w:bookmarkStart w:id="204" w:name="X80f11c840b0a572d7cc4b2eb40ec01897daf8f1"/>
    <w:p>
      <w:pPr>
        <w:pStyle w:val="Heading2"/>
      </w:pPr>
      <w:r>
        <w:t xml:space="preserve">27.2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tip.png" id="20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3">
              <w:r>
                <w:rPr>
                  <w:rStyle w:val="Hyperlink"/>
                </w:rPr>
                <w:t xml:space="preserve">SM-6.2-A</w:t>
              </w:r>
            </w:hyperlink>
            <w:r>
              <w:t xml:space="preserve">. Process when replicating or extending the pipeline.</w:t>
            </w:r>
          </w:p>
          <w:p/>
        </w:tc>
      </w:tr>
    </w:tbl>
    <w:bookmarkEnd w:id="204"/>
    <w:bookmarkStart w:id="208" w:name="Xdc1f40d7672666e6b36870caff05dd7194318de"/>
    <w:p>
      <w:pPr>
        <w:pStyle w:val="Heading2"/>
      </w:pPr>
      <w:r>
        <w:t xml:space="preserve">27.3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07">
              <w:r>
                <w:rPr>
                  <w:rStyle w:val="Hyperlink"/>
                </w:rPr>
                <w:t xml:space="preserve">SM-6.3-B</w:t>
              </w:r>
            </w:hyperlink>
            <w:r>
              <w:t xml:space="preserve">. Process when validating or reproducing the DemandPack construction.</w:t>
            </w:r>
          </w:p>
          <w:p/>
        </w:tc>
      </w:tr>
    </w:tbl>
    <w:bookmarkEnd w:id="208"/>
    <w:bookmarkStart w:id="212" w:name="site-dispatch-and-pathway-configurations"/>
    <w:p>
      <w:pPr>
        <w:pStyle w:val="Heading2"/>
      </w:pPr>
      <w:r>
        <w:t xml:space="preserve">27.4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1">
              <w:r>
                <w:rPr>
                  <w:rStyle w:val="Hyperlink"/>
                </w:rPr>
                <w:t xml:space="preserve">SM-6.4-C</w:t>
              </w:r>
            </w:hyperlink>
            <w:r>
              <w:t xml:space="preserve">. Process when implementing or verifying site module compliance.</w:t>
            </w:r>
          </w:p>
          <w:p/>
        </w:tc>
      </w:tr>
    </w:tbl>
    <w:bookmarkEnd w:id="212"/>
    <w:bookmarkStart w:id="216" w:name="Xaaf5096906c28751244e5a4ce6ac663a4ad0467"/>
    <w:p>
      <w:pPr>
        <w:pStyle w:val="Heading2"/>
      </w:pPr>
      <w:r>
        <w:t xml:space="preserve">27.5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5">
              <w:r>
                <w:rPr>
                  <w:rStyle w:val="Hyperlink"/>
                </w:rPr>
                <w:t xml:space="preserve">SM-6.5-D</w:t>
              </w:r>
            </w:hyperlink>
            <w:r>
              <w:t xml:space="preserve">. Process when verifying SignalsPack integrity or planning a module upgrade.</w:t>
            </w:r>
          </w:p>
          <w:p/>
        </w:tc>
      </w:tr>
    </w:tbl>
    <w:bookmarkEnd w:id="216"/>
    <w:bookmarkStart w:id="220" w:name="X9ecac8f426aa56d751d482b63c0b1b44720bf91"/>
    <w:p>
      <w:pPr>
        <w:pStyle w:val="Heading2"/>
      </w:pPr>
      <w:r>
        <w:t xml:space="preserve">27.6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19">
              <w:r>
                <w:rPr>
                  <w:rStyle w:val="Hyperlink"/>
                </w:rPr>
                <w:t xml:space="preserve">SM-6.6-E</w:t>
              </w:r>
            </w:hyperlink>
            <w:r>
              <w:t xml:space="preserve">. Process when planning or implementing the PyPSA regional module.</w:t>
            </w:r>
          </w:p>
          <w:p/>
        </w:tc>
      </w:tr>
    </w:tbl>
    <w:bookmarkEnd w:id="220"/>
    <w:bookmarkStart w:id="221" w:name="the-site-decision-robustness-overlay"/>
    <w:p>
      <w:pPr>
        <w:pStyle w:val="Heading2"/>
      </w:pPr>
      <w:r>
        <w:t xml:space="preserve">27.7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1"/>
    <w:bookmarkStart w:id="225" w:name="validation-and-artefact-integrity"/>
    <w:p>
      <w:pPr>
        <w:pStyle w:val="Heading2"/>
      </w:pPr>
      <w:r>
        <w:t xml:space="preserve">27.8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4">
              <w:r>
                <w:rPr>
                  <w:rStyle w:val="Hyperlink"/>
                </w:rPr>
                <w:t xml:space="preserve">SM-6.8-F</w:t>
              </w:r>
            </w:hyperlink>
            <w:r>
              <w:t xml:space="preserve">. Process when auditing the PoC or verifying governance completeness.</w:t>
            </w:r>
          </w:p>
          <w:p/>
        </w:tc>
      </w:tr>
    </w:tbl>
    <w:bookmarkEnd w:id="225"/>
    <w:bookmarkStart w:id="246" w:name="X87f40c09da264148f720bbcd1936ccab2781ba4"/>
    <w:p>
      <w:pPr>
        <w:pStyle w:val="Heading2"/>
      </w:pPr>
      <w:r>
        <w:t xml:space="preserve">27.9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29" w:name="fig-pathway-decision"/>
          <w:p>
            <w:pPr>
              <w:pStyle w:val="Compact"/>
              <w:jc w:val="center"/>
            </w:pPr>
            <w:r>
              <w:drawing>
                <wp:inline>
                  <wp:extent cx="5334000" cy="3017921"/>
                  <wp:effectExtent b="0" l="0" r="0" t="0"/>
                  <wp:docPr descr="" title="" id="227" name="Picture"/>
                  <a:graphic>
                    <a:graphicData uri="http://schemas.openxmlformats.org/drawingml/2006/picture">
                      <pic:pic>
                        <pic:nvPicPr>
                          <pic:cNvPr descr="manuscript/../assets/figures/diagram3-pathway-comparison.svg" id="2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27.1: Figure 6.0: Decision tree and robustness outcomes</w:t>
            </w:r>
            <w:r>
              <w:t xml:space="preserve"> </w:t>
            </w:r>
            <w:r>
              <w:t xml:space="preserve">— EB vs BB pathway comparison, 100 paired futures,</w:t>
            </w:r>
            <w:r>
              <w:t xml:space="preserve"> </w:t>
            </w:r>
            <w:r>
              <w:t xml:space="preserve">Edendale–Southland PoC.</w:t>
            </w:r>
          </w:p>
          <w:bookmarkEnd w:id="229"/>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3" w:name="fig-dispatch-epochs"/>
          <w:p>
            <w:pPr>
              <w:pStyle w:val="Compact"/>
              <w:jc w:val="center"/>
            </w:pPr>
            <w:r>
              <w:drawing>
                <wp:inline>
                  <wp:extent cx="5334000" cy="2510952"/>
                  <wp:effectExtent b="0" l="0" r="0" t="0"/>
                  <wp:docPr descr="" title="" id="231" name="Picture"/>
                  <a:graphic>
                    <a:graphicData uri="http://schemas.openxmlformats.org/drawingml/2006/picture">
                      <pic:pic>
                        <pic:nvPicPr>
                          <pic:cNvPr descr="manuscript/../assets/figures/fig6_1_dispatch_epochs.png" id="232" name="Picture"/>
                          <pic:cNvPicPr>
                            <a:picLocks noChangeArrowheads="1" noChangeAspect="1"/>
                          </pic:cNvPicPr>
                        </pic:nvPicPr>
                        <pic:blipFill>
                          <a:blip r:embed="rId230"/>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27.2: Figure 6.1: Site-layer dispatch results across</w:t>
            </w:r>
            <w:r>
              <w:t xml:space="preserve"> </w:t>
            </w:r>
            <w:r>
              <w:t xml:space="preserve">planning epochs — annual cost, direct CO₂ emissions,</w:t>
            </w:r>
            <w:r>
              <w:t xml:space="preserve"> </w:t>
            </w:r>
            <w:r>
              <w:t xml:space="preserve">and GXP incremental electricity demand.</w:t>
            </w:r>
          </w:p>
          <w:bookmarkEnd w:id="233"/>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37" w:name="fig-rdm-upgrade"/>
          <w:p>
            <w:pPr>
              <w:pStyle w:val="Compact"/>
              <w:jc w:val="center"/>
            </w:pPr>
            <w:r>
              <w:drawing>
                <wp:inline>
                  <wp:extent cx="5334000" cy="2364529"/>
                  <wp:effectExtent b="0" l="0" r="0" t="0"/>
                  <wp:docPr descr="" title="" id="235" name="Picture"/>
                  <a:graphic>
                    <a:graphicData uri="http://schemas.openxmlformats.org/drawingml/2006/picture">
                      <pic:pic>
                        <pic:nvPicPr>
                          <pic:cNvPr descr="manuscript/../assets/figures/fig6_2_rdm_upgrade_distribution.png" id="236" name="Picture"/>
                          <pic:cNvPicPr>
                            <a:picLocks noChangeArrowheads="1" noChangeAspect="1"/>
                          </pic:cNvPicPr>
                        </pic:nvPicPr>
                        <pic:blipFill>
                          <a:blip r:embed="rId234"/>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27.3: Figure 6.2: Grid upgrade selection across 100</w:t>
            </w:r>
            <w:r>
              <w:t xml:space="preserve"> </w:t>
            </w:r>
            <w:r>
              <w:t xml:space="preserve">paired futures — EB and BB pathways compared.</w:t>
            </w:r>
          </w:p>
          <w:bookmarkEnd w:id="237"/>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1" w:name="fig-robustness"/>
          <w:p>
            <w:pPr>
              <w:pStyle w:val="Compact"/>
              <w:jc w:val="center"/>
            </w:pPr>
            <w:r>
              <w:drawing>
                <wp:inline>
                  <wp:extent cx="5334000" cy="3487516"/>
                  <wp:effectExtent b="0" l="0" r="0" t="0"/>
                  <wp:docPr descr="" title="" id="239" name="Picture"/>
                  <a:graphic>
                    <a:graphicData uri="http://schemas.openxmlformats.org/drawingml/2006/picture">
                      <pic:pic>
                        <pic:nvPicPr>
                          <pic:cNvPr descr="manuscript/../assets/figures/fig6_3_robustness_comparison.png" id="240" name="Picture"/>
                          <pic:cNvPicPr>
                            <a:picLocks noChangeArrowheads="1" noChangeAspect="1"/>
                          </pic:cNvPicPr>
                        </pic:nvPicPr>
                        <pic:blipFill>
                          <a:blip r:embed="rId238"/>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27.4: Figure 6.3: Robustness comparison — EB vs BB</w:t>
            </w:r>
            <w:r>
              <w:t xml:space="preserve"> </w:t>
            </w:r>
            <w:r>
              <w:t xml:space="preserve">across 100 paired futures, five metrics.</w:t>
            </w:r>
          </w:p>
          <w:bookmarkEnd w:id="241"/>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5" w:name="fig-regret-cdf"/>
          <w:p>
            <w:pPr>
              <w:pStyle w:val="Compact"/>
              <w:jc w:val="center"/>
            </w:pPr>
            <w:r>
              <w:drawing>
                <wp:inline>
                  <wp:extent cx="5334000" cy="2175880"/>
                  <wp:effectExtent b="0" l="0" r="0" t="0"/>
                  <wp:docPr descr="" title="" id="243" name="Picture"/>
                  <a:graphic>
                    <a:graphicData uri="http://schemas.openxmlformats.org/drawingml/2006/picture">
                      <pic:pic>
                        <pic:nvPicPr>
                          <pic:cNvPr descr="manuscript/../assets/figures/fig6_4_regret_cdf_and_cost_difference.png" id="244" name="Picture"/>
                          <pic:cNvPicPr>
                            <a:picLocks noChangeArrowheads="1" noChangeAspect="1"/>
                          </pic:cNvPicPr>
                        </pic:nvPicPr>
                        <pic:blipFill>
                          <a:blip r:embed="rId242"/>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27.5: Figure 6.4: System-level regret CDF and</w:t>
            </w:r>
            <w:r>
              <w:t xml:space="preserve"> </w:t>
            </w:r>
            <w:r>
              <w:t xml:space="preserve">per-future cost difference — EB vs BB.</w:t>
            </w:r>
          </w:p>
          <w:bookmarkEnd w:id="245"/>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46"/>
    <w:bookmarkStart w:id="247" w:name="X7c5626f57ca42c90982756e21388f93be1cd37b"/>
    <w:p>
      <w:pPr>
        <w:pStyle w:val="Heading2"/>
      </w:pPr>
      <w:r>
        <w:t xml:space="preserve">27.10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47"/>
    <w:bookmarkEnd w:id="248"/>
    <w:bookmarkStart w:id="250" w:name="sub-module-6.2-a"/>
    <w:p>
      <w:pPr>
        <w:pStyle w:val="Heading1"/>
      </w:pPr>
      <w:r>
        <w:t xml:space="preserve">28.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49" w:name="X666e2f1f592154b2c897271d3e87ecd3d3797a9"/>
    <w:p>
      <w:pPr>
        <w:pStyle w:val="Heading2"/>
      </w:pPr>
      <w:r>
        <w:t xml:space="preserve">28.1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49"/>
    <w:bookmarkEnd w:id="250"/>
    <w:bookmarkStart w:id="252" w:name="sub-module-6.3-b"/>
    <w:p>
      <w:pPr>
        <w:pStyle w:val="Heading1"/>
      </w:pPr>
      <w:r>
        <w:t xml:space="preserve">29.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1" w:name="X93c9eb8850fc71d5564b59a0d2547d7b3a6378d"/>
    <w:p>
      <w:pPr>
        <w:pStyle w:val="Heading2"/>
      </w:pPr>
      <w:r>
        <w:t xml:space="preserve">29.1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1"/>
    <w:bookmarkEnd w:id="252"/>
    <w:bookmarkStart w:id="258" w:name="sub-module-6.4-c"/>
    <w:p>
      <w:pPr>
        <w:pStyle w:val="Heading1"/>
      </w:pPr>
      <w:r>
        <w:t xml:space="preserve">30.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57" w:name="Xe2a15f6beaf6e10340f26c3ee1eea189ba864eb"/>
    <w:p>
      <w:pPr>
        <w:pStyle w:val="Heading2"/>
      </w:pPr>
      <w:r>
        <w:t xml:space="preserve">30.1 SM-6.4-C: Site Module Interface Contract and Schema Tables</w:t>
      </w:r>
    </w:p>
    <w:bookmarkStart w:id="253" w:name="siteconfigartefact-schema"/>
    <w:p>
      <w:pPr>
        <w:pStyle w:val="Heading3"/>
      </w:pPr>
      <w:r>
        <w:t xml:space="preserve">30.1.1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3"/>
    <w:bookmarkStart w:id="254" w:name="X0e96554687d6dbc14377d0d0c0aa42deba461f0"/>
    <w:p>
      <w:pPr>
        <w:pStyle w:val="Heading3"/>
      </w:pPr>
      <w:r>
        <w:t xml:space="preserve">30.1.2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4"/>
    <w:bookmarkStart w:id="255" w:name="resultartefact-key-output-fields"/>
    <w:p>
      <w:pPr>
        <w:pStyle w:val="Heading3"/>
      </w:pPr>
      <w:r>
        <w:t xml:space="preserve">30.1.3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5"/>
    <w:bookmarkStart w:id="256" w:name="X9f67b775bbeb76c8fab897c8f98f4db7d2dc52e"/>
    <w:p>
      <w:pPr>
        <w:pStyle w:val="Heading3"/>
      </w:pPr>
      <w:r>
        <w:t xml:space="preserve">30.1.4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56"/>
    <w:bookmarkEnd w:id="257"/>
    <w:bookmarkEnd w:id="258"/>
    <w:bookmarkStart w:id="263" w:name="sub-module-6.5-d"/>
    <w:p>
      <w:pPr>
        <w:pStyle w:val="Heading1"/>
      </w:pPr>
      <w:r>
        <w:t xml:space="preserve">31.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2" w:name="Xb8a0aafb5989e1a918569714a1aaa1b1ef0ec72"/>
    <w:p>
      <w:pPr>
        <w:pStyle w:val="Heading2"/>
      </w:pPr>
      <w:r>
        <w:t xml:space="preserve">31.1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59" w:name="hourly-signals-file-schema"/>
    <w:p>
      <w:pPr>
        <w:pStyle w:val="Heading3"/>
      </w:pPr>
      <w:r>
        <w:t xml:space="preserve">31.1.1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59"/>
    <w:bookmarkStart w:id="260" w:name="upgrade-option-menu"/>
    <w:p>
      <w:pPr>
        <w:pStyle w:val="Heading3"/>
      </w:pPr>
      <w:r>
        <w:t xml:space="preserve">31.1.2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0"/>
    <w:bookmarkStart w:id="261" w:name="manifest-schema-signals_manifest.toml"/>
    <w:p>
      <w:pPr>
        <w:pStyle w:val="Heading3"/>
      </w:pPr>
      <w:r>
        <w:t xml:space="preserve">31.1.3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1"/>
    <w:bookmarkEnd w:id="262"/>
    <w:bookmarkEnd w:id="263"/>
    <w:bookmarkStart w:id="265" w:name="sub-module-6.6-e"/>
    <w:p>
      <w:pPr>
        <w:pStyle w:val="Heading1"/>
      </w:pPr>
      <w:r>
        <w:t xml:space="preserve">32.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4" w:name="X7052b3c6a607dd38b50044e20d369f8a23c353a"/>
    <w:p>
      <w:pPr>
        <w:pStyle w:val="Heading2"/>
      </w:pPr>
      <w:r>
        <w:t xml:space="preserve">32.1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4"/>
    <w:bookmarkEnd w:id="265"/>
    <w:bookmarkStart w:id="270" w:name="sub-module-6.8-f"/>
    <w:p>
      <w:pPr>
        <w:pStyle w:val="Heading1"/>
      </w:pPr>
      <w:r>
        <w:t xml:space="preserve">33.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69" w:name="X7d4ec75426a9b17e4df6e476114f872265c3397"/>
    <w:p>
      <w:pPr>
        <w:pStyle w:val="Heading2"/>
      </w:pPr>
      <w:r>
        <w:t xml:space="preserve">33.1 SM-6.8-F: Validation Records and Artefact Log</w:t>
      </w:r>
    </w:p>
    <w:bookmarkStart w:id="266" w:name="artefact-admission-summary"/>
    <w:p>
      <w:pPr>
        <w:pStyle w:val="Heading3"/>
      </w:pPr>
      <w:r>
        <w:t xml:space="preserve">33.1.1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66"/>
    <w:bookmarkStart w:id="267" w:name="demandpack-failure-correction-log"/>
    <w:p>
      <w:pPr>
        <w:pStyle w:val="Heading3"/>
      </w:pPr>
      <w:r>
        <w:t xml:space="preserve">33.1.2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67"/>
    <w:bookmarkStart w:id="268" w:name="sha256-hash-verification-summary"/>
    <w:p>
      <w:pPr>
        <w:pStyle w:val="Heading3"/>
      </w:pPr>
      <w:r>
        <w:t xml:space="preserve">33.1.3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68"/>
    <w:bookmarkEnd w:id="269"/>
    <w:bookmarkEnd w:id="270"/>
    <w:bookmarkStart w:id="284" w:name="module-7-extension-and-synthesis"/>
    <w:p>
      <w:pPr>
        <w:pStyle w:val="Heading1"/>
      </w:pPr>
      <w:r>
        <w:t xml:space="preserve">34.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1" w:name="multi-site-and-corporate-scale-extension"/>
    <w:p>
      <w:pPr>
        <w:pStyle w:val="Heading2"/>
      </w:pPr>
      <w:r>
        <w:t xml:space="preserve">34.1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1"/>
    <w:bookmarkStart w:id="272" w:name="X9111c17b47f7c632e514a9ced3cff5f68e7908c"/>
    <w:p>
      <w:pPr>
        <w:pStyle w:val="Heading2"/>
      </w:pPr>
      <w:r>
        <w:t xml:space="preserve">34.2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2"/>
    <w:bookmarkStart w:id="273" w:name="multi-domain-extension"/>
    <w:p>
      <w:pPr>
        <w:pStyle w:val="Heading2"/>
      </w:pPr>
      <w:r>
        <w:t xml:space="preserve">34.3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3"/>
    <w:bookmarkStart w:id="274" w:name="the-adaptive-decision-laboratory-vision"/>
    <w:p>
      <w:pPr>
        <w:pStyle w:val="Heading2"/>
      </w:pPr>
      <w:r>
        <w:t xml:space="preserve">34.4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4"/>
    <w:bookmarkStart w:id="275" w:name="the-frameworks-current-limits"/>
    <w:p>
      <w:pPr>
        <w:pStyle w:val="Heading2"/>
      </w:pPr>
      <w:r>
        <w:t xml:space="preserve">34.5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75"/>
    <w:bookmarkStart w:id="276" w:name="eleven-propositions"/>
    <w:p>
      <w:pPr>
        <w:pStyle w:val="Heading2"/>
      </w:pPr>
      <w:r>
        <w:t xml:space="preserve">34.6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76"/>
    <w:bookmarkStart w:id="277" w:name="closing-argument"/>
    <w:p>
      <w:pPr>
        <w:pStyle w:val="Heading2"/>
      </w:pPr>
      <w:r>
        <w:t xml:space="preserve">34.7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77"/>
    <w:bookmarkStart w:id="278" w:name="sec-7-8"/>
    <w:p>
      <w:pPr>
        <w:pStyle w:val="Heading2"/>
      </w:pPr>
      <w:r>
        <w:t xml:space="preserve">34.8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78"/>
    <w:bookmarkStart w:id="279" w:name="X8a8c75d8d487d56032880562620038409b944e7"/>
    <w:p>
      <w:pPr>
        <w:pStyle w:val="Heading2"/>
      </w:pPr>
      <w:r>
        <w:t xml:space="preserve">34.9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79"/>
    <w:bookmarkStart w:id="283" w:name="Xcfeef2728bd4b7099dc18d0323168f565da071c"/>
    <w:p>
      <w:pPr>
        <w:pStyle w:val="Heading2"/>
      </w:pPr>
      <w:r>
        <w:t xml:space="preserve">34.10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tip.png" id="281"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3"/>
    <w:bookmarkEnd w:id="284"/>
    <w:bookmarkStart w:id="314" w:name="glossary"/>
    <w:p>
      <w:pPr>
        <w:pStyle w:val="Heading1"/>
      </w:pPr>
      <w:r>
        <w:t xml:space="preserve">35.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85" w:name="analytical-backbone"/>
    <w:p>
      <w:pPr>
        <w:pStyle w:val="Heading2"/>
      </w:pPr>
      <w:r>
        <w:t xml:space="preserve">35.1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85"/>
    <w:bookmarkStart w:id="286" w:name="artefact"/>
    <w:p>
      <w:pPr>
        <w:pStyle w:val="Heading2"/>
      </w:pPr>
      <w:r>
        <w:t xml:space="preserve">35.2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86"/>
    <w:bookmarkStart w:id="287" w:name="decision-centred-modelling"/>
    <w:p>
      <w:pPr>
        <w:pStyle w:val="Heading2"/>
      </w:pPr>
      <w:r>
        <w:t xml:space="preserve">35.3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87"/>
    <w:bookmarkStart w:id="288" w:name="decision-first-boundary-principle"/>
    <w:p>
      <w:pPr>
        <w:pStyle w:val="Heading2"/>
      </w:pPr>
      <w:r>
        <w:t xml:space="preserve">35.4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88"/>
    <w:bookmarkStart w:id="289" w:name="decisionsummaryartefact"/>
    <w:p>
      <w:pPr>
        <w:pStyle w:val="Heading2"/>
      </w:pPr>
      <w:r>
        <w:t xml:space="preserve">35.5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89"/>
    <w:bookmarkStart w:id="290" w:name="deep-uncertainty"/>
    <w:p>
      <w:pPr>
        <w:pStyle w:val="Heading2"/>
      </w:pPr>
      <w:r>
        <w:t xml:space="preserve">35.6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0"/>
    <w:bookmarkStart w:id="291" w:name="demandpack"/>
    <w:p>
      <w:pPr>
        <w:pStyle w:val="Heading2"/>
      </w:pPr>
      <w:r>
        <w:t xml:space="preserve">35.7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1"/>
    <w:bookmarkStart w:id="292" w:name="X1e6add422e6f366058cd28b144f73a030cbffa4"/>
    <w:p>
      <w:pPr>
        <w:pStyle w:val="Heading2"/>
      </w:pPr>
      <w:r>
        <w:t xml:space="preserve">35.8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2"/>
    <w:bookmarkStart w:id="293" w:name="futureartefact"/>
    <w:p>
      <w:pPr>
        <w:pStyle w:val="Heading2"/>
      </w:pPr>
      <w:r>
        <w:t xml:space="preserve">35.9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3"/>
    <w:bookmarkStart w:id="294" w:name="gxp-grid-exit-point"/>
    <w:p>
      <w:pPr>
        <w:pStyle w:val="Heading2"/>
      </w:pPr>
      <w:r>
        <w:t xml:space="preserve">35.10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4"/>
    <w:bookmarkStart w:id="295" w:name="incrementalelectricitypack"/>
    <w:p>
      <w:pPr>
        <w:pStyle w:val="Heading2"/>
      </w:pPr>
      <w:r>
        <w:t xml:space="preserve">35.11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295"/>
    <w:bookmarkStart w:id="296" w:name="module"/>
    <w:p>
      <w:pPr>
        <w:pStyle w:val="Heading2"/>
      </w:pPr>
      <w:r>
        <w:t xml:space="preserve">35.12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296"/>
    <w:bookmarkStart w:id="297" w:name="one-pass-coupling"/>
    <w:p>
      <w:pPr>
        <w:pStyle w:val="Heading2"/>
      </w:pPr>
      <w:r>
        <w:t xml:space="preserve">35.13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297"/>
    <w:bookmarkStart w:id="298" w:name="paired-futures-requirement"/>
    <w:p>
      <w:pPr>
        <w:pStyle w:val="Heading2"/>
      </w:pPr>
      <w:r>
        <w:t xml:space="preserve">35.14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298"/>
    <w:bookmarkStart w:id="299" w:name="progressive-refinement"/>
    <w:p>
      <w:pPr>
        <w:pStyle w:val="Heading2"/>
      </w:pPr>
      <w:r>
        <w:t xml:space="preserve">35.15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299"/>
    <w:bookmarkStart w:id="300" w:name="rdm-robust-decision-making"/>
    <w:p>
      <w:pPr>
        <w:pStyle w:val="Heading2"/>
      </w:pPr>
      <w:r>
        <w:t xml:space="preserve">35.16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0"/>
    <w:bookmarkStart w:id="301" w:name="regret"/>
    <w:p>
      <w:pPr>
        <w:pStyle w:val="Heading2"/>
      </w:pPr>
      <w:r>
        <w:t xml:space="preserve">35.17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1"/>
    <w:bookmarkStart w:id="302" w:name="resultartefact"/>
    <w:p>
      <w:pPr>
        <w:pStyle w:val="Heading2"/>
      </w:pPr>
      <w:r>
        <w:t xml:space="preserve">35.18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2"/>
    <w:bookmarkStart w:id="303" w:name="robustness"/>
    <w:p>
      <w:pPr>
        <w:pStyle w:val="Heading2"/>
      </w:pPr>
      <w:r>
        <w:t xml:space="preserve">35.19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3"/>
    <w:bookmarkStart w:id="304" w:name="satisficing"/>
    <w:p>
      <w:pPr>
        <w:pStyle w:val="Heading2"/>
      </w:pPr>
      <w:r>
        <w:t xml:space="preserve">35.20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4"/>
    <w:bookmarkStart w:id="305" w:name="signalspack"/>
    <w:p>
      <w:pPr>
        <w:pStyle w:val="Heading2"/>
      </w:pPr>
      <w:r>
        <w:t xml:space="preserve">35.21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05"/>
    <w:bookmarkStart w:id="306" w:name="site-decision-robustness-overlay"/>
    <w:p>
      <w:pPr>
        <w:pStyle w:val="Heading2"/>
      </w:pPr>
      <w:r>
        <w:t xml:space="preserve">35.22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06"/>
    <w:bookmarkStart w:id="307" w:name="system-level-regret"/>
    <w:p>
      <w:pPr>
        <w:pStyle w:val="Heading2"/>
      </w:pPr>
      <w:r>
        <w:t xml:space="preserve">35.23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07"/>
    <w:bookmarkStart w:id="308" w:name="thin-waist"/>
    <w:p>
      <w:pPr>
        <w:pStyle w:val="Heading2"/>
      </w:pPr>
      <w:r>
        <w:t xml:space="preserve">35.24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08"/>
    <w:bookmarkStart w:id="309" w:name="validationartefact"/>
    <w:p>
      <w:pPr>
        <w:pStyle w:val="Heading2"/>
      </w:pPr>
      <w:r>
        <w:t xml:space="preserve">35.25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09"/>
    <w:bookmarkStart w:id="31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0" w:name="planned-sub-modules-specified"/>
    <w:p>
      <w:pPr>
        <w:pStyle w:val="Heading3"/>
      </w:pPr>
      <w:r>
        <w:t xml:space="preserve">35.25.1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0"/>
    <w:bookmarkStart w:id="311" w:name="planned-sections-vision"/>
    <w:p>
      <w:pPr>
        <w:pStyle w:val="Heading3"/>
      </w:pPr>
      <w:r>
        <w:t xml:space="preserve">35.25.2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1"/>
    <w:bookmarkStart w:id="312" w:name="planned-artefact-family-extensions"/>
    <w:p>
      <w:pPr>
        <w:pStyle w:val="Heading3"/>
      </w:pPr>
      <w:r>
        <w:t xml:space="preserve">35.25.3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image" Id="rId53" Target="media/rId53.svg" /><Relationship Type="http://schemas.openxmlformats.org/officeDocument/2006/relationships/image" Id="rId62" Target="media/rId62.svg" /><Relationship Type="http://schemas.openxmlformats.org/officeDocument/2006/relationships/image" Id="rId226" Target="media/rId226.sv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hyperlink" Id="rId28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33" Target="references/glossary.qmd" TargetMode="External" /><Relationship Type="http://schemas.openxmlformats.org/officeDocument/2006/relationships/hyperlink" Id="rId73" Target="sub-modules/sm-1-1A-philosophical-lineage.qmd" TargetMode="External" /><Relationship Type="http://schemas.openxmlformats.org/officeDocument/2006/relationships/hyperlink" Id="rId79" Target="sub-modules/sm-1-4A-decision-theory.qmd" TargetMode="External" /><Relationship Type="http://schemas.openxmlformats.org/officeDocument/2006/relationships/hyperlink" Id="rId85" Target="sub-modules/sm-1-7A-requirements-mapping.qmd" TargetMode="External" /><Relationship Type="http://schemas.openxmlformats.org/officeDocument/2006/relationships/hyperlink" Id="rId105" Target="sub-modules/sm-2-2A-optimisation-roles.qmd" TargetMode="External" /><Relationship Type="http://schemas.openxmlformats.org/officeDocument/2006/relationships/hyperlink" Id="rId109" Target="sub-modules/sm-2-3A-surrogate-validation.qmd" TargetMode="External" /><Relationship Type="http://schemas.openxmlformats.org/officeDocument/2006/relationships/hyperlink" Id="rId113" Target="sub-modules/sm-2-4A-scenario-discovery.qmd" TargetMode="External" /><Relationship Type="http://schemas.openxmlformats.org/officeDocument/2006/relationships/hyperlink" Id="rId129" Target="sub-modules/sm-3-5A-artefact-schema.qmd" TargetMode="External" /><Relationship Type="http://schemas.openxmlformats.org/officeDocument/2006/relationships/hyperlink" Id="rId134" Target="sub-modules/sm-3-7A-backbone-implementation.qmd" TargetMode="External" /><Relationship Type="http://schemas.openxmlformats.org/officeDocument/2006/relationships/hyperlink" Id="rId138" Target="sub-modules/sm-3-8A-aiml-governance.qmd" TargetMode="External" /><Relationship Type="http://schemas.openxmlformats.org/officeDocument/2006/relationships/hyperlink" Id="rId159" Target="sub-modules/sm-4-4A-system-regret.qmd" TargetMode="External" /><Relationship Type="http://schemas.openxmlformats.org/officeDocument/2006/relationships/hyperlink" Id="rId167" Target="sub-modules/sm-5-2A-gxp-capacity.qmd" TargetMode="External" /><Relationship Type="http://schemas.openxmlformats.org/officeDocument/2006/relationships/hyperlink" Id="rId171" Target="sub-modules/sm-5-3A-biomass-supply.qmd" TargetMode="External" /><Relationship Type="http://schemas.openxmlformats.org/officeDocument/2006/relationships/hyperlink" Id="rId175" Target="sub-modules/sm-5-4A-ets-history.qmd" TargetMode="External" /><Relationship Type="http://schemas.openxmlformats.org/officeDocument/2006/relationships/hyperlink" Id="rId179" Target="sub-modules/sm-5-5A-times-nz-ecosystem.qmd" TargetMode="External" /><Relationship Type="http://schemas.openxmlformats.org/officeDocument/2006/relationships/hyperlink" Id="rId203" Target="sub-modules/sm-6-2A-poc-pipeline.qmd" TargetMode="External" /><Relationship Type="http://schemas.openxmlformats.org/officeDocument/2006/relationships/hyperlink" Id="rId207" Target="sub-modules/sm-6-3B-demandpack-methods.qmd" TargetMode="External" /><Relationship Type="http://schemas.openxmlformats.org/officeDocument/2006/relationships/hyperlink" Id="rId211" Target="sub-modules/sm-6-4C-site-interface-contract.qmd" TargetMode="External" /><Relationship Type="http://schemas.openxmlformats.org/officeDocument/2006/relationships/hyperlink" Id="rId215" Target="sub-modules/sm-6-5D-signalspack-contract.qmd" TargetMode="External" /><Relationship Type="http://schemas.openxmlformats.org/officeDocument/2006/relationships/hyperlink" Id="rId219" Target="sub-modules/sm-6-6E-pypsa-module-design.qmd" TargetMode="External" /><Relationship Type="http://schemas.openxmlformats.org/officeDocument/2006/relationships/hyperlink" Id="rId224"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28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33" Target="references/glossary.qmd" TargetMode="External" /><Relationship Type="http://schemas.openxmlformats.org/officeDocument/2006/relationships/hyperlink" Id="rId73" Target="sub-modules/sm-1-1A-philosophical-lineage.qmd" TargetMode="External" /><Relationship Type="http://schemas.openxmlformats.org/officeDocument/2006/relationships/hyperlink" Id="rId79" Target="sub-modules/sm-1-4A-decision-theory.qmd" TargetMode="External" /><Relationship Type="http://schemas.openxmlformats.org/officeDocument/2006/relationships/hyperlink" Id="rId85" Target="sub-modules/sm-1-7A-requirements-mapping.qmd" TargetMode="External" /><Relationship Type="http://schemas.openxmlformats.org/officeDocument/2006/relationships/hyperlink" Id="rId105" Target="sub-modules/sm-2-2A-optimisation-roles.qmd" TargetMode="External" /><Relationship Type="http://schemas.openxmlformats.org/officeDocument/2006/relationships/hyperlink" Id="rId109" Target="sub-modules/sm-2-3A-surrogate-validation.qmd" TargetMode="External" /><Relationship Type="http://schemas.openxmlformats.org/officeDocument/2006/relationships/hyperlink" Id="rId113" Target="sub-modules/sm-2-4A-scenario-discovery.qmd" TargetMode="External" /><Relationship Type="http://schemas.openxmlformats.org/officeDocument/2006/relationships/hyperlink" Id="rId129" Target="sub-modules/sm-3-5A-artefact-schema.qmd" TargetMode="External" /><Relationship Type="http://schemas.openxmlformats.org/officeDocument/2006/relationships/hyperlink" Id="rId134" Target="sub-modules/sm-3-7A-backbone-implementation.qmd" TargetMode="External" /><Relationship Type="http://schemas.openxmlformats.org/officeDocument/2006/relationships/hyperlink" Id="rId138" Target="sub-modules/sm-3-8A-aiml-governance.qmd" TargetMode="External" /><Relationship Type="http://schemas.openxmlformats.org/officeDocument/2006/relationships/hyperlink" Id="rId159" Target="sub-modules/sm-4-4A-system-regret.qmd" TargetMode="External" /><Relationship Type="http://schemas.openxmlformats.org/officeDocument/2006/relationships/hyperlink" Id="rId167" Target="sub-modules/sm-5-2A-gxp-capacity.qmd" TargetMode="External" /><Relationship Type="http://schemas.openxmlformats.org/officeDocument/2006/relationships/hyperlink" Id="rId171" Target="sub-modules/sm-5-3A-biomass-supply.qmd" TargetMode="External" /><Relationship Type="http://schemas.openxmlformats.org/officeDocument/2006/relationships/hyperlink" Id="rId175" Target="sub-modules/sm-5-4A-ets-history.qmd" TargetMode="External" /><Relationship Type="http://schemas.openxmlformats.org/officeDocument/2006/relationships/hyperlink" Id="rId179" Target="sub-modules/sm-5-5A-times-nz-ecosystem.qmd" TargetMode="External" /><Relationship Type="http://schemas.openxmlformats.org/officeDocument/2006/relationships/hyperlink" Id="rId203" Target="sub-modules/sm-6-2A-poc-pipeline.qmd" TargetMode="External" /><Relationship Type="http://schemas.openxmlformats.org/officeDocument/2006/relationships/hyperlink" Id="rId207" Target="sub-modules/sm-6-3B-demandpack-methods.qmd" TargetMode="External" /><Relationship Type="http://schemas.openxmlformats.org/officeDocument/2006/relationships/hyperlink" Id="rId211" Target="sub-modules/sm-6-4C-site-interface-contract.qmd" TargetMode="External" /><Relationship Type="http://schemas.openxmlformats.org/officeDocument/2006/relationships/hyperlink" Id="rId215" Target="sub-modules/sm-6-5D-signalspack-contract.qmd" TargetMode="External" /><Relationship Type="http://schemas.openxmlformats.org/officeDocument/2006/relationships/hyperlink" Id="rId219" Target="sub-modules/sm-6-6E-pypsa-module-design.qmd" TargetMode="External" /><Relationship Type="http://schemas.openxmlformats.org/officeDocument/2006/relationships/hyperlink" Id="rId224"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2026-05-07T22:31:56Z</dcterms:created>
  <dcterms:modified xsi:type="dcterms:W3CDTF">2026-05-07T22:31:56Z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