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Decision-Centred Modelling</w:t>
      </w:r>
    </w:p>
    <w:p>
      <w:pPr>
        <w:pStyle w:val="Date"/>
      </w:pPr>
      <w:r>
        <w:t xml:space="preserve">2026</w:t>
      </w:r>
    </w:p>
    <w:p>
      <w:pPr>
        <w:pStyle w:val="AbstractTitle"/>
      </w:pPr>
      <w:r>
        <w:t xml:space="preserve">Abstract</w:t>
      </w:r>
    </w:p>
    <w:p>
      <w:pPr>
        <w:pStyle w:val="Abstract"/>
      </w:pPr>
      <w:r>
        <w:t xml:space="preserve">Long-horizon infrastructure decisions face a structural analytical</w:t>
      </w:r>
      <w:r>
        <w:t xml:space="preserve"> </w:t>
      </w:r>
      <w:r>
        <w:t xml:space="preserve">problem distinct from insufficient physical detail: when a model</w:t>
      </w:r>
      <w:r>
        <w:t xml:space="preserve"> </w:t>
      </w:r>
      <w:r>
        <w:t xml:space="preserve">draws its boundary around the physical system being analysed,</w:t>
      </w:r>
      <w:r>
        <w:t xml:space="preserve"> </w:t>
      </w:r>
      <w:r>
        <w:t xml:space="preserve">the consequences that cross that boundary — infrastructure-conditional</w:t>
      </w:r>
      <w:r>
        <w:t xml:space="preserve"> </w:t>
      </w:r>
      <w:r>
        <w:t xml:space="preserve">costs, cross-scale demand propagation, regional network constraints —</w:t>
      </w:r>
      <w:r>
        <w:t xml:space="preserve"> </w:t>
      </w:r>
      <w:r>
        <w:t xml:space="preserve">become analytically inaccessible. For decisions where these</w:t>
      </w:r>
      <w:r>
        <w:t xml:space="preserve"> </w:t>
      </w:r>
      <w:r>
        <w:t xml:space="preserve">consequences are material, the model may point in the wrong direction.</w:t>
      </w:r>
    </w:p>
    <w:p>
      <w:pPr>
        <w:pStyle w:val="Abstract"/>
      </w:pPr>
      <w:r>
        <w:t xml:space="preserve">This paper introduces the Decision-Centred Modelling (DCM)</w:t>
      </w:r>
      <w:r>
        <w:t xml:space="preserve"> </w:t>
      </w:r>
      <w:r>
        <w:t xml:space="preserve">framework, which addresses this problem by drawing the analytical</w:t>
      </w:r>
      <w:r>
        <w:t xml:space="preserve"> </w:t>
      </w:r>
      <w:r>
        <w:t xml:space="preserve">boundary around the decision and its consequences rather than</w:t>
      </w:r>
      <w:r>
        <w:t xml:space="preserve"> </w:t>
      </w:r>
      <w:r>
        <w:t xml:space="preserve">around the physical system. The framework rests on three principles:</w:t>
      </w:r>
      <w:r>
        <w:t xml:space="preserve"> </w:t>
      </w:r>
      <w:r>
        <w:t xml:space="preserve">a decision-first boundary specification that defines analytical</w:t>
      </w:r>
      <w:r>
        <w:t xml:space="preserve"> </w:t>
      </w:r>
      <w:r>
        <w:t xml:space="preserve">scope through decision-relevance; a thin-waist artefact governance</w:t>
      </w:r>
      <w:r>
        <w:t xml:space="preserve"> </w:t>
      </w:r>
      <w:r>
        <w:t xml:space="preserve">layer coupling heterogeneous analytical modules through</w:t>
      </w:r>
      <w:r>
        <w:t xml:space="preserve"> </w:t>
      </w:r>
      <w:r>
        <w:t xml:space="preserve">schema-conforming exchange contracts; and progressive refinement</w:t>
      </w:r>
      <w:r>
        <w:t xml:space="preserve"> </w:t>
      </w:r>
      <w:r>
        <w:t xml:space="preserve">governed by regret diagnostics. Under conditions where probability</w:t>
      </w:r>
      <w:r>
        <w:t xml:space="preserve"> </w:t>
      </w:r>
      <w:r>
        <w:t xml:space="preserve">distributions over futures cannot be defended, regret, robustness,</w:t>
      </w:r>
      <w:r>
        <w:t xml:space="preserve"> </w:t>
      </w:r>
      <w:r>
        <w:t xml:space="preserve">and satisficing replace expected value optimisation as the</w:t>
      </w:r>
      <w:r>
        <w:t xml:space="preserve"> </w:t>
      </w:r>
      <w:r>
        <w:t xml:space="preserve">appropriate evaluative standards.</w:t>
      </w:r>
    </w:p>
    <w:p>
      <w:pPr>
        <w:pStyle w:val="Abstract"/>
      </w:pPr>
      <w:r>
        <w:t xml:space="preserve">Applied to industrial process heat decarbonisation in Southland,</w:t>
      </w:r>
      <w:r>
        <w:t xml:space="preserve"> </w:t>
      </w:r>
      <w:r>
        <w:t xml:space="preserve">New Zealand, the framework reveals a material difference between</w:t>
      </w:r>
      <w:r>
        <w:t xml:space="preserve"> </w:t>
      </w:r>
      <w:r>
        <w:t xml:space="preserve">site-boundary and decision-boundary analysis. From within the</w:t>
      </w:r>
      <w:r>
        <w:t xml:space="preserve"> </w:t>
      </w:r>
      <w:r>
        <w:t xml:space="preserve">facility boundary, a biomass switching pathway (BB) has a</w:t>
      </w:r>
      <w:r>
        <w:t xml:space="preserve"> </w:t>
      </w:r>
      <w:r>
        <w:t xml:space="preserve">NZD 14.2M/year private cost advantage over full electrification</w:t>
      </w:r>
      <w:r>
        <w:t xml:space="preserve"> </w:t>
      </w:r>
      <w:r>
        <w:t xml:space="preserve">(EB), with no visible infrastructure consequence. When regional</w:t>
      </w:r>
      <w:r>
        <w:t xml:space="preserve"> </w:t>
      </w:r>
      <w:r>
        <w:t xml:space="preserve">grid infrastructure costs are included within the decision</w:t>
      </w:r>
      <w:r>
        <w:t xml:space="preserve"> </w:t>
      </w:r>
      <w:r>
        <w:t xml:space="preserve">boundary, BB is preferred in 93 of 100 plausible futures —</w:t>
      </w:r>
      <w:r>
        <w:t xml:space="preserve"> </w:t>
      </w:r>
      <w:r>
        <w:t xml:space="preserve">while EB exposes the decision to a major grid reinforcement</w:t>
      </w:r>
      <w:r>
        <w:t xml:space="preserve"> </w:t>
      </w:r>
      <w:r>
        <w:t xml:space="preserve">class in 49 of those futures, a consequence invisible to</w:t>
      </w:r>
      <w:r>
        <w:t xml:space="preserve"> </w:t>
      </w:r>
      <w:r>
        <w:t xml:space="preserve">conventional site-boundary analysis. The framework architecture</w:t>
      </w:r>
      <w:r>
        <w:t xml:space="preserve"> </w:t>
      </w:r>
      <w:r>
        <w:t xml:space="preserve">is domain-general. The platform and proof-of-concept data are</w:t>
      </w:r>
      <w:r>
        <w:t xml:space="preserve"> </w:t>
      </w:r>
      <w:r>
        <w:t xml:space="preserve">openly available at https://ahmad-mahmoudi-coder.github.io/DCM/.</w:t>
      </w:r>
    </w:p>
    <w:bookmarkStart w:id="9" w:name="introduction"/>
    <w:p>
      <w:pPr>
        <w:pStyle w:val="Heading2"/>
      </w:pPr>
      <w:r>
        <w:t xml:space="preserve">1. Introduction</w:t>
      </w:r>
    </w:p>
    <w:p>
      <w:pPr>
        <w:pStyle w:val="FirstParagraph"/>
      </w:pPr>
      <w:r>
        <w:t xml:space="preserve">Long-horizon infrastructure decisions share a structural</w:t>
      </w:r>
      <w:r>
        <w:t xml:space="preserve"> </w:t>
      </w:r>
      <w:r>
        <w:t xml:space="preserve">feature that is underappreciated in the modelling literature:</w:t>
      </w:r>
      <w:r>
        <w:t xml:space="preserve"> </w:t>
      </w:r>
      <w:r>
        <w:t xml:space="preserve">the consequences that determine whether a decision was</w:t>
      </w:r>
      <w:r>
        <w:t xml:space="preserve"> </w:t>
      </w:r>
      <w:r>
        <w:t xml:space="preserve">well-made often extend beyond the physical boundary of</w:t>
      </w:r>
      <w:r>
        <w:t xml:space="preserve"> </w:t>
      </w:r>
      <w:r>
        <w:t xml:space="preserve">any single system. A factory that commits to electrifying</w:t>
      </w:r>
      <w:r>
        <w:t xml:space="preserve"> </w:t>
      </w:r>
      <w:r>
        <w:t xml:space="preserve">its process heat creates load that propagates through the</w:t>
      </w:r>
      <w:r>
        <w:t xml:space="preserve"> </w:t>
      </w:r>
      <w:r>
        <w:t xml:space="preserve">regional electricity network. A region that pursues</w:t>
      </w:r>
      <w:r>
        <w:t xml:space="preserve"> </w:t>
      </w:r>
      <w:r>
        <w:t xml:space="preserve">industrial electrification generates infrastructure demand</w:t>
      </w:r>
      <w:r>
        <w:t xml:space="preserve"> </w:t>
      </w:r>
      <w:r>
        <w:t xml:space="preserve">that affects grid upgrade timelines and tariff structures</w:t>
      </w:r>
      <w:r>
        <w:t xml:space="preserve"> </w:t>
      </w:r>
      <w:r>
        <w:t xml:space="preserve">for all connected users. These consequences are not</w:t>
      </w:r>
      <w:r>
        <w:t xml:space="preserve"> </w:t>
      </w:r>
      <w:r>
        <w:t xml:space="preserve">incidental — they are frequently decisive. Yet they fall</w:t>
      </w:r>
      <w:r>
        <w:t xml:space="preserve"> </w:t>
      </w:r>
      <w:r>
        <w:t xml:space="preserve">outside the scope of the analytical models most commonly</w:t>
      </w:r>
      <w:r>
        <w:t xml:space="preserve"> </w:t>
      </w:r>
      <w:r>
        <w:t xml:space="preserve">used to support these decisions.</w:t>
      </w:r>
    </w:p>
    <w:p>
      <w:pPr>
        <w:pStyle w:val="BodyText"/>
      </w:pPr>
      <w:r>
        <w:t xml:space="preserve">The problem is not computational capacity. Modern energy</w:t>
      </w:r>
      <w:r>
        <w:t xml:space="preserve"> </w:t>
      </w:r>
      <w:r>
        <w:t xml:space="preserve">system models — TIMES, PyPSA, MESSAGE, Calliope — can</w:t>
      </w:r>
      <w:r>
        <w:t xml:space="preserve"> </w:t>
      </w:r>
      <w:r>
        <w:t xml:space="preserve">represent extraordinary technical complexity. The issue</w:t>
      </w:r>
      <w:r>
        <w:t xml:space="preserve"> </w:t>
      </w:r>
      <w:r>
        <w:t xml:space="preserve">is boundary placement. When an analytical model draws its</w:t>
      </w:r>
      <w:r>
        <w:t xml:space="preserve"> </w:t>
      </w:r>
      <w:r>
        <w:t xml:space="preserve">boundary around the physical system being optimised, it</w:t>
      </w:r>
      <w:r>
        <w:t xml:space="preserve"> </w:t>
      </w:r>
      <w:r>
        <w:t xml:space="preserve">cannot represent consequences that cross that boundary,</w:t>
      </w:r>
      <w:r>
        <w:t xml:space="preserve"> </w:t>
      </w:r>
      <w:r>
        <w:t xml:space="preserve">however material those consequences may be. This is not</w:t>
      </w:r>
      <w:r>
        <w:t xml:space="preserve"> </w:t>
      </w:r>
      <w:r>
        <w:t xml:space="preserve">a failure of the models — they were not designed to</w:t>
      </w:r>
      <w:r>
        <w:t xml:space="preserve"> </w:t>
      </w:r>
      <w:r>
        <w:t xml:space="preserve">represent these consequences — but it creates a systematic</w:t>
      </w:r>
      <w:r>
        <w:t xml:space="preserve"> </w:t>
      </w:r>
      <w:r>
        <w:t xml:space="preserve">gap between what the model can see and what the decision</w:t>
      </w:r>
      <w:r>
        <w:t xml:space="preserve"> </w:t>
      </w:r>
      <w:r>
        <w:t xml:space="preserve">actually requires.</w:t>
      </w:r>
    </w:p>
    <w:p>
      <w:pPr>
        <w:pStyle w:val="BodyText"/>
      </w:pPr>
      <w:r>
        <w:t xml:space="preserve">This paper introduces the Decision-Centred Modelling (DCM)</w:t>
      </w:r>
      <w:r>
        <w:t xml:space="preserve"> </w:t>
      </w:r>
      <w:r>
        <w:t xml:space="preserve">framework, which addresses this gap by repositioning the</w:t>
      </w:r>
      <w:r>
        <w:t xml:space="preserve"> </w:t>
      </w:r>
      <w:r>
        <w:t xml:space="preserve">analytical boundary: rather than drawing it around the</w:t>
      </w:r>
      <w:r>
        <w:t xml:space="preserve"> </w:t>
      </w:r>
      <w:r>
        <w:t xml:space="preserve">physical system, the framework draws it around the</w:t>
      </w:r>
      <w:r>
        <w:t xml:space="preserve"> </w:t>
      </w:r>
      <w:r>
        <w:t xml:space="preserve">decision and its decision-relevant consequences. Where a</w:t>
      </w:r>
      <w:r>
        <w:t xml:space="preserve"> </w:t>
      </w:r>
      <w:r>
        <w:t xml:space="preserve">system-centred model asks</w:t>
      </w:r>
      <w:r>
        <w:t xml:space="preserve"> </w:t>
      </w:r>
      <w:r>
        <w:t xml:space="preserve">“what is the least-cost technology</w:t>
      </w:r>
      <w:r>
        <w:t xml:space="preserve"> </w:t>
      </w:r>
      <w:r>
        <w:t xml:space="preserve">for this facility?”</w:t>
      </w:r>
      <w:r>
        <w:t xml:space="preserve">, a decision-centred model asks</w:t>
      </w:r>
      <w:r>
        <w:t xml:space="preserve"> </w:t>
      </w:r>
      <w:r>
        <w:t xml:space="preserve">“how</w:t>
      </w:r>
      <w:r>
        <w:t xml:space="preserve"> </w:t>
      </w:r>
      <w:r>
        <w:t xml:space="preserve">does this technology choice perform, across the full range</w:t>
      </w:r>
      <w:r>
        <w:t xml:space="preserve"> </w:t>
      </w:r>
      <w:r>
        <w:t xml:space="preserve">of consequences and futures, relative to available</w:t>
      </w:r>
      <w:r>
        <w:t xml:space="preserve"> </w:t>
      </w:r>
      <w:r>
        <w:t xml:space="preserve">alternatives?”</w:t>
      </w:r>
      <w:r>
        <w:t xml:space="preserve"> </w:t>
      </w:r>
      <w:r>
        <w:t xml:space="preserve">These are different questions with</w:t>
      </w:r>
      <w:r>
        <w:t xml:space="preserve"> </w:t>
      </w:r>
      <w:r>
        <w:t xml:space="preserve">structurally different analytical requirements.</w:t>
      </w:r>
    </w:p>
    <w:p>
      <w:pPr>
        <w:pStyle w:val="BodyText"/>
      </w:pPr>
      <w:r>
        <w:t xml:space="preserve">The framework makes three claims. First, an architectural</w:t>
      </w:r>
      <w:r>
        <w:t xml:space="preserve"> </w:t>
      </w:r>
      <w:r>
        <w:t xml:space="preserve">claim: a governed, modular analytical environment organised</w:t>
      </w:r>
      <w:r>
        <w:t xml:space="preserve"> </w:t>
      </w:r>
      <w:r>
        <w:t xml:space="preserve">around the decision problem and coupled through thin-waist</w:t>
      </w:r>
      <w:r>
        <w:t xml:space="preserve"> </w:t>
      </w:r>
      <w:r>
        <w:t xml:space="preserve">artefact exchange is technically feasible and analytically</w:t>
      </w:r>
      <w:r>
        <w:t xml:space="preserve"> </w:t>
      </w:r>
      <w:r>
        <w:t xml:space="preserve">better suited to multi-scale infrastructure decisions under</w:t>
      </w:r>
      <w:r>
        <w:t xml:space="preserve"> </w:t>
      </w:r>
      <w:r>
        <w:t xml:space="preserve">deep uncertainty than monolithic system-centred models.</w:t>
      </w:r>
      <w:r>
        <w:t xml:space="preserve"> </w:t>
      </w:r>
      <w:r>
        <w:t xml:space="preserve">Second, a methodological claim: under conditions where</w:t>
      </w:r>
      <w:r>
        <w:t xml:space="preserve"> </w:t>
      </w:r>
      <w:r>
        <w:t xml:space="preserve">probability distributions over futures cannot be defended,</w:t>
      </w:r>
      <w:r>
        <w:t xml:space="preserve"> </w:t>
      </w:r>
      <w:r>
        <w:t xml:space="preserve">regret, robustness, and satisficing are more appropriate</w:t>
      </w:r>
      <w:r>
        <w:t xml:space="preserve"> </w:t>
      </w:r>
      <w:r>
        <w:t xml:space="preserve">evaluative standards than expected value optimisation.</w:t>
      </w:r>
      <w:r>
        <w:t xml:space="preserve"> </w:t>
      </w:r>
      <w:r>
        <w:t xml:space="preserve">Third, an empirical claim: when the Edendale industrial</w:t>
      </w:r>
      <w:r>
        <w:t xml:space="preserve"> </w:t>
      </w:r>
      <w:r>
        <w:t xml:space="preserve">electrification decision is evaluated within the DCM</w:t>
      </w:r>
      <w:r>
        <w:t xml:space="preserve"> </w:t>
      </w:r>
      <w:r>
        <w:t xml:space="preserve">framework — including regional grid infrastructure</w:t>
      </w:r>
      <w:r>
        <w:t xml:space="preserve"> </w:t>
      </w:r>
      <w:r>
        <w:t xml:space="preserve">consequences within the decision boundary — the comparison</w:t>
      </w:r>
      <w:r>
        <w:t xml:space="preserve"> </w:t>
      </w:r>
      <w:r>
        <w:t xml:space="preserve">between pathways changes materially relative to a</w:t>
      </w:r>
      <w:r>
        <w:t xml:space="preserve"> </w:t>
      </w:r>
      <w:r>
        <w:t xml:space="preserve">conventional site-only analysis, in 93 of 100 plausible</w:t>
      </w:r>
      <w:r>
        <w:t xml:space="preserve"> </w:t>
      </w:r>
      <w:r>
        <w:t xml:space="preserve">futures.</w:t>
      </w:r>
    </w:p>
    <w:p>
      <w:pPr>
        <w:pStyle w:val="BodyText"/>
      </w:pPr>
      <w:r>
        <w:t xml:space="preserve">Section 2 reviews the adjacent traditions against which</w:t>
      </w:r>
      <w:r>
        <w:t xml:space="preserve"> </w:t>
      </w:r>
      <w:r>
        <w:t xml:space="preserve">the framework is positioned. Section 3 specifies the</w:t>
      </w:r>
      <w:r>
        <w:t xml:space="preserve"> </w:t>
      </w:r>
      <w:r>
        <w:t xml:space="preserve">framework design. Section 4 describes the uncertainty</w:t>
      </w:r>
      <w:r>
        <w:t xml:space="preserve"> </w:t>
      </w:r>
      <w:r>
        <w:t xml:space="preserve">architecture. Section 5 presents the Southland proof of</w:t>
      </w:r>
      <w:r>
        <w:t xml:space="preserve"> </w:t>
      </w:r>
      <w:r>
        <w:t xml:space="preserve">concept. Section 6 discusses implications, limitations,</w:t>
      </w:r>
      <w:r>
        <w:t xml:space="preserve"> </w:t>
      </w:r>
      <w:r>
        <w:t xml:space="preserve">and generalisability. Section 7 concludes.</w:t>
      </w:r>
    </w:p>
    <w:p>
      <w:r>
        <w:pict>
          <v:rect style="width:0;height:1.5pt" o:hralign="center" o:hrstd="t" o:hr="t"/>
        </w:pict>
      </w:r>
    </w:p>
    <w:bookmarkEnd w:id="9"/>
    <w:bookmarkStart w:id="14" w:name="background-and-related-work"/>
    <w:p>
      <w:pPr>
        <w:pStyle w:val="Heading2"/>
      </w:pPr>
      <w:r>
        <w:t xml:space="preserve">2. Background and Related Work</w:t>
      </w:r>
    </w:p>
    <w:bookmarkStart w:id="10" w:name="energy-system-modelling"/>
    <w:p>
      <w:pPr>
        <w:pStyle w:val="Heading3"/>
      </w:pPr>
      <w:r>
        <w:t xml:space="preserve">2.1 Energy System Modelling</w:t>
      </w:r>
    </w:p>
    <w:p>
      <w:pPr>
        <w:pStyle w:val="FirstParagraph"/>
      </w:pPr>
      <w:r>
        <w:t xml:space="preserve">The energy system modelling literature offers a mature</w:t>
      </w:r>
      <w:r>
        <w:t xml:space="preserve"> </w:t>
      </w:r>
      <w:r>
        <w:t xml:space="preserve">set of tools for evaluating technology transitions and</w:t>
      </w:r>
      <w:r>
        <w:t xml:space="preserve"> </w:t>
      </w:r>
      <w:r>
        <w:t xml:space="preserve">policy pathways. TIMES and its national implementations</w:t>
      </w:r>
      <w:r>
        <w:t xml:space="preserve"> </w:t>
      </w:r>
      <w:r>
        <w:t xml:space="preserve">use linear programming to identify least-cost national</w:t>
      </w:r>
      <w:r>
        <w:t xml:space="preserve"> </w:t>
      </w:r>
      <w:r>
        <w:t xml:space="preserve">energy system configurations over multi-decade horizons</w:t>
      </w:r>
      <w:r>
        <w:t xml:space="preserve"> </w:t>
      </w:r>
      <w:r>
        <w:t xml:space="preserve">(Herbst et al. 2012)</w:t>
      </w:r>
      <w:r>
        <w:t xml:space="preserve">. PyPSA provides open-source</w:t>
      </w:r>
      <w:r>
        <w:t xml:space="preserve"> </w:t>
      </w:r>
      <w:r>
        <w:t xml:space="preserve">network optimisation for electricity systems</w:t>
      </w:r>
      <w:r>
        <w:t xml:space="preserve"> </w:t>
      </w:r>
      <w:r>
        <w:t xml:space="preserve">(Pfenninger et al. 2018)</w:t>
      </w:r>
      <w:r>
        <w:t xml:space="preserve">. Calliope and similar</w:t>
      </w:r>
      <w:r>
        <w:t xml:space="preserve"> </w:t>
      </w:r>
      <w:r>
        <w:t xml:space="preserve">capacity expansion models enable multi-sector analysis</w:t>
      </w:r>
      <w:r>
        <w:t xml:space="preserve"> </w:t>
      </w:r>
      <w:r>
        <w:t xml:space="preserve">with explicit spatial and temporal resolution.</w:t>
      </w:r>
    </w:p>
    <w:p>
      <w:pPr>
        <w:pStyle w:val="BodyText"/>
      </w:pPr>
      <w:r>
        <w:t xml:space="preserve">These tools are valuable for the purposes they were</w:t>
      </w:r>
      <w:r>
        <w:t xml:space="preserve"> </w:t>
      </w:r>
      <w:r>
        <w:t xml:space="preserve">designed to serve. Two characteristics become limiting</w:t>
      </w:r>
      <w:r>
        <w:t xml:space="preserve"> </w:t>
      </w:r>
      <w:r>
        <w:t xml:space="preserve">specifically for site-to-regional industrial</w:t>
      </w:r>
      <w:r>
        <w:t xml:space="preserve"> </w:t>
      </w:r>
      <w:r>
        <w:t xml:space="preserve">decarbonisation decisions. First, they draw their</w:t>
      </w:r>
      <w:r>
        <w:t xml:space="preserve"> </w:t>
      </w:r>
      <w:r>
        <w:t xml:space="preserve">analytical boundary around the physical system being</w:t>
      </w:r>
      <w:r>
        <w:t xml:space="preserve"> </w:t>
      </w:r>
      <w:r>
        <w:t xml:space="preserve">optimised. Consequences that cross that boundary —</w:t>
      </w:r>
      <w:r>
        <w:t xml:space="preserve"> </w:t>
      </w:r>
      <w:r>
        <w:t xml:space="preserve">GXP-level hosting capacity constraints, infrastructure-</w:t>
      </w:r>
      <w:r>
        <w:t xml:space="preserve"> </w:t>
      </w:r>
      <w:r>
        <w:t xml:space="preserve">conditional cost propagation from site to network — are</w:t>
      </w:r>
      <w:r>
        <w:t xml:space="preserve"> </w:t>
      </w:r>
      <w:r>
        <w:t xml:space="preserve">not represented because they are outside the model’s</w:t>
      </w:r>
      <w:r>
        <w:t xml:space="preserve"> </w:t>
      </w:r>
      <w:r>
        <w:t xml:space="preserve">declared scope. Second, they handle uncertainty through</w:t>
      </w:r>
      <w:r>
        <w:t xml:space="preserve"> </w:t>
      </w:r>
      <w:r>
        <w:t xml:space="preserve">scenario comparison. TIMES-NZ 3.0, New Zealand’s primary</w:t>
      </w:r>
      <w:r>
        <w:t xml:space="preserve"> </w:t>
      </w:r>
      <w:r>
        <w:t xml:space="preserve">national energy model, evaluates two structural scenarios</w:t>
      </w:r>
      <w:r>
        <w:t xml:space="preserve"> </w:t>
      </w:r>
      <w:r>
        <w:t xml:space="preserve">(Steady and Shift) that span four critical uncertainties</w:t>
      </w:r>
      <w:r>
        <w:t xml:space="preserve"> </w:t>
      </w:r>
      <w:r>
        <w:t xml:space="preserve">(Energy Efficiency and Conservation Authority 2024b)</w:t>
      </w:r>
      <w:r>
        <w:t xml:space="preserve">. Two scenarios provide valuable</w:t>
      </w:r>
      <w:r>
        <w:t xml:space="preserve"> </w:t>
      </w:r>
      <w:r>
        <w:t xml:space="preserve">macroeconomic framing but cannot span the multi-</w:t>
      </w:r>
      <w:r>
        <w:t xml:space="preserve"> </w:t>
      </w:r>
      <w:r>
        <w:t xml:space="preserve">dimensional uncertainty space that a twenty-year</w:t>
      </w:r>
      <w:r>
        <w:t xml:space="preserve"> </w:t>
      </w:r>
      <w:r>
        <w:t xml:space="preserve">industrial infrastructure commitment faces across</w:t>
      </w:r>
      <w:r>
        <w:t xml:space="preserve"> </w:t>
      </w:r>
      <w:r>
        <w:t xml:space="preserve">multiple independently varying drivers.</w:t>
      </w:r>
    </w:p>
    <w:p>
      <w:pPr>
        <w:pStyle w:val="BodyText"/>
      </w:pPr>
      <w:r>
        <w:t xml:space="preserve">These are not critiques of the models for their stated</w:t>
      </w:r>
      <w:r>
        <w:t xml:space="preserve"> </w:t>
      </w:r>
      <w:r>
        <w:t xml:space="preserve">purposes. They are observations about the specific</w:t>
      </w:r>
      <w:r>
        <w:t xml:space="preserve"> </w:t>
      </w:r>
      <w:r>
        <w:t xml:space="preserve">analytical gap that arises when site-to-regional</w:t>
      </w:r>
      <w:r>
        <w:t xml:space="preserve"> </w:t>
      </w:r>
      <w:r>
        <w:t xml:space="preserve">multi-scale decisions require more than national-scale</w:t>
      </w:r>
      <w:r>
        <w:t xml:space="preserve"> </w:t>
      </w:r>
      <w:r>
        <w:t xml:space="preserve">scenario analysis can provide.</w:t>
      </w:r>
    </w:p>
    <w:bookmarkEnd w:id="10"/>
    <w:bookmarkStart w:id="11" w:name="decision-making-under-deep-uncertainty"/>
    <w:p>
      <w:pPr>
        <w:pStyle w:val="Heading3"/>
      </w:pPr>
      <w:r>
        <w:t xml:space="preserve">2.2 Decision Making Under Deep Uncertainty</w:t>
      </w:r>
    </w:p>
    <w:p>
      <w:pPr>
        <w:pStyle w:val="FirstParagraph"/>
      </w:pPr>
      <w:r>
        <w:t xml:space="preserve">DMDU methods emerged because conventional scenario</w:t>
      </w:r>
      <w:r>
        <w:t xml:space="preserve"> </w:t>
      </w:r>
      <w:r>
        <w:t xml:space="preserve">analysis was producing inadequate guidance for long-horizon</w:t>
      </w:r>
      <w:r>
        <w:t xml:space="preserve"> </w:t>
      </w:r>
      <w:r>
        <w:t xml:space="preserve">planning problems</w:t>
      </w:r>
      <w:r>
        <w:t xml:space="preserve"> </w:t>
      </w:r>
      <w:r>
        <w:t xml:space="preserve">(Marchau et al. 2019)</w:t>
      </w:r>
      <w:r>
        <w:t xml:space="preserve">.</w:t>
      </w:r>
      <w:r>
        <w:t xml:space="preserve"> </w:t>
      </w:r>
      <w:r>
        <w:t xml:space="preserve">Knight’s distinction between risk — where probabilities</w:t>
      </w:r>
      <w:r>
        <w:t xml:space="preserve"> </w:t>
      </w:r>
      <w:r>
        <w:t xml:space="preserve">are knowable — and uncertainty — where they are not</w:t>
      </w:r>
      <w:r>
        <w:t xml:space="preserve"> </w:t>
      </w:r>
      <w:r>
        <w:t xml:space="preserve">(Knight 1921)</w:t>
      </w:r>
      <w:r>
        <w:t xml:space="preserve"> </w:t>
      </w:r>
      <w:r>
        <w:t xml:space="preserve">— identifies the structural condition.</w:t>
      </w:r>
      <w:r>
        <w:t xml:space="preserve"> </w:t>
      </w:r>
      <w:r>
        <w:t xml:space="preserve">Under deep uncertainty, Simon’s satisficing</w:t>
      </w:r>
      <w:r>
        <w:t xml:space="preserve"> </w:t>
      </w:r>
      <w:r>
        <w:t xml:space="preserve">(Simon 1955)</w:t>
      </w:r>
      <w:r>
        <w:t xml:space="preserve"> </w:t>
      </w:r>
      <w:r>
        <w:t xml:space="preserve">is the appropriate standard: find</w:t>
      </w:r>
      <w:r>
        <w:t xml:space="preserve"> </w:t>
      </w:r>
      <w:r>
        <w:t xml:space="preserve">alternatives that perform acceptably across many futures</w:t>
      </w:r>
      <w:r>
        <w:t xml:space="preserve"> </w:t>
      </w:r>
      <w:r>
        <w:t xml:space="preserve">rather than optimising under one assumed future.</w:t>
      </w:r>
    </w:p>
    <w:p>
      <w:pPr>
        <w:pStyle w:val="BodyText"/>
      </w:pPr>
      <w:r>
        <w:t xml:space="preserve">Robust Decision Making</w:t>
      </w:r>
      <w:r>
        <w:t xml:space="preserve"> </w:t>
      </w:r>
      <w:r>
        <w:t xml:space="preserve">(Lempert et al. 2003)</w:t>
      </w:r>
      <w:r>
        <w:t xml:space="preserve"> </w:t>
      </w:r>
      <w:r>
        <w:t xml:space="preserve">operationalises</w:t>
      </w:r>
      <w:r>
        <w:t xml:space="preserve"> </w:t>
      </w:r>
      <w:r>
        <w:t xml:space="preserve">this through ensemble evaluation: alternatives are assessed</w:t>
      </w:r>
      <w:r>
        <w:t xml:space="preserve"> </w:t>
      </w:r>
      <w:r>
        <w:t xml:space="preserve">across large sets of plausible futures using regret and</w:t>
      </w:r>
      <w:r>
        <w:t xml:space="preserve"> </w:t>
      </w:r>
      <w:r>
        <w:t xml:space="preserve">robustness rather than expected value. Dynamic Adaptive</w:t>
      </w:r>
      <w:r>
        <w:t xml:space="preserve"> </w:t>
      </w:r>
      <w:r>
        <w:t xml:space="preserve">Policy Pathways</w:t>
      </w:r>
      <w:r>
        <w:t xml:space="preserve"> </w:t>
      </w:r>
      <w:r>
        <w:t xml:space="preserve">(Haasnoot et al. 2013)</w:t>
      </w:r>
      <w:r>
        <w:t xml:space="preserve"> </w:t>
      </w:r>
      <w:r>
        <w:t xml:space="preserve">designs decision</w:t>
      </w:r>
      <w:r>
        <w:t xml:space="preserve"> </w:t>
      </w:r>
      <w:r>
        <w:t xml:space="preserve">sequences that can be revised as conditions evolve.</w:t>
      </w:r>
      <w:r>
        <w:t xml:space="preserve"> </w:t>
      </w:r>
      <w:r>
        <w:t xml:space="preserve">Exploratory Modelling and Analysis</w:t>
      </w:r>
      <w:r>
        <w:t xml:space="preserve"> </w:t>
      </w:r>
      <w:r>
        <w:t xml:space="preserve">(Kwakkel et al. 2016)</w:t>
      </w:r>
      <w:r>
        <w:t xml:space="preserve"> </w:t>
      </w:r>
      <w:r>
        <w:t xml:space="preserve">provides the computational infrastructure for large-scale</w:t>
      </w:r>
      <w:r>
        <w:t xml:space="preserve"> </w:t>
      </w:r>
      <w:r>
        <w:t xml:space="preserve">ensemble evaluation.</w:t>
      </w:r>
    </w:p>
    <w:p>
      <w:pPr>
        <w:pStyle w:val="BodyText"/>
      </w:pPr>
      <w:r>
        <w:t xml:space="preserve">The DMDU tradition provides the evaluative standards the</w:t>
      </w:r>
      <w:r>
        <w:t xml:space="preserve"> </w:t>
      </w:r>
      <w:r>
        <w:t xml:space="preserve">DCM framework adopts. Its primary limitation for the</w:t>
      </w:r>
      <w:r>
        <w:t xml:space="preserve"> </w:t>
      </w:r>
      <w:r>
        <w:t xml:space="preserve">present purpose is the absence of a modular architectural</w:t>
      </w:r>
      <w:r>
        <w:t xml:space="preserve"> </w:t>
      </w:r>
      <w:r>
        <w:t xml:space="preserve">specification that makes these standards tractable at</w:t>
      </w:r>
      <w:r>
        <w:t xml:space="preserve"> </w:t>
      </w:r>
      <w:r>
        <w:t xml:space="preserve">multi-scale resolution for industrial infrastructure</w:t>
      </w:r>
      <w:r>
        <w:t xml:space="preserve"> </w:t>
      </w:r>
      <w:r>
        <w:t xml:space="preserve">decisions. The DCM framework addresses this gap.</w:t>
      </w:r>
    </w:p>
    <w:bookmarkEnd w:id="11"/>
    <w:bookmarkStart w:id="12" w:name="sequential-decision-analytics"/>
    <w:p>
      <w:pPr>
        <w:pStyle w:val="Heading3"/>
      </w:pPr>
      <w:r>
        <w:t xml:space="preserve">2.3 Sequential Decision Analytics</w:t>
      </w:r>
    </w:p>
    <w:p>
      <w:pPr>
        <w:pStyle w:val="FirstParagraph"/>
      </w:pPr>
      <w:r>
        <w:t xml:space="preserve">Powell’s unified framework for sequential decision</w:t>
      </w:r>
      <w:r>
        <w:t xml:space="preserve"> </w:t>
      </w:r>
      <w:r>
        <w:t xml:space="preserve">analytics</w:t>
      </w:r>
      <w:r>
        <w:t xml:space="preserve"> </w:t>
      </w:r>
      <w:r>
        <w:t xml:space="preserve">(Powell 2022)</w:t>
      </w:r>
      <w:r>
        <w:t xml:space="preserve"> </w:t>
      </w:r>
      <w:r>
        <w:t xml:space="preserve">classifies any decision</w:t>
      </w:r>
      <w:r>
        <w:t xml:space="preserve"> </w:t>
      </w:r>
      <w:r>
        <w:t xml:space="preserve">method into four policy classes: policy function</w:t>
      </w:r>
      <w:r>
        <w:t xml:space="preserve"> </w:t>
      </w:r>
      <w:r>
        <w:t xml:space="preserve">approximations (PFAs), cost function approximations</w:t>
      </w:r>
      <w:r>
        <w:t xml:space="preserve"> </w:t>
      </w:r>
      <w:r>
        <w:t xml:space="preserve">(CFAs), value function approximations (VFAs), and direct</w:t>
      </w:r>
      <w:r>
        <w:t xml:space="preserve"> </w:t>
      </w:r>
      <w:r>
        <w:t xml:space="preserve">lookahead approximations (DLAs). His formulation searches</w:t>
      </w:r>
      <w:r>
        <w:t xml:space="preserve"> </w:t>
      </w:r>
      <w:r>
        <w:t xml:space="preserve">over both the function class</w:t>
      </w:r>
      <w:r>
        <w:t xml:space="preserve"> </w:t>
      </w:r>
      <m:oMath>
        <m:r>
          <m:t>f</m:t>
        </m:r>
        <m:r>
          <m:rPr>
            <m:sty m:val="p"/>
          </m:rPr>
          <m:t>∈</m:t>
        </m:r>
        <m:r>
          <m:t>F</m:t>
        </m:r>
      </m:oMath>
      <w:r>
        <w:t xml:space="preserve"> </w:t>
      </w:r>
      <w:r>
        <w:t xml:space="preserve">and parameters</w:t>
      </w:r>
      <w:r>
        <w:t xml:space="preserve"> </w:t>
      </w:r>
      <m:oMath>
        <m:r>
          <m:t>θ</m:t>
        </m:r>
        <m:r>
          <m:rPr>
            <m:sty m:val="p"/>
          </m:rPr>
          <m:t>∈</m:t>
        </m:r>
        <m:r>
          <m:rPr>
            <m:sty m:val="p"/>
          </m:rPr>
          <m:t>Θ</m:t>
        </m:r>
      </m:oMath>
      <w:r>
        <w:t xml:space="preserve"> </w:t>
      </w:r>
      <w:r>
        <w:t xml:space="preserve">to maximise expected cumulative</w:t>
      </w:r>
      <w:r>
        <w:t xml:space="preserve"> </w:t>
      </w:r>
      <w:r>
        <w:t xml:space="preserve">contribution. The DCM framework uses a CFA — proportional</w:t>
      </w:r>
      <w:r>
        <w:t xml:space="preserve"> </w:t>
      </w:r>
      <w:r>
        <w:t xml:space="preserve">dispatch — for computationally tractable ensemble</w:t>
      </w:r>
      <w:r>
        <w:t xml:space="preserve"> </w:t>
      </w:r>
      <w:r>
        <w:t xml:space="preserve">evaluation across 100 futures.</w:t>
      </w:r>
    </w:p>
    <w:p>
      <w:pPr>
        <w:pStyle w:val="BodyText"/>
      </w:pPr>
      <w:r>
        <w:t xml:space="preserve">The critical extension the DCM framework makes is</w:t>
      </w:r>
      <w:r>
        <w:t xml:space="preserve"> </w:t>
      </w:r>
      <w:r>
        <w:t xml:space="preserve">applicable when the expectation operator in Powell’s</w:t>
      </w:r>
      <w:r>
        <w:t xml:space="preserve"> </w:t>
      </w:r>
      <w:r>
        <w:t xml:space="preserve">formulation cannot be applied: when probability</w:t>
      </w:r>
      <w:r>
        <w:t xml:space="preserve"> </w:t>
      </w:r>
      <w:r>
        <w:t xml:space="preserve">distributions over futures are not available or</w:t>
      </w:r>
      <w:r>
        <w:t xml:space="preserve"> </w:t>
      </w:r>
      <w:r>
        <w:t xml:space="preserve">defensible. In that condition, regret and satisficing</w:t>
      </w:r>
      <w:r>
        <w:t xml:space="preserve"> </w:t>
      </w:r>
      <w:r>
        <w:t xml:space="preserve">replace</w:t>
      </w:r>
      <w:r>
        <w:t xml:space="preserve"> </w:t>
      </w:r>
      <m:oMath>
        <m:r>
          <m:rPr>
            <m:scr m:val="double-struck"/>
            <m:sty m:val="p"/>
          </m:rPr>
          <m:t>E</m:t>
        </m:r>
        <m:r>
          <m:rPr>
            <m:sty m:val="p"/>
          </m:rPr>
          <m:t>[</m:t>
        </m:r>
        <m:r>
          <m:rPr>
            <m:sty m:val="p"/>
          </m:rPr>
          <m:t>⋅</m:t>
        </m:r>
        <m:r>
          <m:rPr>
            <m:sty m:val="p"/>
          </m:rPr>
          <m:t>]</m:t>
        </m:r>
      </m:oMath>
      <w:r>
        <w:t xml:space="preserve"> </w:t>
      </w:r>
      <w:r>
        <w:t xml:space="preserve">as the evaluative standard.</w:t>
      </w:r>
      <w:r>
        <w:t xml:space="preserve"> </w:t>
      </w:r>
      <w:r>
        <w:t xml:space="preserve">Powell’s policy class taxonomy remains applicable; the</w:t>
      </w:r>
      <w:r>
        <w:t xml:space="preserve"> </w:t>
      </w:r>
      <w:r>
        <w:t xml:space="preserve">evaluation metric changes.</w:t>
      </w:r>
    </w:p>
    <w:bookmarkEnd w:id="12"/>
    <w:bookmarkStart w:id="13" w:name="the-analytical-gap"/>
    <w:p>
      <w:pPr>
        <w:pStyle w:val="Heading3"/>
      </w:pPr>
      <w:r>
        <w:t xml:space="preserve">2.4 The Analytical Gap</w:t>
      </w:r>
    </w:p>
    <w:p>
      <w:pPr>
        <w:pStyle w:val="FirstParagraph"/>
      </w:pPr>
      <w:r>
        <w:t xml:space="preserve">The gap the DCM framework addresses arises at the</w:t>
      </w:r>
      <w:r>
        <w:t xml:space="preserve"> </w:t>
      </w:r>
      <w:r>
        <w:t xml:space="preserve">intersection of three conditions that existing approaches</w:t>
      </w:r>
      <w:r>
        <w:t xml:space="preserve"> </w:t>
      </w:r>
      <w:r>
        <w:t xml:space="preserve">do not jointly satisfy: multi-scale consequence</w:t>
      </w:r>
      <w:r>
        <w:t xml:space="preserve"> </w:t>
      </w:r>
      <w:r>
        <w:t xml:space="preserve">visibility spanning site, regional, and national levels;</w:t>
      </w:r>
      <w:r>
        <w:t xml:space="preserve"> </w:t>
      </w:r>
      <w:r>
        <w:t xml:space="preserve">ensemble-based deep uncertainty evaluation; and modular,</w:t>
      </w:r>
      <w:r>
        <w:t xml:space="preserve"> </w:t>
      </w:r>
      <w:r>
        <w:t xml:space="preserve">reproducible, auditable analytical architecture. A</w:t>
      </w:r>
      <w:r>
        <w:t xml:space="preserve"> </w:t>
      </w:r>
      <w:r>
        <w:t xml:space="preserve">systematic review of modelling tools for industrial</w:t>
      </w:r>
      <w:r>
        <w:t xml:space="preserve"> </w:t>
      </w:r>
      <w:r>
        <w:t xml:space="preserve">process heat decarbonisation found no existing tool met</w:t>
      </w:r>
      <w:r>
        <w:t xml:space="preserve"> </w:t>
      </w:r>
      <w:r>
        <w:t xml:space="preserve">all three conditions jointly</w:t>
      </w:r>
      <w:r>
        <w:t xml:space="preserve"> </w:t>
      </w:r>
      <w:r>
        <w:t xml:space="preserve">(Lahijani et al. 2025)</w:t>
      </w:r>
      <w:r>
        <w:t xml:space="preserve">.</w:t>
      </w:r>
      <w:r>
        <w:t xml:space="preserve"> </w:t>
      </w:r>
      <w:r>
        <w:t xml:space="preserve">The DCM framework was designed to fill this gap.</w:t>
      </w:r>
    </w:p>
    <w:p>
      <w:r>
        <w:pict>
          <v:rect style="width:0;height:1.5pt" o:hralign="center" o:hrstd="t" o:hr="t"/>
        </w:pict>
      </w:r>
    </w:p>
    <w:bookmarkEnd w:id="13"/>
    <w:bookmarkEnd w:id="14"/>
    <w:bookmarkStart w:id="19" w:name="framework-design"/>
    <w:p>
      <w:pPr>
        <w:pStyle w:val="Heading2"/>
      </w:pPr>
      <w:r>
        <w:t xml:space="preserve">3. Framework Design</w:t>
      </w:r>
    </w:p>
    <w:bookmarkStart w:id="15" w:name="the-decision-first-boundary-principle"/>
    <w:p>
      <w:pPr>
        <w:pStyle w:val="Heading3"/>
      </w:pPr>
      <w:r>
        <w:t xml:space="preserve">3.1 The Decision-First Boundary Principle</w:t>
      </w:r>
    </w:p>
    <w:p>
      <w:pPr>
        <w:pStyle w:val="FirstParagraph"/>
      </w:pPr>
      <w:r>
        <w:t xml:space="preserve">The foundational architectural commitment of the DCM</w:t>
      </w:r>
      <w:r>
        <w:t xml:space="preserve"> </w:t>
      </w:r>
      <w:r>
        <w:t xml:space="preserve">framework is that analytical boundaries are drawn by the</w:t>
      </w:r>
      <w:r>
        <w:t xml:space="preserve"> </w:t>
      </w:r>
      <w:r>
        <w:t xml:space="preserve">decision context — not by the physical extent of the</w:t>
      </w:r>
      <w:r>
        <w:t xml:space="preserve"> </w:t>
      </w:r>
      <w:r>
        <w:t xml:space="preserve">system being modelled. The decision-relevant boundary is</w:t>
      </w:r>
      <w:r>
        <w:t xml:space="preserve"> </w:t>
      </w:r>
      <w:r>
        <w:t xml:space="preserve">defined as the smallest analytical scope within which</w:t>
      </w:r>
      <w:r>
        <w:t xml:space="preserve"> </w:t>
      </w:r>
      <w:r>
        <w:t xml:space="preserve">all consequences material to the comparison of</w:t>
      </w:r>
      <w:r>
        <w:t xml:space="preserve"> </w:t>
      </w:r>
      <w:r>
        <w:t xml:space="preserve">alternatives are visible.</w:t>
      </w:r>
    </w:p>
    <w:p>
      <w:pPr>
        <w:pStyle w:val="BodyText"/>
      </w:pPr>
      <w:r>
        <w:t xml:space="preserve">This principle has a specific operational implication:</w:t>
      </w:r>
      <w:r>
        <w:t xml:space="preserve"> </w:t>
      </w:r>
      <w:r>
        <w:t xml:space="preserve">before any analytical module is designed, the decision</w:t>
      </w:r>
      <w:r>
        <w:t xml:space="preserve"> </w:t>
      </w:r>
      <w:r>
        <w:t xml:space="preserve">context must be declared. What decision is being</w:t>
      </w:r>
      <w:r>
        <w:t xml:space="preserve"> </w:t>
      </w:r>
      <w:r>
        <w:t xml:space="preserve">supported? What pathways are being compared? What</w:t>
      </w:r>
      <w:r>
        <w:t xml:space="preserve"> </w:t>
      </w:r>
      <w:r>
        <w:t xml:space="preserve">consequences are material to that comparison? What</w:t>
      </w:r>
      <w:r>
        <w:t xml:space="preserve"> </w:t>
      </w:r>
      <w:r>
        <w:t xml:space="preserve">scales do those consequences span? The answers define</w:t>
      </w:r>
      <w:r>
        <w:t xml:space="preserve"> </w:t>
      </w:r>
      <w:r>
        <w:t xml:space="preserve">the analytical scope. The physical system boundary is</w:t>
      </w:r>
      <w:r>
        <w:t xml:space="preserve"> </w:t>
      </w:r>
      <w:r>
        <w:t xml:space="preserve">then one layer within that scope, not the boundary of</w:t>
      </w:r>
      <w:r>
        <w:t xml:space="preserve"> </w:t>
      </w:r>
      <w:r>
        <w:t xml:space="preserve">the analysis.</w:t>
      </w:r>
    </w:p>
    <w:p>
      <w:pPr>
        <w:pStyle w:val="BodyText"/>
      </w:pPr>
      <w:r>
        <w:t xml:space="preserve">For the industrial electrification decision in §5, the</w:t>
      </w:r>
      <w:r>
        <w:t xml:space="preserve"> </w:t>
      </w:r>
      <w:r>
        <w:t xml:space="preserve">material consequences include site operating costs,</w:t>
      </w:r>
      <w:r>
        <w:t xml:space="preserve"> </w:t>
      </w:r>
      <w:r>
        <w:t xml:space="preserve">regional grid infrastructure upgrade requirements, and</w:t>
      </w:r>
      <w:r>
        <w:t xml:space="preserve"> </w:t>
      </w:r>
      <w:r>
        <w:t xml:space="preserve">carbon cost exposure — spanning facility, GXP, and</w:t>
      </w:r>
      <w:r>
        <w:t xml:space="preserve"> </w:t>
      </w:r>
      <w:r>
        <w:t xml:space="preserve">national policy scales simultaneously. A model drawn</w:t>
      </w:r>
      <w:r>
        <w:t xml:space="preserve"> </w:t>
      </w:r>
      <w:r>
        <w:t xml:space="preserve">at the facility boundary can represent the first; it</w:t>
      </w:r>
      <w:r>
        <w:t xml:space="preserve"> </w:t>
      </w:r>
      <w:r>
        <w:t xml:space="preserve">cannot represent the second or third without deliberate</w:t>
      </w:r>
      <w:r>
        <w:t xml:space="preserve"> </w:t>
      </w:r>
      <w:r>
        <w:t xml:space="preserve">architectural extension.</w:t>
      </w:r>
    </w:p>
    <w:bookmarkEnd w:id="15"/>
    <w:bookmarkStart w:id="16" w:name="X336877ec96b66e4f22a459440c7806bc3dee597"/>
    <w:p>
      <w:pPr>
        <w:pStyle w:val="Heading3"/>
      </w:pPr>
      <w:r>
        <w:t xml:space="preserve">3.2 Modular Architecture and Thin-Waist Coupling</w:t>
      </w:r>
    </w:p>
    <w:p>
      <w:pPr>
        <w:pStyle w:val="FirstParagraph"/>
      </w:pPr>
      <w:r>
        <w:t xml:space="preserve">The DCM framework is organised as a seven-layer</w:t>
      </w:r>
      <w:r>
        <w:t xml:space="preserve"> </w:t>
      </w:r>
      <w:r>
        <w:t xml:space="preserve">analytical stack, from facility demand construction</w:t>
      </w:r>
      <w:r>
        <w:t xml:space="preserve"> </w:t>
      </w:r>
      <w:r>
        <w:t xml:space="preserve">through site dispatch, GXP interface, regional</w:t>
      </w:r>
      <w:r>
        <w:t xml:space="preserve"> </w:t>
      </w:r>
      <w:r>
        <w:t xml:space="preserve">electricity modelling, policy context, DMDU ensemble</w:t>
      </w:r>
      <w:r>
        <w:t xml:space="preserve"> </w:t>
      </w:r>
      <w:r>
        <w:t xml:space="preserve">evaluation, to the decision layer. Each layer is a</w:t>
      </w:r>
      <w:r>
        <w:t xml:space="preserve"> </w:t>
      </w:r>
      <w:r>
        <w:t xml:space="preserve">distinct analytical module that can be developed,</w:t>
      </w:r>
      <w:r>
        <w:t xml:space="preserve"> </w:t>
      </w:r>
      <w:r>
        <w:t xml:space="preserve">validated, and replaced independently.</w:t>
      </w:r>
    </w:p>
    <w:p>
      <w:pPr>
        <w:pStyle w:val="BodyText"/>
      </w:pPr>
      <w:r>
        <w:t xml:space="preserve">The coupling mechanism between layers is a thin-waist</w:t>
      </w:r>
      <w:r>
        <w:t xml:space="preserve"> </w:t>
      </w:r>
      <w:r>
        <w:t xml:space="preserve">artefact exchange. The thin-waist principle — from</w:t>
      </w:r>
      <w:r>
        <w:t xml:space="preserve"> </w:t>
      </w:r>
      <w:r>
        <w:t xml:space="preserve">internet protocol design, specifically the end-to-end</w:t>
      </w:r>
      <w:r>
        <w:t xml:space="preserve"> </w:t>
      </w:r>
      <w:r>
        <w:t xml:space="preserve">argument in network architecture</w:t>
      </w:r>
      <w:r>
        <w:t xml:space="preserve"> </w:t>
      </w:r>
      <w:r>
        <w:t xml:space="preserve">(</w:t>
      </w:r>
      <w:r>
        <w:rPr>
          <w:b/>
          <w:bCs/>
        </w:rPr>
        <w:t xml:space="preserve">saltzer1984end?</w:t>
      </w:r>
      <w:r>
        <w:t xml:space="preserve">)</w:t>
      </w:r>
      <w:r>
        <w:t xml:space="preserve"> </w:t>
      </w:r>
      <w:r>
        <w:t xml:space="preserve">—</w:t>
      </w:r>
      <w:r>
        <w:t xml:space="preserve"> </w:t>
      </w:r>
      <w:r>
        <w:t xml:space="preserve">specifies that inter-module interfaces must be narrow</w:t>
      </w:r>
      <w:r>
        <w:t xml:space="preserve"> </w:t>
      </w:r>
      <w:r>
        <w:t xml:space="preserve">(carrying only what must cross the boundary), explicit</w:t>
      </w:r>
      <w:r>
        <w:t xml:space="preserve"> </w:t>
      </w:r>
      <w:r>
        <w:t xml:space="preserve">(precisely schema-specified), and stable (unchanging</w:t>
      </w:r>
      <w:r>
        <w:t xml:space="preserve"> </w:t>
      </w:r>
      <w:r>
        <w:t xml:space="preserve">even as module internals evolve). In the DCM framework,</w:t>
      </w:r>
      <w:r>
        <w:t xml:space="preserve"> </w:t>
      </w:r>
      <w:r>
        <w:t xml:space="preserve">every output that crosses a module boundary is a</w:t>
      </w:r>
      <w:r>
        <w:t xml:space="preserve"> </w:t>
      </w:r>
      <w:r>
        <w:t xml:space="preserve">schema-conforming, provenance-carrying, validation-gated</w:t>
      </w:r>
      <w:r>
        <w:t xml:space="preserve"> </w:t>
      </w:r>
      <w:r>
        <w:t xml:space="preserve">artefact carrying its schema version, the inputs that</w:t>
      </w:r>
      <w:r>
        <w:t xml:space="preserve"> </w:t>
      </w:r>
      <w:r>
        <w:t xml:space="preserve">produced it, a SHA-256 hash for integrity verification,</w:t>
      </w:r>
      <w:r>
        <w:t xml:space="preserve"> </w:t>
      </w:r>
      <w:r>
        <w:t xml:space="preserve">and the validation record that admitted it into the</w:t>
      </w:r>
      <w:r>
        <w:t xml:space="preserve"> </w:t>
      </w:r>
      <w:r>
        <w:t xml:space="preserve">comparison chain.</w:t>
      </w:r>
    </w:p>
    <w:p>
      <w:pPr>
        <w:pStyle w:val="BodyText"/>
      </w:pPr>
      <w:r>
        <w:t xml:space="preserve">This architecture produces two analytical properties.</w:t>
      </w:r>
      <w:r>
        <w:t xml:space="preserve"> </w:t>
      </w:r>
      <w:r>
        <w:t xml:space="preserve">First, genuine reproducibility: every finding is</w:t>
      </w:r>
      <w:r>
        <w:t xml:space="preserve"> </w:t>
      </w:r>
      <w:r>
        <w:t xml:space="preserve">traceable to every assumption through the artefact chain,</w:t>
      </w:r>
      <w:r>
        <w:t xml:space="preserve"> </w:t>
      </w:r>
      <w:r>
        <w:t xml:space="preserve">and any module can be replaced without disturbing the</w:t>
      </w:r>
      <w:r>
        <w:t xml:space="preserve"> </w:t>
      </w:r>
      <w:r>
        <w:t xml:space="preserve">chain provided the interface contract is preserved.</w:t>
      </w:r>
      <w:r>
        <w:t xml:space="preserve"> </w:t>
      </w:r>
      <w:r>
        <w:t xml:space="preserve">Second, tractable progressive refinement: modules can</w:t>
      </w:r>
      <w:r>
        <w:t xml:space="preserve"> </w:t>
      </w:r>
      <w:r>
        <w:t xml:space="preserve">be developed to minimum viable specification and improved</w:t>
      </w:r>
      <w:r>
        <w:t xml:space="preserve"> </w:t>
      </w:r>
      <w:r>
        <w:t xml:space="preserve">where regret diagnostics reveal that improvement would</w:t>
      </w:r>
      <w:r>
        <w:t xml:space="preserve"> </w:t>
      </w:r>
      <w:r>
        <w:t xml:space="preserve">change the decision-relevant comparison.</w:t>
      </w:r>
    </w:p>
    <w:bookmarkEnd w:id="16"/>
    <w:bookmarkStart w:id="17" w:name="Xff38c5e9f52a0fe40562ea28fae5aac7b963ec7"/>
    <w:p>
      <w:pPr>
        <w:pStyle w:val="Heading3"/>
      </w:pPr>
      <w:r>
        <w:t xml:space="preserve">3.3 Evaluation Standards Under Deep Uncertainty</w:t>
      </w:r>
    </w:p>
    <w:p>
      <w:pPr>
        <w:pStyle w:val="FirstParagraph"/>
      </w:pPr>
      <w:r>
        <w:t xml:space="preserve">The framework evaluates pathway alternatives using three</w:t>
      </w:r>
      <w:r>
        <w:t xml:space="preserve"> </w:t>
      </w:r>
      <w:r>
        <w:t xml:space="preserve">complementary metrics that jointly characterise decision</w:t>
      </w:r>
      <w:r>
        <w:t xml:space="preserve"> </w:t>
      </w:r>
      <w:r>
        <w:t xml:space="preserve">quality when probability distributions over futures</w:t>
      </w:r>
      <w:r>
        <w:t xml:space="preserve"> </w:t>
      </w:r>
      <w:r>
        <w:t xml:space="preserve">cannot be defended.</w:t>
      </w:r>
    </w:p>
    <w:p>
      <w:pPr>
        <w:pStyle w:val="BodyText"/>
      </w:pPr>
      <w:r>
        <w:rPr>
          <w:b/>
          <w:bCs/>
        </w:rPr>
        <w:t xml:space="preserve">Regret</w:t>
      </w:r>
      <w:r>
        <w:t xml:space="preserve"> </w:t>
      </w:r>
      <w:r>
        <w:t xml:space="preserve">of pathway</w:t>
      </w:r>
      <w:r>
        <w:t xml:space="preserve"> </w:t>
      </w:r>
      <m:oMath>
        <m:r>
          <m:t>s</m:t>
        </m:r>
      </m:oMath>
      <w:r>
        <w:t xml:space="preserve"> </w:t>
      </w:r>
      <w:r>
        <w:t xml:space="preserve">under future</w:t>
      </w:r>
      <w:r>
        <w:t xml:space="preserve"> </w:t>
      </w:r>
      <m:oMath>
        <m:r>
          <m:t>ω</m:t>
        </m:r>
      </m:oMath>
      <w:r>
        <w:t xml:space="preserve">:</w:t>
      </w:r>
    </w:p>
    <w:p>
      <w:pPr>
        <w:pStyle w:val="BodyText"/>
      </w:pPr>
      <m:oMathPara>
        <m:oMathParaPr>
          <m:jc m:val="center"/>
        </m:oMathParaPr>
        <m:oMath>
          <m:r>
            <m:t>ρ</m:t>
          </m:r>
          <m:r>
            <m:rPr>
              <m:sty m:val="p"/>
            </m:rPr>
            <m:t>(</m:t>
          </m:r>
          <m:r>
            <m:t>s</m:t>
          </m:r>
          <m:r>
            <m:rPr>
              <m:sty m:val="p"/>
            </m:rPr>
            <m:t>,</m:t>
          </m:r>
          <m:r>
            <m:t>ω</m:t>
          </m:r>
          <m:r>
            <m:rPr>
              <m:sty m:val="p"/>
            </m:rPr>
            <m:t>)</m:t>
          </m:r>
          <m:r>
            <m:rPr>
              <m:sty m:val="p"/>
            </m:rPr>
            <m:t>=</m:t>
          </m:r>
          <m:r>
            <m:t>Z</m:t>
          </m:r>
          <m:r>
            <m:rPr>
              <m:sty m:val="p"/>
            </m:rPr>
            <m:t>(</m:t>
          </m:r>
          <m:r>
            <m:t>s</m:t>
          </m:r>
          <m:r>
            <m:rPr>
              <m:sty m:val="p"/>
            </m:rPr>
            <m:t>,</m:t>
          </m:r>
          <m:r>
            <m:t>ω</m:t>
          </m:r>
          <m:r>
            <m:rPr>
              <m:sty m:val="p"/>
            </m:rPr>
            <m:t>)</m:t>
          </m:r>
          <m:r>
            <m:rPr>
              <m:sty m:val="p"/>
            </m:rPr>
            <m:t>−</m:t>
          </m:r>
          <m:limLow>
            <m:e>
              <m:r>
                <m:rPr>
                  <m:sty m:val="p"/>
                </m:rPr>
                <m:t>min</m:t>
              </m:r>
            </m:e>
            <m:lim>
              <m:sSup>
                <m:e>
                  <m:r>
                    <m:t>s</m:t>
                  </m:r>
                </m:e>
                <m:sup>
                  <m:r>
                    <m:rPr>
                      <m:sty m:val="p"/>
                    </m:rPr>
                    <m:t>′</m:t>
                  </m:r>
                </m:sup>
              </m:sSup>
              <m:r>
                <m:rPr>
                  <m:sty m:val="p"/>
                </m:rPr>
                <m:t>∈</m:t>
              </m:r>
              <m:r>
                <m:t>S</m:t>
              </m:r>
            </m:lim>
          </m:limLow>
          <m:r>
            <m:t>Z</m:t>
          </m:r>
          <m:r>
            <m:rPr>
              <m:sty m:val="p"/>
            </m:rPr>
            <m:t>(</m:t>
          </m:r>
          <m:sSup>
            <m:e>
              <m:r>
                <m:t>s</m:t>
              </m:r>
            </m:e>
            <m:sup>
              <m:r>
                <m:rPr>
                  <m:sty m:val="p"/>
                </m:rPr>
                <m:t>′</m:t>
              </m:r>
            </m:sup>
          </m:sSup>
          <m:r>
            <m:rPr>
              <m:sty m:val="p"/>
            </m:rPr>
            <m:t>,</m:t>
          </m:r>
          <m:r>
            <m:t>ω</m:t>
          </m:r>
          <m:r>
            <m:rPr>
              <m:sty m:val="p"/>
            </m:rPr>
            <m:t>)</m:t>
          </m:r>
        </m:oMath>
      </m:oMathPara>
    </w:p>
    <w:p>
      <w:pPr>
        <w:pStyle w:val="FirstParagraph"/>
      </w:pPr>
      <w:r>
        <w:t xml:space="preserve">where</w:t>
      </w:r>
      <w:r>
        <w:t xml:space="preserve"> </w:t>
      </w:r>
      <m:oMath>
        <m:r>
          <m:t>Z</m:t>
        </m:r>
        <m:r>
          <m:rPr>
            <m:sty m:val="p"/>
          </m:rPr>
          <m:t>(</m:t>
        </m:r>
        <m:r>
          <m:t>s</m:t>
        </m:r>
        <m:r>
          <m:rPr>
            <m:sty m:val="p"/>
          </m:rPr>
          <m:t>,</m:t>
        </m:r>
        <m:r>
          <m:t>ω</m:t>
        </m:r>
        <m:r>
          <m:rPr>
            <m:sty m:val="p"/>
          </m:rPr>
          <m:t>)</m:t>
        </m:r>
      </m:oMath>
      <w:r>
        <w:t xml:space="preserve"> </w:t>
      </w:r>
      <w:r>
        <w:t xml:space="preserve">is the total system cost including</w:t>
      </w:r>
      <w:r>
        <w:t xml:space="preserve"> </w:t>
      </w:r>
      <w:r>
        <w:t xml:space="preserve">site operating costs and annualised infrastructure costs.</w:t>
      </w:r>
      <w:r>
        <w:t xml:space="preserve"> </w:t>
      </w:r>
      <w:r>
        <w:t xml:space="preserve">Regret is zero for the minimum-cost pathway in each</w:t>
      </w:r>
      <w:r>
        <w:t xml:space="preserve"> </w:t>
      </w:r>
      <w:r>
        <w:t xml:space="preserve">future. Maximum regret</w:t>
      </w:r>
      <w:r>
        <w:t xml:space="preserve"> </w:t>
      </w:r>
      <m:oMath>
        <m:sSub>
          <m:e>
            <m:r>
              <m:t>R</m:t>
            </m:r>
          </m:e>
          <m:sub>
            <m:r>
              <m:rPr>
                <m:sty m:val="p"/>
              </m:rPr>
              <m:t>max</m:t>
            </m:r>
          </m:sub>
        </m:sSub>
        <m:r>
          <m:rPr>
            <m:sty m:val="p"/>
          </m:rPr>
          <m:t>(</m:t>
        </m:r>
        <m:r>
          <m:t>s</m:t>
        </m:r>
        <m:r>
          <m:rPr>
            <m:sty m:val="p"/>
          </m:rPr>
          <m:t>)</m:t>
        </m:r>
        <m:r>
          <m:rPr>
            <m:sty m:val="p"/>
          </m:rPr>
          <m:t>=</m:t>
        </m:r>
        <m:sSub>
          <m:e>
            <m:r>
              <m:rPr>
                <m:sty m:val="p"/>
              </m:rPr>
              <m:t>max</m:t>
            </m:r>
          </m:e>
          <m:sub>
            <m:r>
              <m:t>ω</m:t>
            </m:r>
          </m:sub>
        </m:sSub>
        <m:r>
          <m:t>ρ</m:t>
        </m:r>
        <m:r>
          <m:rPr>
            <m:sty m:val="p"/>
          </m:rPr>
          <m:t>(</m:t>
        </m:r>
        <m:r>
          <m:t>s</m:t>
        </m:r>
        <m:r>
          <m:rPr>
            <m:sty m:val="p"/>
          </m:rPr>
          <m:t>,</m:t>
        </m:r>
        <m:r>
          <m:t>ω</m:t>
        </m:r>
        <m:r>
          <m:rPr>
            <m:sty m:val="p"/>
          </m:rPr>
          <m:t>)</m:t>
        </m:r>
      </m:oMath>
      <w:r>
        <w:t xml:space="preserve"> </w:t>
      </w:r>
      <w:r>
        <w:t xml:space="preserve">characterises the worst-case cost of</w:t>
      </w:r>
      <w:r>
        <w:t xml:space="preserve"> </w:t>
      </w:r>
      <w:r>
        <w:t xml:space="preserve">choosing</w:t>
      </w:r>
      <w:r>
        <w:t xml:space="preserve"> </w:t>
      </w:r>
      <m:oMath>
        <m:r>
          <m:t>s</m:t>
        </m:r>
      </m:oMath>
      <w:r>
        <w:t xml:space="preserve">.</w:t>
      </w:r>
    </w:p>
    <w:p>
      <w:pPr>
        <w:pStyle w:val="BodyText"/>
      </w:pPr>
      <w:r>
        <w:rPr>
          <w:b/>
          <w:bCs/>
        </w:rPr>
        <w:t xml:space="preserve">Satisficing rate</w:t>
      </w:r>
      <w:r>
        <w:t xml:space="preserve"> </w:t>
      </w:r>
      <w:r>
        <w:t xml:space="preserve">at threshold</w:t>
      </w:r>
      <w:r>
        <w:t xml:space="preserve"> </w:t>
      </w:r>
      <m:oMath>
        <m:r>
          <m:t>τ</m:t>
        </m:r>
      </m:oMath>
      <w:r>
        <w:t xml:space="preserve"> </w:t>
      </w:r>
      <w:r>
        <w:t xml:space="preserve">— the fraction</w:t>
      </w:r>
      <w:r>
        <w:t xml:space="preserve"> </w:t>
      </w:r>
      <w:r>
        <w:t xml:space="preserve">of futures in which total cost falls within an acceptable</w:t>
      </w:r>
      <w:r>
        <w:t xml:space="preserve"> </w:t>
      </w:r>
      <w:r>
        <w:t xml:space="preserve">range:</w:t>
      </w:r>
    </w:p>
    <w:p>
      <w:pPr>
        <w:pStyle w:val="BodyText"/>
      </w:pPr>
      <m:oMathPara>
        <m:oMathParaPr>
          <m:jc m:val="center"/>
        </m:oMathParaPr>
        <m:oMath>
          <m:r>
            <m:rPr>
              <m:nor/>
              <m:sty m:val="p"/>
            </m:rPr>
            <m:t>SR</m:t>
          </m:r>
          <m:r>
            <m:rPr>
              <m:sty m:val="p"/>
            </m:rPr>
            <m:t>(</m:t>
          </m:r>
          <m:r>
            <m:t>s</m:t>
          </m:r>
          <m:r>
            <m:rPr>
              <m:sty m:val="p"/>
            </m:rPr>
            <m:t>,</m:t>
          </m:r>
          <m:r>
            <m:t>τ</m:t>
          </m:r>
          <m:r>
            <m:rPr>
              <m:sty m:val="p"/>
            </m:rPr>
            <m:t>)</m:t>
          </m:r>
          <m:r>
            <m:rPr>
              <m:sty m:val="p"/>
            </m:rPr>
            <m:t>=</m:t>
          </m:r>
          <m:f>
            <m:fPr>
              <m:type m:val="bar"/>
            </m:fPr>
            <m:num>
              <m:r>
                <m:rPr>
                  <m:sty m:val="p"/>
                </m:rPr>
                <m:t>|</m:t>
              </m:r>
              <m:r>
                <m:rPr>
                  <m:sty m:val="p"/>
                </m:rPr>
                <m:t>{</m:t>
              </m:r>
              <m:r>
                <m:t>ω</m:t>
              </m:r>
              <m:r>
                <m:rPr>
                  <m:sty m:val="p"/>
                </m:rPr>
                <m:t>:</m:t>
              </m:r>
              <m:r>
                <m:t>Z</m:t>
              </m:r>
              <m:r>
                <m:rPr>
                  <m:sty m:val="p"/>
                </m:rPr>
                <m:t>(</m:t>
              </m:r>
              <m:r>
                <m:t>s</m:t>
              </m:r>
              <m:r>
                <m:rPr>
                  <m:sty m:val="p"/>
                </m:rPr>
                <m:t>,</m:t>
              </m:r>
              <m:r>
                <m:t>ω</m:t>
              </m:r>
              <m:r>
                <m:rPr>
                  <m:sty m:val="p"/>
                </m:rPr>
                <m:t>)</m:t>
              </m:r>
              <m:r>
                <m:rPr>
                  <m:sty m:val="p"/>
                </m:rPr>
                <m:t>≤</m:t>
              </m:r>
              <m:r>
                <m:t>τ</m:t>
              </m:r>
              <m:r>
                <m:rPr>
                  <m:sty m:val="p"/>
                </m:rPr>
                <m:t>}</m:t>
              </m:r>
              <m:r>
                <m:rPr>
                  <m:sty m:val="p"/>
                </m:rPr>
                <m:t>|</m:t>
              </m:r>
            </m:num>
            <m:den>
              <m:r>
                <m:rPr>
                  <m:sty m:val="p"/>
                </m:rPr>
                <m:t>|</m:t>
              </m:r>
              <m:r>
                <m:rPr>
                  <m:sty m:val="p"/>
                </m:rPr>
                <m:t>Ω</m:t>
              </m:r>
              <m:r>
                <m:rPr>
                  <m:sty m:val="p"/>
                </m:rPr>
                <m:t>|</m:t>
              </m:r>
            </m:den>
          </m:f>
        </m:oMath>
      </m:oMathPara>
    </w:p>
    <w:p>
      <w:pPr>
        <w:pStyle w:val="FirstParagraph"/>
      </w:pPr>
      <w:r>
        <w:rPr>
          <w:b/>
          <w:bCs/>
        </w:rPr>
        <w:t xml:space="preserve">Win rate</w:t>
      </w:r>
      <w:r>
        <w:t xml:space="preserve"> </w:t>
      </w:r>
      <w:r>
        <w:t xml:space="preserve">— the fraction of futures in which pathway</w:t>
      </w:r>
      <w:r>
        <w:t xml:space="preserve"> </w:t>
      </w:r>
      <m:oMath>
        <m:r>
          <m:t>s</m:t>
        </m:r>
      </m:oMath>
      <w:r>
        <w:t xml:space="preserve"> </w:t>
      </w:r>
      <w:r>
        <w:t xml:space="preserve">achieves the minimum system cost:</w:t>
      </w:r>
    </w:p>
    <w:p>
      <w:pPr>
        <w:pStyle w:val="BodyText"/>
      </w:pPr>
      <m:oMathPara>
        <m:oMathParaPr>
          <m:jc m:val="center"/>
        </m:oMathParaPr>
        <m:oMath>
          <m:r>
            <m:rPr>
              <m:nor/>
              <m:sty m:val="p"/>
            </m:rPr>
            <m:t>WR</m:t>
          </m:r>
          <m:r>
            <m:rPr>
              <m:sty m:val="p"/>
            </m:rPr>
            <m:t>(</m:t>
          </m:r>
          <m:r>
            <m:t>s</m:t>
          </m:r>
          <m:r>
            <m:rPr>
              <m:sty m:val="p"/>
            </m:rPr>
            <m:t>)</m:t>
          </m:r>
          <m:r>
            <m:rPr>
              <m:sty m:val="p"/>
            </m:rPr>
            <m:t>=</m:t>
          </m:r>
          <m:f>
            <m:fPr>
              <m:type m:val="bar"/>
            </m:fPr>
            <m:num>
              <m:r>
                <m:rPr>
                  <m:sty m:val="p"/>
                </m:rPr>
                <m:t>|</m:t>
              </m:r>
              <m:r>
                <m:rPr>
                  <m:sty m:val="p"/>
                </m:rPr>
                <m:t>{</m:t>
              </m:r>
              <m:r>
                <m:t>ω</m:t>
              </m:r>
              <m:r>
                <m:rPr>
                  <m:sty m:val="p"/>
                </m:rPr>
                <m:t>:</m:t>
              </m:r>
              <m:r>
                <m:t>ρ</m:t>
              </m:r>
              <m:r>
                <m:rPr>
                  <m:sty m:val="p"/>
                </m:rPr>
                <m:t>(</m:t>
              </m:r>
              <m:r>
                <m:t>s</m:t>
              </m:r>
              <m:r>
                <m:rPr>
                  <m:sty m:val="p"/>
                </m:rPr>
                <m:t>,</m:t>
              </m:r>
              <m:r>
                <m:t>ω</m:t>
              </m:r>
              <m:r>
                <m:rPr>
                  <m:sty m:val="p"/>
                </m:rPr>
                <m:t>)</m:t>
              </m:r>
              <m:r>
                <m:rPr>
                  <m:sty m:val="p"/>
                </m:rPr>
                <m:t>=</m:t>
              </m:r>
              <m:r>
                <m:t>0</m:t>
              </m:r>
              <m:r>
                <m:rPr>
                  <m:sty m:val="p"/>
                </m:rPr>
                <m:t>}</m:t>
              </m:r>
              <m:r>
                <m:rPr>
                  <m:sty m:val="p"/>
                </m:rPr>
                <m:t>|</m:t>
              </m:r>
            </m:num>
            <m:den>
              <m:r>
                <m:rPr>
                  <m:sty m:val="p"/>
                </m:rPr>
                <m:t>|</m:t>
              </m:r>
              <m:r>
                <m:rPr>
                  <m:sty m:val="p"/>
                </m:rPr>
                <m:t>Ω</m:t>
              </m:r>
              <m:r>
                <m:rPr>
                  <m:sty m:val="p"/>
                </m:rPr>
                <m:t>|</m:t>
              </m:r>
            </m:den>
          </m:f>
        </m:oMath>
      </m:oMathPara>
    </w:p>
    <w:p>
      <w:pPr>
        <w:pStyle w:val="FirstParagraph"/>
      </w:pPr>
      <w:r>
        <w:t xml:space="preserve">Win rate is technically implied by regret (zero regret</w:t>
      </w:r>
      <w:r>
        <w:t xml:space="preserve"> </w:t>
      </w:r>
      <w:r>
        <w:t xml:space="preserve">equals a win) but provides a distinct frequency</w:t>
      </w:r>
      <w:r>
        <w:t xml:space="preserve"> </w:t>
      </w:r>
      <w:r>
        <w:t xml:space="preserve">characterisation useful for communication. A pathway with</w:t>
      </w:r>
      <w:r>
        <w:t xml:space="preserve"> </w:t>
      </w:r>
      <w:r>
        <w:t xml:space="preserve">high satisficing rate, low mean regret, and low maximum</w:t>
      </w:r>
      <w:r>
        <w:t xml:space="preserve"> </w:t>
      </w:r>
      <w:r>
        <w:t xml:space="preserve">regret is preferred under deep uncertainty — regardless</w:t>
      </w:r>
      <w:r>
        <w:t xml:space="preserve"> </w:t>
      </w:r>
      <w:r>
        <w:t xml:space="preserve">of which futures are most likely, and without requiring</w:t>
      </w:r>
      <w:r>
        <w:t xml:space="preserve"> </w:t>
      </w:r>
      <w:r>
        <w:t xml:space="preserve">probability distributions over</w:t>
      </w:r>
      <w:r>
        <w:t xml:space="preserve"> </w:t>
      </w:r>
      <m:oMath>
        <m:r>
          <m:rPr>
            <m:sty m:val="p"/>
          </m:rPr>
          <m:t>Ω</m:t>
        </m:r>
      </m:oMath>
      <w:r>
        <w:t xml:space="preserve">.</w:t>
      </w:r>
    </w:p>
    <w:bookmarkEnd w:id="17"/>
    <w:bookmarkStart w:id="18" w:name="progressive-refinement"/>
    <w:p>
      <w:pPr>
        <w:pStyle w:val="Heading3"/>
      </w:pPr>
      <w:r>
        <w:t xml:space="preserve">3.4 Progressive Refinement</w:t>
      </w:r>
    </w:p>
    <w:p>
      <w:pPr>
        <w:pStyle w:val="FirstParagraph"/>
      </w:pPr>
      <w:r>
        <w:t xml:space="preserve">The framework’s development philosophy is governed by</w:t>
      </w:r>
      <w:r>
        <w:t xml:space="preserve"> </w:t>
      </w:r>
      <w:r>
        <w:t xml:space="preserve">regret diagnostics rather than completeness aspirations.</w:t>
      </w:r>
      <w:r>
        <w:t xml:space="preserve"> </w:t>
      </w:r>
      <w:r>
        <w:t xml:space="preserve">A minimum viable implementation — honest about its</w:t>
      </w:r>
      <w:r>
        <w:t xml:space="preserve"> </w:t>
      </w:r>
      <w:r>
        <w:t xml:space="preserve">limitations, architecturally complete, and analytically</w:t>
      </w:r>
      <w:r>
        <w:t xml:space="preserve"> </w:t>
      </w:r>
      <w:r>
        <w:t xml:space="preserve">rigorous within its declared scope — is more valuable</w:t>
      </w:r>
      <w:r>
        <w:t xml:space="preserve"> </w:t>
      </w:r>
      <w:r>
        <w:t xml:space="preserve">than a comprehensive but opaque system.</w:t>
      </w:r>
    </w:p>
    <w:p>
      <w:pPr>
        <w:pStyle w:val="BodyText"/>
      </w:pPr>
      <w:r>
        <w:t xml:space="preserve">Regret diagnostics operate as follows. For each uncertain</w:t>
      </w:r>
      <w:r>
        <w:t xml:space="preserve"> </w:t>
      </w:r>
      <w:r>
        <w:t xml:space="preserve">driver in the ensemble, the sensitivity of the pathway</w:t>
      </w:r>
      <w:r>
        <w:t xml:space="preserve"> </w:t>
      </w:r>
      <w:r>
        <w:t xml:space="preserve">comparison to that driver’s value is computed. Drivers</w:t>
      </w:r>
      <w:r>
        <w:t xml:space="preserve"> </w:t>
      </w:r>
      <w:r>
        <w:t xml:space="preserve">that produce the largest swing in pathway preference —</w:t>
      </w:r>
      <w:r>
        <w:t xml:space="preserve"> </w:t>
      </w:r>
      <w:r>
        <w:t xml:space="preserve">measured by the range of regret values across futures</w:t>
      </w:r>
      <w:r>
        <w:t xml:space="preserve"> </w:t>
      </w:r>
      <w:r>
        <w:t xml:space="preserve">sorted by that driver — are the highest-priority</w:t>
      </w:r>
      <w:r>
        <w:t xml:space="preserve"> </w:t>
      </w:r>
      <w:r>
        <w:t xml:space="preserve">development targets. In the Edendale PoC, the GXP</w:t>
      </w:r>
      <w:r>
        <w:t xml:space="preserve"> </w:t>
      </w:r>
      <w:r>
        <w:t xml:space="preserve">headroom multiplier produces the largest regret</w:t>
      </w:r>
      <w:r>
        <w:t xml:space="preserve"> </w:t>
      </w:r>
      <w:r>
        <w:t xml:space="preserve">sensitivity: futures with lower headroom are those where</w:t>
      </w:r>
      <w:r>
        <w:t xml:space="preserve"> </w:t>
      </w:r>
      <w:r>
        <w:t xml:space="preserve">EB most frequently triggers the N+150 MW upgrade class.</w:t>
      </w:r>
      <w:r>
        <w:t xml:space="preserve"> </w:t>
      </w:r>
      <w:r>
        <w:t xml:space="preserve">This identifies regional network modelling fidelity as</w:t>
      </w:r>
      <w:r>
        <w:t xml:space="preserve"> </w:t>
      </w:r>
      <w:r>
        <w:t xml:space="preserve">the highest-priority analytical investment — not for</w:t>
      </w:r>
      <w:r>
        <w:t xml:space="preserve"> </w:t>
      </w:r>
      <w:r>
        <w:t xml:space="preserve">methodological reasons, but because it is the uncertain</w:t>
      </w:r>
      <w:r>
        <w:t xml:space="preserve"> </w:t>
      </w:r>
      <w:r>
        <w:t xml:space="preserve">driver most likely to change the recommendation if</w:t>
      </w:r>
      <w:r>
        <w:t xml:space="preserve"> </w:t>
      </w:r>
      <w:r>
        <w:t xml:space="preserve">represented with greater fidelity. The framework is in</w:t>
      </w:r>
      <w:r>
        <w:t xml:space="preserve"> </w:t>
      </w:r>
      <w:r>
        <w:t xml:space="preserve">this sense self-directing: it reveals its own most</w:t>
      </w:r>
      <w:r>
        <w:t xml:space="preserve"> </w:t>
      </w:r>
      <w:r>
        <w:t xml:space="preserve">productive next development step.</w:t>
      </w:r>
    </w:p>
    <w:p>
      <w:r>
        <w:pict>
          <v:rect style="width:0;height:1.5pt" o:hralign="center" o:hrstd="t" o:hr="t"/>
        </w:pict>
      </w:r>
    </w:p>
    <w:bookmarkEnd w:id="18"/>
    <w:bookmarkEnd w:id="19"/>
    <w:bookmarkStart w:id="20" w:name="uncertainty-architecture"/>
    <w:p>
      <w:pPr>
        <w:pStyle w:val="Heading2"/>
      </w:pPr>
      <w:r>
        <w:t xml:space="preserve">4. Uncertainty Architecture</w:t>
      </w:r>
    </w:p>
    <w:p>
      <w:pPr>
        <w:pStyle w:val="FirstParagraph"/>
      </w:pPr>
      <w:r>
        <w:t xml:space="preserve">Long-horizon decisions face three qualitatively distinct</w:t>
      </w:r>
      <w:r>
        <w:t xml:space="preserve"> </w:t>
      </w:r>
      <w:r>
        <w:t xml:space="preserve">types of uncertainty requiring different analytical</w:t>
      </w:r>
      <w:r>
        <w:t xml:space="preserve"> </w:t>
      </w:r>
      <w:r>
        <w:t xml:space="preserve">treatments. This three-layer taxonomy extends Knight’s</w:t>
      </w:r>
      <w:r>
        <w:t xml:space="preserve"> </w:t>
      </w:r>
      <w:r>
        <w:t xml:space="preserve">risk/uncertainty distinction</w:t>
      </w:r>
      <w:r>
        <w:t xml:space="preserve"> </w:t>
      </w:r>
      <w:r>
        <w:t xml:space="preserve">(Knight 1921)</w:t>
      </w:r>
      <w:r>
        <w:t xml:space="preserve"> </w:t>
      </w:r>
      <w:r>
        <w:t xml:space="preserve">by</w:t>
      </w:r>
      <w:r>
        <w:t xml:space="preserve"> </w:t>
      </w:r>
      <w:r>
        <w:t xml:space="preserve">specifying operationally distinct regimes and connecting</w:t>
      </w:r>
      <w:r>
        <w:t xml:space="preserve"> </w:t>
      </w:r>
      <w:r>
        <w:t xml:space="preserve">each to a tractable analytical response.</w:t>
      </w:r>
    </w:p>
    <w:p>
      <w:pPr>
        <w:pStyle w:val="BodyText"/>
      </w:pPr>
      <w:r>
        <w:rPr>
          <w:b/>
          <w:bCs/>
        </w:rPr>
        <w:t xml:space="preserve">Layer 1 — Parametric uncertainty</w:t>
      </w:r>
      <w:r>
        <w:t xml:space="preserve"> </w:t>
      </w:r>
      <w:r>
        <w:t xml:space="preserve">covers conditions</w:t>
      </w:r>
      <w:r>
        <w:t xml:space="preserve"> </w:t>
      </w:r>
      <w:r>
        <w:t xml:space="preserve">where uncertain drivers can be characterised by plausible</w:t>
      </w:r>
      <w:r>
        <w:t xml:space="preserve"> </w:t>
      </w:r>
      <w:r>
        <w:t xml:space="preserve">ranges and sampled via structured ensemble methods.</w:t>
      </w:r>
      <w:r>
        <w:t xml:space="preserve"> </w:t>
      </w:r>
      <w:r>
        <w:t xml:space="preserve">Capital cost multipliers, electricity tariff trajectories,</w:t>
      </w:r>
      <w:r>
        <w:t xml:space="preserve"> </w:t>
      </w:r>
      <w:r>
        <w:t xml:space="preserve">carbon price scenarios, and demand growth rates are</w:t>
      </w:r>
      <w:r>
        <w:t xml:space="preserve"> </w:t>
      </w:r>
      <w:r>
        <w:t xml:space="preserve">parametric uncertainties. Their ranges can be calibrated</w:t>
      </w:r>
      <w:r>
        <w:t xml:space="preserve"> </w:t>
      </w:r>
      <w:r>
        <w:t xml:space="preserve">from historical data and the TIMES-NZ 3.0 Steady/Shift</w:t>
      </w:r>
      <w:r>
        <w:t xml:space="preserve"> </w:t>
      </w:r>
      <w:r>
        <w:t xml:space="preserve">scenario bounds. The PoC demonstrates Layer 1 treatment</w:t>
      </w:r>
      <w:r>
        <w:t xml:space="preserve"> </w:t>
      </w:r>
      <w:r>
        <w:t xml:space="preserve">through Latin Hypercube Sampling across five drivers.</w:t>
      </w:r>
    </w:p>
    <w:p>
      <w:pPr>
        <w:pStyle w:val="BodyText"/>
      </w:pPr>
      <w:r>
        <w:rPr>
          <w:b/>
          <w:bCs/>
        </w:rPr>
        <w:t xml:space="preserve">Layer 2 — Structural uncertainty</w:t>
      </w:r>
      <w:r>
        <w:t xml:space="preserve"> </w:t>
      </w:r>
      <w:r>
        <w:t xml:space="preserve">covers conditions</w:t>
      </w:r>
      <w:r>
        <w:t xml:space="preserve"> </w:t>
      </w:r>
      <w:r>
        <w:t xml:space="preserve">where the world-model itself is contested — not parameter</w:t>
      </w:r>
      <w:r>
        <w:t xml:space="preserve"> </w:t>
      </w:r>
      <w:r>
        <w:t xml:space="preserve">values but the structural assumptions of the analytical</w:t>
      </w:r>
      <w:r>
        <w:t xml:space="preserve"> </w:t>
      </w:r>
      <w:r>
        <w:t xml:space="preserve">framework. Whether LNG import infrastructure is developed</w:t>
      </w:r>
      <w:r>
        <w:t xml:space="preserve"> </w:t>
      </w:r>
      <w:r>
        <w:t xml:space="preserve">or gas exits the energy mix; whether dairy export demand</w:t>
      </w:r>
      <w:r>
        <w:t xml:space="preserve"> </w:t>
      </w:r>
      <w:r>
        <w:t xml:space="preserve">follows the Steady or Shift trajectory. These are</w:t>
      </w:r>
      <w:r>
        <w:t xml:space="preserve"> </w:t>
      </w:r>
      <w:r>
        <w:t xml:space="preserve">discrete branches in the space of possible futures, not</w:t>
      </w:r>
      <w:r>
        <w:t xml:space="preserve"> </w:t>
      </w:r>
      <w:r>
        <w:t xml:space="preserve">points in a continuous parameter space. The TIMES-NZ 3.0</w:t>
      </w:r>
      <w:r>
        <w:t xml:space="preserve"> </w:t>
      </w:r>
      <w:r>
        <w:t xml:space="preserve">Steady/Shift scenarios represent structural uncertainty</w:t>
      </w:r>
      <w:r>
        <w:t xml:space="preserve"> </w:t>
      </w:r>
      <w:r>
        <w:t xml:space="preserve">at the national level, providing calibrated bounds</w:t>
      </w:r>
      <w:r>
        <w:t xml:space="preserve"> </w:t>
      </w:r>
      <w:r>
        <w:t xml:space="preserve">(</w:t>
      </w:r>
      <m:oMath>
        <m:r>
          <m:t>52</m:t>
        </m:r>
        <m:r>
          <m:rPr>
            <m:sty m:val="p"/>
          </m:rPr>
          <m:t>/</m:t>
        </m:r>
        <m:sSub>
          <m:e>
            <m:r>
              <m:rPr>
                <m:nor/>
                <m:sty m:val="p"/>
              </m:rPr>
              <m:t>tCO</m:t>
            </m:r>
          </m:e>
          <m:sub>
            <m:r>
              <m:t>2</m:t>
            </m:r>
          </m:sub>
        </m:sSub>
      </m:oMath>
      <w:r>
        <w:t xml:space="preserve"> </w:t>
      </w:r>
      <w:r>
        <w:t xml:space="preserve">to</w:t>
      </w:r>
      <w:r>
        <w:t xml:space="preserve"> </w:t>
      </w:r>
      <m:oMath>
        <m:r>
          <m:t>260</m:t>
        </m:r>
        <m:r>
          <m:rPr>
            <m:sty m:val="p"/>
          </m:rPr>
          <m:t>/</m:t>
        </m:r>
        <m:sSub>
          <m:e>
            <m:r>
              <m:rPr>
                <m:nor/>
                <m:sty m:val="p"/>
              </m:rPr>
              <m:t>tCO</m:t>
            </m:r>
          </m:e>
          <m:sub>
            <m:r>
              <m:t>2</m:t>
            </m:r>
          </m:sub>
        </m:sSub>
      </m:oMath>
      <w:r>
        <w:t xml:space="preserve">) for the ETS</w:t>
      </w:r>
      <w:r>
        <w:t xml:space="preserve"> </w:t>
      </w:r>
      <w:r>
        <w:t xml:space="preserve">price dimension</w:t>
      </w:r>
      <w:r>
        <w:t xml:space="preserve"> </w:t>
      </w:r>
      <w:r>
        <w:t xml:space="preserve">(Energy Efficiency and Conservation Authority 2024b)</w:t>
      </w:r>
      <w:r>
        <w:t xml:space="preserve">.</w:t>
      </w:r>
    </w:p>
    <w:p>
      <w:pPr>
        <w:pStyle w:val="BodyText"/>
      </w:pPr>
      <w:r>
        <w:rPr>
          <w:b/>
          <w:bCs/>
        </w:rPr>
        <w:t xml:space="preserve">Layer 3 — Deep narrative uncertainty</w:t>
      </w:r>
      <w:r>
        <w:t xml:space="preserve"> </w:t>
      </w:r>
      <w:r>
        <w:t xml:space="preserve">covers</w:t>
      </w:r>
      <w:r>
        <w:t xml:space="preserve"> </w:t>
      </w:r>
      <w:r>
        <w:t xml:space="preserve">conditions that are difficult to parameterise with</w:t>
      </w:r>
      <w:r>
        <w:t xml:space="preserve"> </w:t>
      </w:r>
      <w:r>
        <w:t xml:space="preserve">defensible probability assignments: geopolitical</w:t>
      </w:r>
      <w:r>
        <w:t xml:space="preserve"> </w:t>
      </w:r>
      <w:r>
        <w:t xml:space="preserve">ruptures, pandemic-scale disruptions, regulatory</w:t>
      </w:r>
      <w:r>
        <w:t xml:space="preserve"> </w:t>
      </w:r>
      <w:r>
        <w:t xml:space="preserve">reversals. These can only be evaluated as stress tests</w:t>
      </w:r>
      <w:r>
        <w:t xml:space="preserve"> </w:t>
      </w:r>
      <w:r>
        <w:t xml:space="preserve">— whether the preferred decision retains its advantage</w:t>
      </w:r>
      <w:r>
        <w:t xml:space="preserve"> </w:t>
      </w:r>
      <w:r>
        <w:t xml:space="preserve">if the shock occurs. The robustness-first evaluation</w:t>
      </w:r>
      <w:r>
        <w:t xml:space="preserve"> </w:t>
      </w:r>
      <w:r>
        <w:t xml:space="preserve">philosophy addresses Layer 3 indirectly: decisions that</w:t>
      </w:r>
      <w:r>
        <w:t xml:space="preserve"> </w:t>
      </w:r>
      <w:r>
        <w:t xml:space="preserve">perform well across Layers 1 and 2 tend to be more</w:t>
      </w:r>
      <w:r>
        <w:t xml:space="preserve"> </w:t>
      </w:r>
      <w:r>
        <w:t xml:space="preserve">resilient to Layer 3 shocks than decisions optimised</w:t>
      </w:r>
      <w:r>
        <w:t xml:space="preserve"> </w:t>
      </w:r>
      <w:r>
        <w:t xml:space="preserve">for a single assumed future.</w:t>
      </w:r>
    </w:p>
    <w:p>
      <w:pPr>
        <w:pStyle w:val="BodyText"/>
      </w:pPr>
      <w:r>
        <w:t xml:space="preserve">The current PoC demonstrates Layer 1 treatment only.</w:t>
      </w:r>
      <w:r>
        <w:t xml:space="preserve"> </w:t>
      </w:r>
      <w:r>
        <w:t xml:space="preserve">Layer 2 structural scenario branching and Layer 3</w:t>
      </w:r>
      <w:r>
        <w:t xml:space="preserve"> </w:t>
      </w:r>
      <w:r>
        <w:t xml:space="preserve">stress testing are specified in the framework</w:t>
      </w:r>
      <w:r>
        <w:t xml:space="preserve"> </w:t>
      </w:r>
      <w:r>
        <w:t xml:space="preserve">architecture and represent natural extensions of the</w:t>
      </w:r>
      <w:r>
        <w:t xml:space="preserve"> </w:t>
      </w:r>
      <w:r>
        <w:t xml:space="preserve">current implementation.</w:t>
      </w:r>
    </w:p>
    <w:p>
      <w:r>
        <w:pict>
          <v:rect style="width:0;height:1.5pt" o:hralign="center" o:hrstd="t" o:hr="t"/>
        </w:pict>
      </w:r>
    </w:p>
    <w:bookmarkEnd w:id="20"/>
    <w:bookmarkStart w:id="25" w:name="proof-of-concept-edendalesouthland"/>
    <w:p>
      <w:pPr>
        <w:pStyle w:val="Heading2"/>
      </w:pPr>
      <w:r>
        <w:t xml:space="preserve">5. Proof of Concept: Edendale–Southland</w:t>
      </w:r>
    </w:p>
    <w:bookmarkStart w:id="21" w:name="decision-context"/>
    <w:p>
      <w:pPr>
        <w:pStyle w:val="Heading3"/>
      </w:pPr>
      <w:r>
        <w:t xml:space="preserve">5.1 Decision Context</w:t>
      </w:r>
    </w:p>
    <w:p>
      <w:pPr>
        <w:pStyle w:val="FirstParagraph"/>
      </w:pPr>
      <w:r>
        <w:t xml:space="preserve">The Fonterra Edendale dairy processing facility in</w:t>
      </w:r>
      <w:r>
        <w:t xml:space="preserve"> </w:t>
      </w:r>
      <w:r>
        <w:t xml:space="preserve">Southland, New Zealand, is one of New Zealand’s largest</w:t>
      </w:r>
      <w:r>
        <w:t xml:space="preserve"> </w:t>
      </w:r>
      <w:r>
        <w:t xml:space="preserve">industrial process heat consumers, with an annual heat</w:t>
      </w:r>
      <w:r>
        <w:t xml:space="preserve"> </w:t>
      </w:r>
      <w:r>
        <w:t xml:space="preserve">demand of approximately 819 GWh</w:t>
      </w:r>
      <w:r>
        <w:t xml:space="preserve"> </w:t>
      </w:r>
      <w:r>
        <w:t xml:space="preserve">(Energy Efficiency and Conservation Authority 2024a)</w:t>
      </w:r>
      <w:r>
        <w:t xml:space="preserve">. Coal</w:t>
      </w:r>
      <w:r>
        <w:t xml:space="preserve"> </w:t>
      </w:r>
      <w:r>
        <w:t xml:space="preserve">provides approximately 80% of process heat at baseline</w:t>
      </w:r>
      <w:r>
        <w:t xml:space="preserve"> </w:t>
      </w:r>
      <w:r>
        <w:t xml:space="preserve">(2020). New Zealand’s National Environmental Standards</w:t>
      </w:r>
      <w:r>
        <w:t xml:space="preserve"> </w:t>
      </w:r>
      <w:r>
        <w:t xml:space="preserve">mandate coal phase-out from industrial process heat by</w:t>
      </w:r>
      <w:r>
        <w:t xml:space="preserve"> </w:t>
      </w:r>
      <w:r>
        <w:t xml:space="preserve">2037. Two primary decarbonisation pathways are</w:t>
      </w:r>
      <w:r>
        <w:t xml:space="preserve"> </w:t>
      </w:r>
      <w:r>
        <w:t xml:space="preserve">available: full electrification via electric boilers</w:t>
      </w:r>
      <w:r>
        <w:t xml:space="preserve"> </w:t>
      </w:r>
      <w:r>
        <w:t xml:space="preserve">(EB pathway) or biomass substitution via biomass boilers</w:t>
      </w:r>
      <w:r>
        <w:t xml:space="preserve"> </w:t>
      </w:r>
      <w:r>
        <w:t xml:space="preserve">(BB pathway). The decision involves a capital commitment</w:t>
      </w:r>
      <w:r>
        <w:t xml:space="preserve"> </w:t>
      </w:r>
      <w:r>
        <w:t xml:space="preserve">with a 20+ year operational life and consequences that</w:t>
      </w:r>
      <w:r>
        <w:t xml:space="preserve"> </w:t>
      </w:r>
      <w:r>
        <w:t xml:space="preserve">propagate to the regional electricity network.</w:t>
      </w:r>
    </w:p>
    <w:bookmarkEnd w:id="21"/>
    <w:bookmarkStart w:id="22" w:name="analytical-pipeline"/>
    <w:p>
      <w:pPr>
        <w:pStyle w:val="Heading3"/>
      </w:pPr>
      <w:r>
        <w:t xml:space="preserve">5.2 Analytical Pipeline</w:t>
      </w:r>
    </w:p>
    <w:p>
      <w:pPr>
        <w:pStyle w:val="FirstParagraph"/>
      </w:pPr>
      <w:r>
        <w:t xml:space="preserve">The PoC implements five of the seven DCM layers.</w:t>
      </w:r>
    </w:p>
    <w:p>
      <w:pPr>
        <w:pStyle w:val="BodyText"/>
      </w:pPr>
      <w:r>
        <w:rPr>
          <w:b/>
          <w:bCs/>
        </w:rPr>
        <w:t xml:space="preserve">Demand construction (Layer 1):</w:t>
      </w:r>
      <w:r>
        <w:t xml:space="preserve"> </w:t>
      </w:r>
      <w:r>
        <w:t xml:space="preserve">A synthetic</w:t>
      </w:r>
      <w:r>
        <w:t xml:space="preserve"> </w:t>
      </w:r>
      <w:r>
        <w:t xml:space="preserve">DemandPack is constructed for each planning epoch</w:t>
      </w:r>
      <w:r>
        <w:t xml:space="preserve"> </w:t>
      </w:r>
      <w:r>
        <w:t xml:space="preserve">(2020, 2025, 2028, 2035) from EECA’s Regional Heat</w:t>
      </w:r>
      <w:r>
        <w:t xml:space="preserve"> </w:t>
      </w:r>
      <w:r>
        <w:t xml:space="preserve">Demand Database</w:t>
      </w:r>
      <w:r>
        <w:t xml:space="preserve"> </w:t>
      </w:r>
      <w:r>
        <w:t xml:space="preserve">(Energy Efficiency and Conservation Authority 2024a)</w:t>
      </w:r>
      <w:r>
        <w:t xml:space="preserve">, representing hourly</w:t>
      </w:r>
      <w:r>
        <w:t xml:space="preserve"> </w:t>
      </w:r>
      <w:r>
        <w:t xml:space="preserve">heat demand at 8,760-timestep annual resolution with</w:t>
      </w:r>
      <w:r>
        <w:t xml:space="preserve"> </w:t>
      </w:r>
      <w:r>
        <w:t xml:space="preserve">seasonal and operational variability.</w:t>
      </w:r>
    </w:p>
    <w:p>
      <w:pPr>
        <w:pStyle w:val="BodyText"/>
      </w:pPr>
      <w:r>
        <w:rPr>
          <w:b/>
          <w:bCs/>
        </w:rPr>
        <w:t xml:space="preserve">Site dispatch (Layer 2):</w:t>
      </w:r>
      <w:r>
        <w:t xml:space="preserve"> </w:t>
      </w:r>
      <w:r>
        <w:t xml:space="preserve">Proportional dispatch</w:t>
      </w:r>
      <w:r>
        <w:t xml:space="preserve"> </w:t>
      </w:r>
      <w:r>
        <w:t xml:space="preserve">allocates heat demand across committed technology units</w:t>
      </w:r>
      <w:r>
        <w:t xml:space="preserve"> </w:t>
      </w:r>
      <w:r>
        <w:t xml:space="preserve">in proportion to nameplate capacity — a cost function</w:t>
      </w:r>
      <w:r>
        <w:t xml:space="preserve"> </w:t>
      </w:r>
      <w:r>
        <w:t xml:space="preserve">approximation (CFA) in Powell’s policy class taxonomy</w:t>
      </w:r>
      <w:r>
        <w:t xml:space="preserve"> </w:t>
      </w:r>
      <w:r>
        <w:t xml:space="preserve">(Powell 2022)</w:t>
      </w:r>
      <w:r>
        <w:t xml:space="preserve">. Annual costs include fuel,</w:t>
      </w:r>
      <w:r>
        <w:t xml:space="preserve"> </w:t>
      </w:r>
      <w:r>
        <w:t xml:space="preserve">electricity tariffs, NZ ETS carbon costs, and fixed</w:t>
      </w:r>
      <w:r>
        <w:t xml:space="preserve"> </w:t>
      </w:r>
      <w:r>
        <w:t xml:space="preserve">and variable operation costs.</w:t>
      </w:r>
    </w:p>
    <w:p>
      <w:pPr>
        <w:pStyle w:val="BodyText"/>
      </w:pPr>
      <w:r>
        <w:rPr>
          <w:b/>
          <w:bCs/>
        </w:rPr>
        <w:t xml:space="preserve">GXP interface (Layer 3):</w:t>
      </w:r>
      <w:r>
        <w:t xml:space="preserve"> </w:t>
      </w:r>
      <w:r>
        <w:t xml:space="preserve">The SignalsPack carries</w:t>
      </w:r>
      <w:r>
        <w:t xml:space="preserve"> </w:t>
      </w:r>
      <w:r>
        <w:t xml:space="preserve">the hourly incremental electricity demand: the</w:t>
      </w:r>
      <w:r>
        <w:t xml:space="preserve"> </w:t>
      </w:r>
      <w:r>
        <w:t xml:space="preserve">difference between EB or BB electricity import and</w:t>
      </w:r>
      <w:r>
        <w:t xml:space="preserve"> </w:t>
      </w:r>
      <w:r>
        <w:t xml:space="preserve">the 2020 coal-baseline import. The EB pathway creates</w:t>
      </w:r>
      <w:r>
        <w:t xml:space="preserve"> </w:t>
      </w:r>
      <w:r>
        <w:t xml:space="preserve">a peak incremental demand of 133 MW at the</w:t>
      </w:r>
      <w:r>
        <w:t xml:space="preserve"> </w:t>
      </w:r>
      <w:r>
        <w:t xml:space="preserve">Mararoa-Waimea GXP (EDN0331); BB creates 95 MW.</w:t>
      </w:r>
      <w:r>
        <w:t xml:space="preserve"> </w:t>
      </w:r>
      <w:r>
        <w:t xml:space="preserve">Both signals are validated against EECA Southland</w:t>
      </w:r>
      <w:r>
        <w:t xml:space="preserve"> </w:t>
      </w:r>
      <w:r>
        <w:t xml:space="preserve">RETA headroom estimates</w:t>
      </w:r>
      <w:r>
        <w:t xml:space="preserve"> </w:t>
      </w:r>
      <w:r>
        <w:t xml:space="preserve">(Energy Efficiency and Conservation Authority 2022)</w:t>
      </w:r>
      <w:r>
        <w:t xml:space="preserve">.</w:t>
      </w:r>
    </w:p>
    <w:p>
      <w:pPr>
        <w:pStyle w:val="BodyText"/>
      </w:pPr>
      <w:r>
        <w:rPr>
          <w:b/>
          <w:bCs/>
        </w:rPr>
        <w:t xml:space="preserve">Regional screening (Layer 4):</w:t>
      </w:r>
      <w:r>
        <w:t xml:space="preserve"> </w:t>
      </w:r>
      <w:r>
        <w:t xml:space="preserve">For each future</w:t>
      </w:r>
      <w:r>
        <w:t xml:space="preserve"> </w:t>
      </w:r>
      <m:oMath>
        <m:r>
          <m:t>ω</m:t>
        </m:r>
      </m:oMath>
      <w:r>
        <w:t xml:space="preserve">, the incremental electricity signal is</w:t>
      </w:r>
      <w:r>
        <w:t xml:space="preserve"> </w:t>
      </w:r>
      <w:r>
        <w:t xml:space="preserve">compared against available GXP headroom scaled by</w:t>
      </w:r>
      <w:r>
        <w:t xml:space="preserve"> </w:t>
      </w:r>
      <w:r>
        <w:t xml:space="preserve">the headroom multiplier</w:t>
      </w:r>
      <w:r>
        <w:t xml:space="preserve"> </w:t>
      </w:r>
      <m:oMath>
        <m:sSubSup>
          <m:e>
            <m:r>
              <m:t>U</m:t>
            </m:r>
          </m:e>
          <m:sub>
            <m:r>
              <m:rPr>
                <m:nor/>
                <m:sty m:val="p"/>
              </m:rPr>
              <m:t>head</m:t>
            </m:r>
          </m:sub>
          <m:sup>
            <m:r>
              <m:t>ω</m:t>
            </m:r>
          </m:sup>
        </m:sSubSup>
      </m:oMath>
      <w:r>
        <w:t xml:space="preserve">.</w:t>
      </w:r>
      <w:r>
        <w:t xml:space="preserve"> </w:t>
      </w:r>
      <w:r>
        <w:t xml:space="preserve">Where the signal exceeds headroom, the minimum</w:t>
      </w:r>
      <w:r>
        <w:t xml:space="preserve"> </w:t>
      </w:r>
      <w:r>
        <w:t xml:space="preserve">sufficient upgrade is selected from four options</w:t>
      </w:r>
      <w:r>
        <w:t xml:space="preserve"> </w:t>
      </w:r>
      <w:r>
        <w:t xml:space="preserve">(N+21, N+32, N+97, N+150 MW) with declared capital</w:t>
      </w:r>
      <w:r>
        <w:t xml:space="preserve"> </w:t>
      </w:r>
      <w:r>
        <w:t xml:space="preserve">costs.</w:t>
      </w:r>
    </w:p>
    <w:p>
      <w:pPr>
        <w:pStyle w:val="BodyText"/>
      </w:pPr>
      <w:r>
        <w:rPr>
          <w:b/>
          <w:bCs/>
        </w:rPr>
        <w:t xml:space="preserve">DMDU evaluation (Layer 6):</w:t>
      </w:r>
      <w:r>
        <w:t xml:space="preserve"> </w:t>
      </w:r>
      <w:r>
        <w:t xml:space="preserve">System cost for each</w:t>
      </w:r>
      <w:r>
        <w:t xml:space="preserve"> </w:t>
      </w:r>
      <w:r>
        <w:t xml:space="preserve">pathway under each future combines site operating cost</w:t>
      </w:r>
      <w:r>
        <w:t xml:space="preserve"> </w:t>
      </w:r>
      <w:r>
        <w:t xml:space="preserve">and annualised upgrade capital cost (10-year</w:t>
      </w:r>
      <w:r>
        <w:t xml:space="preserve"> </w:t>
      </w:r>
      <w:r>
        <w:t xml:space="preserve">amortisation at 7% real discount rate). Regret,</w:t>
      </w:r>
      <w:r>
        <w:t xml:space="preserve"> </w:t>
      </w:r>
      <w:r>
        <w:t xml:space="preserve">satisficing rate, and win rate are computed across</w:t>
      </w:r>
      <w:r>
        <w:t xml:space="preserve"> </w:t>
      </w:r>
      <w:r>
        <w:t xml:space="preserve">the 100-future ensemble.</w:t>
      </w:r>
    </w:p>
    <w:bookmarkEnd w:id="22"/>
    <w:bookmarkStart w:id="23" w:name="ensemble-design"/>
    <w:p>
      <w:pPr>
        <w:pStyle w:val="Heading3"/>
      </w:pPr>
      <w:r>
        <w:t xml:space="preserve">5.3 Ensemble Design</w:t>
      </w:r>
    </w:p>
    <w:p>
      <w:pPr>
        <w:pStyle w:val="FirstParagraph"/>
      </w:pPr>
      <w:r>
        <w:t xml:space="preserve">The 100-future paired ensemble uses Latin Hypercube</w:t>
      </w:r>
      <w:r>
        <w:t xml:space="preserve"> </w:t>
      </w:r>
      <w:r>
        <w:t xml:space="preserve">Sampling across six uncertain multipliers, treated as</w:t>
      </w:r>
      <w:r>
        <w:t xml:space="preserve"> </w:t>
      </w:r>
      <w:r>
        <w:t xml:space="preserve">statistically independent draws. Multiplier ranges are</w:t>
      </w:r>
      <w:r>
        <w:t xml:space="preserve"> </w:t>
      </w:r>
      <w:r>
        <w:t xml:space="preserve">calibrated against TIMES-NZ 3.0 Steady/Shift scenario</w:t>
      </w:r>
      <w:r>
        <w:t xml:space="preserve"> </w:t>
      </w:r>
      <w:r>
        <w:t xml:space="preserve">bounds and EECA Southland RETA capacity estimates.</w:t>
      </w:r>
      <w:r>
        <w:t xml:space="preserve"> </w:t>
      </w:r>
      <w:r>
        <w:t xml:space="preserve">Futures are paired so that both EB and BB are</w:t>
      </w:r>
      <w:r>
        <w:t xml:space="preserve"> </w:t>
      </w:r>
      <w:r>
        <w:t xml:space="preserve">evaluated under identical multiplier draws, enabling</w:t>
      </w:r>
      <w:r>
        <w:t xml:space="preserve"> </w:t>
      </w:r>
      <w:r>
        <w:t xml:space="preserve">unambiguous pathway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Multiplier</w:t>
            </w:r>
          </w:p>
        </w:tc>
        <w:tc>
          <w:tcPr/>
          <w:p>
            <w:pPr>
              <w:pStyle w:val="Compact"/>
            </w:pPr>
            <w:r>
              <w:t xml:space="preserve">P10</w:t>
            </w:r>
          </w:p>
        </w:tc>
        <w:tc>
          <w:tcPr/>
          <w:p>
            <w:pPr>
              <w:pStyle w:val="Compact"/>
            </w:pPr>
            <w:r>
              <w:t xml:space="preserve">Median</w:t>
            </w:r>
          </w:p>
        </w:tc>
        <w:tc>
          <w:tcPr/>
          <w:p>
            <w:pPr>
              <w:pStyle w:val="Compact"/>
            </w:pPr>
            <w:r>
              <w:t xml:space="preserve">P90</w:t>
            </w:r>
          </w:p>
        </w:tc>
      </w:tr>
      <w:tr>
        <w:tc>
          <w:tcPr/>
          <w:p>
            <w:pPr>
              <w:pStyle w:val="Compact"/>
            </w:pPr>
            <w:r>
              <w:t xml:space="preserve">Electricity price</w:t>
            </w:r>
          </w:p>
        </w:tc>
        <w:tc>
          <w:tcPr/>
          <w:p>
            <w:pPr>
              <w:pStyle w:val="Compact"/>
            </w:pPr>
            <w:r>
              <w:t xml:space="preserve">0.785</w:t>
            </w:r>
          </w:p>
        </w:tc>
        <w:tc>
          <w:tcPr/>
          <w:p>
            <w:pPr>
              <w:pStyle w:val="Compact"/>
            </w:pPr>
            <w:r>
              <w:t xml:space="preserve">0.987</w:t>
            </w:r>
          </w:p>
        </w:tc>
        <w:tc>
          <w:tcPr/>
          <w:p>
            <w:pPr>
              <w:pStyle w:val="Compact"/>
            </w:pPr>
            <w:r>
              <w:t xml:space="preserve">1.184</w:t>
            </w:r>
          </w:p>
        </w:tc>
      </w:tr>
      <w:tr>
        <w:tc>
          <w:tcPr/>
          <w:p>
            <w:pPr>
              <w:pStyle w:val="Compact"/>
            </w:pPr>
            <w:r>
              <w:t xml:space="preserve">Biomass cost</w:t>
            </w:r>
          </w:p>
        </w:tc>
        <w:tc>
          <w:tcPr/>
          <w:p>
            <w:pPr>
              <w:pStyle w:val="Compact"/>
            </w:pPr>
            <w:r>
              <w:t xml:space="preserve">1.133</w:t>
            </w:r>
          </w:p>
        </w:tc>
        <w:tc>
          <w:tcPr/>
          <w:p>
            <w:pPr>
              <w:pStyle w:val="Compact"/>
            </w:pPr>
            <w:r>
              <w:t xml:space="preserve">1.486</w:t>
            </w:r>
          </w:p>
        </w:tc>
        <w:tc>
          <w:tcPr/>
          <w:p>
            <w:pPr>
              <w:pStyle w:val="Compact"/>
            </w:pPr>
            <w:r>
              <w:t xml:space="preserve">2.038</w:t>
            </w:r>
          </w:p>
        </w:tc>
      </w:tr>
      <w:tr>
        <w:tc>
          <w:tcPr/>
          <w:p>
            <w:pPr>
              <w:pStyle w:val="Compact"/>
            </w:pPr>
            <w:r>
              <w:t xml:space="preserve">ETS carbon price</w:t>
            </w:r>
          </w:p>
        </w:tc>
        <w:tc>
          <w:tcPr/>
          <w:p>
            <w:pPr>
              <w:pStyle w:val="Compact"/>
            </w:pPr>
            <w:r>
              <w:t xml:space="preserve">0.950</w:t>
            </w:r>
          </w:p>
        </w:tc>
        <w:tc>
          <w:tcPr/>
          <w:p>
            <w:pPr>
              <w:pStyle w:val="Compact"/>
            </w:pPr>
            <w:r>
              <w:t xml:space="preserve">1.275</w:t>
            </w:r>
          </w:p>
        </w:tc>
        <w:tc>
          <w:tcPr/>
          <w:p>
            <w:pPr>
              <w:pStyle w:val="Compact"/>
            </w:pPr>
            <w:r>
              <w:t xml:space="preserve">1.654</w:t>
            </w:r>
          </w:p>
        </w:tc>
      </w:tr>
      <w:tr>
        <w:tc>
          <w:tcPr/>
          <w:p>
            <w:pPr>
              <w:pStyle w:val="Compact"/>
            </w:pPr>
            <w:r>
              <w:t xml:space="preserve">GXP headroom capacity</w:t>
            </w:r>
          </w:p>
        </w:tc>
        <w:tc>
          <w:tcPr/>
          <w:p>
            <w:pPr>
              <w:pStyle w:val="Compact"/>
            </w:pPr>
            <w:r>
              <w:t xml:space="preserve">0.817</w:t>
            </w:r>
          </w:p>
        </w:tc>
        <w:tc>
          <w:tcPr/>
          <w:p>
            <w:pPr>
              <w:pStyle w:val="Compact"/>
            </w:pPr>
            <w:r>
              <w:t xml:space="preserve">0.890</w:t>
            </w:r>
          </w:p>
        </w:tc>
        <w:tc>
          <w:tcPr/>
          <w:p>
            <w:pPr>
              <w:pStyle w:val="Compact"/>
            </w:pPr>
            <w:r>
              <w:t xml:space="preserve">0.950</w:t>
            </w:r>
          </w:p>
        </w:tc>
      </w:tr>
      <w:tr>
        <w:tc>
          <w:tcPr/>
          <w:p>
            <w:pPr>
              <w:pStyle w:val="Compact"/>
            </w:pPr>
            <w:r>
              <w:t xml:space="preserve">Upgrade capital cost</w:t>
            </w:r>
          </w:p>
        </w:tc>
        <w:tc>
          <w:tcPr/>
          <w:p>
            <w:pPr>
              <w:pStyle w:val="Compact"/>
            </w:pPr>
            <w:r>
              <w:t xml:space="preserve">0.920</w:t>
            </w:r>
          </w:p>
        </w:tc>
        <w:tc>
          <w:tcPr/>
          <w:p>
            <w:pPr>
              <w:pStyle w:val="Compact"/>
            </w:pPr>
            <w:r>
              <w:t xml:space="preserve">1.071</w:t>
            </w:r>
          </w:p>
        </w:tc>
        <w:tc>
          <w:tcPr/>
          <w:p>
            <w:pPr>
              <w:pStyle w:val="Compact"/>
            </w:pPr>
            <w:r>
              <w:t xml:space="preserve">1.285</w:t>
            </w:r>
          </w:p>
        </w:tc>
      </w:tr>
      <w:tr>
        <w:tc>
          <w:tcPr/>
          <w:p>
            <w:pPr>
              <w:pStyle w:val="Compact"/>
            </w:pPr>
            <w:r>
              <w:t xml:space="preserve">Value of lost load</w:t>
            </w:r>
          </w:p>
        </w:tc>
        <w:tc>
          <w:tcPr/>
          <w:p>
            <w:pPr>
              <w:pStyle w:val="Compact"/>
            </w:pPr>
            <w:r>
              <w:t xml:space="preserve">10,000</w:t>
            </w:r>
          </w:p>
        </w:tc>
        <w:tc>
          <w:tcPr/>
          <w:p>
            <w:pPr>
              <w:pStyle w:val="Compact"/>
            </w:pPr>
            <w:r>
              <w:t xml:space="preserve">15,000</w:t>
            </w:r>
          </w:p>
        </w:tc>
        <w:tc>
          <w:tcPr/>
          <w:p>
            <w:pPr>
              <w:pStyle w:val="Compact"/>
            </w:pPr>
            <w:r>
              <w:t xml:space="preserve">20,000 NZD/MWh</w:t>
            </w:r>
          </w:p>
        </w:tc>
      </w:tr>
    </w:tbl>
    <w:p>
      <w:pPr>
        <w:pStyle w:val="BodyText"/>
      </w:pPr>
      <w:r>
        <w:t xml:space="preserve">The independence assumption across multipliers is</w:t>
      </w:r>
      <w:r>
        <w:t xml:space="preserve"> </w:t>
      </w:r>
      <w:r>
        <w:t xml:space="preserve">a simplifying approximation: in practice, electricity</w:t>
      </w:r>
      <w:r>
        <w:t xml:space="preserve"> </w:t>
      </w:r>
      <w:r>
        <w:t xml:space="preserve">price and GXP headroom may be positively correlated</w:t>
      </w:r>
      <w:r>
        <w:t xml:space="preserve"> </w:t>
      </w:r>
      <w:r>
        <w:t xml:space="preserve">through shared regional demand growth drivers. Relaxing</w:t>
      </w:r>
      <w:r>
        <w:t xml:space="preserve"> </w:t>
      </w:r>
      <w:r>
        <w:t xml:space="preserve">this assumption is a sensitivity analysis that the</w:t>
      </w:r>
      <w:r>
        <w:t xml:space="preserve"> </w:t>
      </w:r>
      <w:r>
        <w:t xml:space="preserve">progressive refinement framework would prioritise if</w:t>
      </w:r>
      <w:r>
        <w:t xml:space="preserve"> </w:t>
      </w:r>
      <w:r>
        <w:t xml:space="preserve">the headroom multiplier continues to dominate regret</w:t>
      </w:r>
      <w:r>
        <w:t xml:space="preserve"> </w:t>
      </w:r>
      <w:r>
        <w:t xml:space="preserve">sensitivity in subsequent ensemble designs.</w:t>
      </w:r>
    </w:p>
    <w:bookmarkEnd w:id="23"/>
    <w:bookmarkStart w:id="24" w:name="results"/>
    <w:p>
      <w:pPr>
        <w:pStyle w:val="Heading3"/>
      </w:pPr>
      <w:r>
        <w:t xml:space="preserve">5.4 Results</w:t>
      </w:r>
    </w:p>
    <w:p>
      <w:pPr>
        <w:pStyle w:val="FirstParagraph"/>
      </w:pPr>
      <w:r>
        <w:rPr>
          <w:b/>
          <w:bCs/>
        </w:rPr>
        <w:t xml:space="preserve">From within the facility boundary,</w:t>
      </w:r>
      <w:r>
        <w:t xml:space="preserve"> </w:t>
      </w:r>
      <w:r>
        <w:t xml:space="preserve">the comparison</w:t>
      </w:r>
      <w:r>
        <w:t xml:space="preserve"> </w:t>
      </w:r>
      <w:r>
        <w:t xml:space="preserve">appears as a cost-emissions trade-off with no</w:t>
      </w:r>
      <w:r>
        <w:t xml:space="preserve"> </w:t>
      </w:r>
      <w:r>
        <w:t xml:space="preserve">infrastructure complexity. The BB pathway carries a</w:t>
      </w:r>
      <w:r>
        <w:t xml:space="preserve"> </w:t>
      </w:r>
      <w:r>
        <w:t xml:space="preserve">private cost advantage of NZD 14.2M/year (NZD 76.8M</w:t>
      </w:r>
      <w:r>
        <w:t xml:space="preserve"> </w:t>
      </w:r>
      <w:r>
        <w:t xml:space="preserve">versus NZD 91.0M annual site cost), while EB eliminates</w:t>
      </w:r>
      <w:r>
        <w:t xml:space="preserve"> </w:t>
      </w:r>
      <w:r>
        <w:t xml:space="preserve">direct CO₂ emissions entirely. Both pathways require</w:t>
      </w:r>
      <w:r>
        <w:t xml:space="preserve"> </w:t>
      </w:r>
      <w:r>
        <w:t xml:space="preserve">grid connection; neither triggers visible infrastructure</w:t>
      </w:r>
      <w:r>
        <w:t xml:space="preserve"> </w:t>
      </w:r>
      <w:r>
        <w:t xml:space="preserve">costs within the site boundary. Conventional site-</w:t>
      </w:r>
      <w:r>
        <w:t xml:space="preserve"> </w:t>
      </w:r>
      <w:r>
        <w:t xml:space="preserve">boundary analysis frames the decision as: choose BB</w:t>
      </w:r>
      <w:r>
        <w:t xml:space="preserve"> </w:t>
      </w:r>
      <w:r>
        <w:t xml:space="preserve">for cost advantage, choose EB for zero direct emissions.</w:t>
      </w:r>
    </w:p>
    <w:p>
      <w:pPr>
        <w:pStyle w:val="BodyText"/>
      </w:pPr>
      <w:r>
        <w:rPr>
          <w:b/>
          <w:bCs/>
        </w:rPr>
        <w:t xml:space="preserve">When the decision boundary includes regional grid</w:t>
      </w:r>
      <w:r>
        <w:rPr>
          <w:b/>
          <w:bCs/>
        </w:rPr>
        <w:t xml:space="preserve"> </w:t>
      </w:r>
      <w:r>
        <w:rPr>
          <w:b/>
          <w:bCs/>
        </w:rPr>
        <w:t xml:space="preserve">infrastructure,</w:t>
      </w:r>
      <w:r>
        <w:t xml:space="preserve"> </w:t>
      </w:r>
      <w:r>
        <w:t xml:space="preserve">the picture changes structurally.</w:t>
      </w:r>
      <w:r>
        <w:t xml:space="preserve"> </w:t>
      </w:r>
      <w:r>
        <w:t xml:space="preserve">Under the EB pathway, 100 of 100 futures require a</w:t>
      </w:r>
      <w:r>
        <w:t xml:space="preserve"> </w:t>
      </w:r>
      <w:r>
        <w:t xml:space="preserve">grid upgrade — 51 requiring N+97 MW (NZD 28.5M capex)</w:t>
      </w:r>
      <w:r>
        <w:t xml:space="preserve"> </w:t>
      </w:r>
      <w:r>
        <w:t xml:space="preserve">and 49 requiring N+150 MW (NZD 52.0M capex, the</w:t>
      </w:r>
      <w:r>
        <w:t xml:space="preserve"> </w:t>
      </w:r>
      <w:r>
        <w:t xml:space="preserve">major subtransmission reinforcement class). The BB</w:t>
      </w:r>
      <w:r>
        <w:t xml:space="preserve"> </w:t>
      </w:r>
      <w:r>
        <w:t xml:space="preserve">pathway requires N+97 MW in all 100 futures but never</w:t>
      </w:r>
      <w:r>
        <w:t xml:space="preserve"> </w:t>
      </w:r>
      <w:r>
        <w:t xml:space="preserve">triggers the N+150 MW class. The difference is the</w:t>
      </w:r>
      <w:r>
        <w:t xml:space="preserve"> </w:t>
      </w:r>
      <w:r>
        <w:t xml:space="preserve">38 MW gap in peak incremental demand between pathways</w:t>
      </w:r>
      <w:r>
        <w:t xml:space="preserve"> </w:t>
      </w:r>
      <w:r>
        <w:t xml:space="preserve">(133 MW for EB, 95 MW for BB), which is sufficient</w:t>
      </w:r>
      <w:r>
        <w:t xml:space="preserve"> </w:t>
      </w:r>
      <w:r>
        <w:t xml:space="preserve">to cross the N+150 MW upgrade threshold in 49% of</w:t>
      </w:r>
      <w:r>
        <w:t xml:space="preserve"> </w:t>
      </w:r>
      <w:r>
        <w:t xml:space="preserve">futures under EB. The GXP headroom multiplier is</w:t>
      </w:r>
      <w:r>
        <w:t xml:space="preserve"> </w:t>
      </w:r>
      <w:r>
        <w:t xml:space="preserve">the primary driver of this split: in futures where</w:t>
      </w:r>
      <w:r>
        <w:t xml:space="preserve"> </w:t>
      </w:r>
      <w:r>
        <w:t xml:space="preserve">headroom is tighter, EB more frequently triggers the</w:t>
      </w:r>
      <w:r>
        <w:t xml:space="preserve"> </w:t>
      </w:r>
      <w:r>
        <w:t xml:space="preserve">costlier upgrade class.</w:t>
      </w:r>
    </w:p>
    <w:p>
      <w:pPr>
        <w:pStyle w:val="BodyText"/>
      </w:pPr>
      <w:r>
        <w:rPr>
          <w:b/>
          <w:bCs/>
        </w:rPr>
        <w:t xml:space="preserve">System-cost robustness results</w:t>
      </w:r>
      <w:r>
        <w:t xml:space="preserve"> </w:t>
      </w:r>
      <w:r>
        <w:t xml:space="preserve">(Table 1) show BB</w:t>
      </w:r>
      <w:r>
        <w:t xml:space="preserve"> </w:t>
      </w:r>
      <w:r>
        <w:t xml:space="preserve">preferred in 93 of 100 futures. EB’s satisficing</w:t>
      </w:r>
      <w:r>
        <w:t xml:space="preserve"> </w:t>
      </w:r>
      <w:r>
        <w:t xml:space="preserve">rate is 35% versus BB’s 88%. EB’s maximum regret</w:t>
      </w:r>
      <w:r>
        <w:t xml:space="preserve"> </w:t>
      </w:r>
      <w:r>
        <w:t xml:space="preserve">is NZD 18.9M/year; BB’s maximum regret is</w:t>
      </w:r>
      <w:r>
        <w:t xml:space="preserve"> </w:t>
      </w:r>
      <w:r>
        <w:t xml:space="preserve">NZD 4.5M/year. EB carries 49% exposure to the N+150</w:t>
      </w:r>
      <w:r>
        <w:t xml:space="preserve"> </w:t>
      </w:r>
      <w:r>
        <w:t xml:space="preserve">MW upgrade class; BB carries zero.</w:t>
      </w:r>
    </w:p>
    <w:p>
      <w:pPr>
        <w:pStyle w:val="BodyText"/>
      </w:pPr>
      <w:r>
        <w:rPr>
          <w:b/>
          <w:bCs/>
        </w:rPr>
        <w:t xml:space="preserve">Table 1: Robustness comparison — EB and BB pathways,</w:t>
      </w:r>
      <w:r>
        <w:rPr>
          <w:b/>
          <w:bCs/>
        </w:rPr>
        <w:t xml:space="preserve"> </w:t>
      </w:r>
      <w:r>
        <w:rPr>
          <w:b/>
          <w:bCs/>
        </w:rPr>
        <w:t xml:space="preserve">100-future paired ensemble, Edendale–Southland PoC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EB</w:t>
            </w:r>
          </w:p>
        </w:tc>
        <w:tc>
          <w:tcPr/>
          <w:p>
            <w:pPr>
              <w:pStyle w:val="Compact"/>
            </w:pPr>
            <w:r>
              <w:t xml:space="preserve">BB</w:t>
            </w:r>
          </w:p>
        </w:tc>
      </w:tr>
      <w:tr>
        <w:tc>
          <w:tcPr/>
          <w:p>
            <w:pPr>
              <w:pStyle w:val="Compact"/>
            </w:pPr>
            <w:r>
              <w:t xml:space="preserve">Annual site cost (NZD M/yr)</w:t>
            </w:r>
          </w:p>
        </w:tc>
        <w:tc>
          <w:tcPr/>
          <w:p>
            <w:pPr>
              <w:pStyle w:val="Compact"/>
            </w:pPr>
            <w:r>
              <w:t xml:space="preserve">91.0</w:t>
            </w:r>
          </w:p>
        </w:tc>
        <w:tc>
          <w:tcPr/>
          <w:p>
            <w:pPr>
              <w:pStyle w:val="Compact"/>
            </w:pPr>
            <w:r>
              <w:t xml:space="preserve">76.8</w:t>
            </w:r>
          </w:p>
        </w:tc>
      </w:tr>
      <w:tr>
        <w:tc>
          <w:tcPr/>
          <w:p>
            <w:pPr>
              <w:pStyle w:val="Compact"/>
            </w:pPr>
            <w:r>
              <w:t xml:space="preserve">Direct CO₂ (tCO₂/yr)</w:t>
            </w:r>
          </w:p>
        </w:tc>
        <w:tc>
          <w:tcPr/>
          <w:p>
            <w:pPr>
              <w:pStyle w:val="Compact"/>
            </w:pPr>
            <w:r>
              <w:t xml:space="preserve">0</w:t>
            </w:r>
          </w:p>
        </w:tc>
        <w:tc>
          <w:tcPr/>
          <w:p>
            <w:pPr>
              <w:pStyle w:val="Compact"/>
            </w:pPr>
            <w:r>
              <w:t xml:space="preserve">1,610</w:t>
            </w:r>
          </w:p>
        </w:tc>
      </w:tr>
      <w:tr>
        <w:tc>
          <w:tcPr/>
          <w:p>
            <w:pPr>
              <w:pStyle w:val="Compact"/>
            </w:pPr>
            <w:r>
              <w:t xml:space="preserve">Satisficing rate</w:t>
            </w:r>
          </w:p>
        </w:tc>
        <w:tc>
          <w:tcPr/>
          <w:p>
            <w:pPr>
              <w:pStyle w:val="Compact"/>
            </w:pPr>
            <w:r>
              <w:t xml:space="preserve">35%</w:t>
            </w:r>
          </w:p>
        </w:tc>
        <w:tc>
          <w:tcPr/>
          <w:p>
            <w:pPr>
              <w:pStyle w:val="Compact"/>
            </w:pPr>
            <w:r>
              <w:t xml:space="preserve">88%</w:t>
            </w:r>
          </w:p>
        </w:tc>
      </w:tr>
      <w:tr>
        <w:tc>
          <w:tcPr/>
          <w:p>
            <w:pPr>
              <w:pStyle w:val="Compact"/>
            </w:pPr>
            <w:r>
              <w:t xml:space="preserve">Mean system regret (NZD M/yr)</w:t>
            </w:r>
          </w:p>
        </w:tc>
        <w:tc>
          <w:tcPr/>
          <w:p>
            <w:pPr>
              <w:pStyle w:val="Compact"/>
            </w:pPr>
            <w:r>
              <w:t xml:space="preserve">8.8</w:t>
            </w:r>
          </w:p>
        </w:tc>
        <w:tc>
          <w:tcPr/>
          <w:p>
            <w:pPr>
              <w:pStyle w:val="Compact"/>
            </w:pPr>
            <w:r>
              <w:t xml:space="preserve">0.1</w:t>
            </w:r>
          </w:p>
        </w:tc>
      </w:tr>
      <w:tr>
        <w:tc>
          <w:tcPr/>
          <w:p>
            <w:pPr>
              <w:pStyle w:val="Compact"/>
            </w:pPr>
            <w:r>
              <w:t xml:space="preserve">Maximum regret (NZD M/yr)</w:t>
            </w:r>
          </w:p>
        </w:tc>
        <w:tc>
          <w:tcPr/>
          <w:p>
            <w:pPr>
              <w:pStyle w:val="Compact"/>
            </w:pPr>
            <w:r>
              <w:t xml:space="preserve">18.9</w:t>
            </w:r>
          </w:p>
        </w:tc>
        <w:tc>
          <w:tcPr/>
          <w:p>
            <w:pPr>
              <w:pStyle w:val="Compact"/>
            </w:pPr>
            <w:r>
              <w:t xml:space="preserve">4.5</w:t>
            </w:r>
          </w:p>
        </w:tc>
      </w:tr>
      <w:tr>
        <w:tc>
          <w:tcPr/>
          <w:p>
            <w:pPr>
              <w:pStyle w:val="Compact"/>
            </w:pPr>
            <w:r>
              <w:t xml:space="preserve">N+150 MW upgrade exposure</w:t>
            </w:r>
          </w:p>
        </w:tc>
        <w:tc>
          <w:tcPr/>
          <w:p>
            <w:pPr>
              <w:pStyle w:val="Compact"/>
            </w:pPr>
            <w:r>
              <w:t xml:space="preserve">49%</w:t>
            </w:r>
          </w:p>
        </w:tc>
        <w:tc>
          <w:tcPr/>
          <w:p>
            <w:pPr>
              <w:pStyle w:val="Compact"/>
            </w:pPr>
            <w:r>
              <w:t xml:space="preserve">0%</w:t>
            </w:r>
          </w:p>
        </w:tc>
      </w:tr>
      <w:tr>
        <w:tc>
          <w:tcPr/>
          <w:p>
            <w:pPr>
              <w:pStyle w:val="Compact"/>
            </w:pPr>
            <w:r>
              <w:t xml:space="preserve">System-cost win rate</w:t>
            </w:r>
          </w:p>
        </w:tc>
        <w:tc>
          <w:tcPr/>
          <w:p>
            <w:pPr>
              <w:pStyle w:val="Compact"/>
            </w:pPr>
            <w:r>
              <w:t xml:space="preserve">7%</w:t>
            </w:r>
          </w:p>
        </w:tc>
        <w:tc>
          <w:tcPr/>
          <w:p>
            <w:pPr>
              <w:pStyle w:val="Compact"/>
            </w:pPr>
            <w:r>
              <w:t xml:space="preserve">93%</w:t>
            </w:r>
          </w:p>
        </w:tc>
      </w:tr>
    </w:tbl>
    <w:p>
      <w:pPr>
        <w:pStyle w:val="BodyText"/>
      </w:pPr>
      <w:r>
        <w:t xml:space="preserve">The private cost advantage of BB (NZD 14.2M/year lower</w:t>
      </w:r>
      <w:r>
        <w:t xml:space="preserve"> </w:t>
      </w:r>
      <w:r>
        <w:t xml:space="preserve">site cost) is reinforced, not reversed, by the system-</w:t>
      </w:r>
      <w:r>
        <w:t xml:space="preserve"> </w:t>
      </w:r>
      <w:r>
        <w:t xml:space="preserve">level perspective. The EB pathway’s infrastructure-</w:t>
      </w:r>
      <w:r>
        <w:t xml:space="preserve"> </w:t>
      </w:r>
      <w:r>
        <w:t xml:space="preserve">conditional cost penalty — absent from site-boundary</w:t>
      </w:r>
      <w:r>
        <w:t xml:space="preserve"> </w:t>
      </w:r>
      <w:r>
        <w:t xml:space="preserve">analysis — materialises when the decision boundary</w:t>
      </w:r>
      <w:r>
        <w:t xml:space="preserve"> </w:t>
      </w:r>
      <w:r>
        <w:t xml:space="preserve">is drawn to include the regional grid.</w:t>
      </w:r>
    </w:p>
    <w:p>
      <w:r>
        <w:pict>
          <v:rect style="width:0;height:1.5pt" o:hralign="center" o:hrstd="t" o:hr="t"/>
        </w:pict>
      </w:r>
    </w:p>
    <w:bookmarkEnd w:id="24"/>
    <w:bookmarkEnd w:id="25"/>
    <w:bookmarkStart w:id="29" w:name="discussion"/>
    <w:p>
      <w:pPr>
        <w:pStyle w:val="Heading2"/>
      </w:pPr>
      <w:r>
        <w:t xml:space="preserve">6. Discussion</w:t>
      </w:r>
    </w:p>
    <w:bookmarkStart w:id="26" w:name="what-the-boundary-placement-changes"/>
    <w:p>
      <w:pPr>
        <w:pStyle w:val="Heading3"/>
      </w:pPr>
      <w:r>
        <w:t xml:space="preserve">6.1 What the Boundary Placement Changes</w:t>
      </w:r>
    </w:p>
    <w:p>
      <w:pPr>
        <w:pStyle w:val="FirstParagraph"/>
      </w:pPr>
      <w:r>
        <w:t xml:space="preserve">The EB/BB comparison produces different recommendations</w:t>
      </w:r>
      <w:r>
        <w:t xml:space="preserve"> </w:t>
      </w:r>
      <w:r>
        <w:t xml:space="preserve">depending on where the analytical boundary is drawn.</w:t>
      </w:r>
      <w:r>
        <w:t xml:space="preserve"> </w:t>
      </w:r>
      <w:r>
        <w:t xml:space="preserve">This is the primary finding, and it has a specific</w:t>
      </w:r>
      <w:r>
        <w:t xml:space="preserve"> </w:t>
      </w:r>
      <w:r>
        <w:t xml:space="preserve">mechanism: the 38 MW difference in peak incremental</w:t>
      </w:r>
      <w:r>
        <w:t xml:space="preserve"> </w:t>
      </w:r>
      <w:r>
        <w:t xml:space="preserve">demand between pathways is sufficient to shift the grid</w:t>
      </w:r>
      <w:r>
        <w:t xml:space="preserve"> </w:t>
      </w:r>
      <w:r>
        <w:t xml:space="preserve">upgrade class in 49% of futures. This upgrade class</w:t>
      </w:r>
      <w:r>
        <w:t xml:space="preserve"> </w:t>
      </w:r>
      <w:r>
        <w:t xml:space="preserve">difference is the infrastructure-conditional consequence</w:t>
      </w:r>
      <w:r>
        <w:t xml:space="preserve"> </w:t>
      </w:r>
      <w:r>
        <w:t xml:space="preserve">that site-boundary analysis cannot represent.</w:t>
      </w:r>
    </w:p>
    <w:p>
      <w:pPr>
        <w:pStyle w:val="BodyText"/>
      </w:pPr>
      <w:r>
        <w:t xml:space="preserve">It is worth stating precisely what this result does and</w:t>
      </w:r>
      <w:r>
        <w:t xml:space="preserve"> </w:t>
      </w:r>
      <w:r>
        <w:t xml:space="preserve">does not show. It does not show that EB is the wrong</w:t>
      </w:r>
      <w:r>
        <w:t xml:space="preserve"> </w:t>
      </w:r>
      <w:r>
        <w:t xml:space="preserve">choice — in 7 of 100 futures, EB produces a lower</w:t>
      </w:r>
      <w:r>
        <w:t xml:space="preserve"> </w:t>
      </w:r>
      <w:r>
        <w:t xml:space="preserve">system cost, and it eliminates direct emissions</w:t>
      </w:r>
      <w:r>
        <w:t xml:space="preserve"> </w:t>
      </w:r>
      <w:r>
        <w:t xml:space="preserve">entirely. It shows that the comparison between pathways</w:t>
      </w:r>
      <w:r>
        <w:t xml:space="preserve"> </w:t>
      </w:r>
      <w:r>
        <w:t xml:space="preserve">is materially different when infrastructure</w:t>
      </w:r>
      <w:r>
        <w:t xml:space="preserve"> </w:t>
      </w:r>
      <w:r>
        <w:t xml:space="preserve">consequences are within the analytical scope, and that</w:t>
      </w:r>
      <w:r>
        <w:t xml:space="preserve"> </w:t>
      </w:r>
      <w:r>
        <w:t xml:space="preserve">the difference favours BB in 93 of 100 futures under</w:t>
      </w:r>
      <w:r>
        <w:t xml:space="preserve"> </w:t>
      </w:r>
      <w:r>
        <w:t xml:space="preserve">the declared ensemble design. The extent to which this</w:t>
      </w:r>
      <w:r>
        <w:t xml:space="preserve"> </w:t>
      </w:r>
      <w:r>
        <w:t xml:space="preserve">result is robust to ensemble design choices —</w:t>
      </w:r>
      <w:r>
        <w:t xml:space="preserve"> </w:t>
      </w:r>
      <w:r>
        <w:t xml:space="preserve">particularly the independence assumption between</w:t>
      </w:r>
      <w:r>
        <w:t xml:space="preserve"> </w:t>
      </w:r>
      <w:r>
        <w:t xml:space="preserve">multipliers and the headroom multiplier range — should</w:t>
      </w:r>
      <w:r>
        <w:t xml:space="preserve"> </w:t>
      </w:r>
      <w:r>
        <w:t xml:space="preserve">be tested in any operational application.</w:t>
      </w:r>
    </w:p>
    <w:p>
      <w:pPr>
        <w:pStyle w:val="BodyText"/>
      </w:pPr>
      <w:r>
        <w:t xml:space="preserve">The result also illustrates the specific inadequacy of</w:t>
      </w:r>
      <w:r>
        <w:t xml:space="preserve"> </w:t>
      </w:r>
      <w:r>
        <w:t xml:space="preserve">national-scale scenario analysis for this class of</w:t>
      </w:r>
      <w:r>
        <w:t xml:space="preserve"> </w:t>
      </w:r>
      <w:r>
        <w:t xml:space="preserve">decision. TIMES-NZ 3.0’s Steady/Shift scenarios provide</w:t>
      </w:r>
      <w:r>
        <w:t xml:space="preserve"> </w:t>
      </w:r>
      <w:r>
        <w:t xml:space="preserve">valuable macroeconomic framing, but neither scenario</w:t>
      </w:r>
      <w:r>
        <w:t xml:space="preserve"> </w:t>
      </w:r>
      <w:r>
        <w:t xml:space="preserve">can resolve the GXP-level hosting capacity question</w:t>
      </w:r>
      <w:r>
        <w:t xml:space="preserve"> </w:t>
      </w:r>
      <w:r>
        <w:t xml:space="preserve">that determines the upgrade class in any specific</w:t>
      </w:r>
      <w:r>
        <w:t xml:space="preserve"> </w:t>
      </w:r>
      <w:r>
        <w:t xml:space="preserve">future. The 8,760-timestep hourly analysis at the GXP</w:t>
      </w:r>
      <w:r>
        <w:t xml:space="preserve"> </w:t>
      </w:r>
      <w:r>
        <w:t xml:space="preserve">level is not a refinement of national modelling — it</w:t>
      </w:r>
      <w:r>
        <w:t xml:space="preserve"> </w:t>
      </w:r>
      <w:r>
        <w:t xml:space="preserve">operates at a different analytical scale that the</w:t>
      </w:r>
      <w:r>
        <w:t xml:space="preserve"> </w:t>
      </w:r>
      <w:r>
        <w:t xml:space="preserve">national model was not designed to replicate.</w:t>
      </w:r>
    </w:p>
    <w:bookmarkEnd w:id="26"/>
    <w:bookmarkStart w:id="27" w:name="limitations"/>
    <w:p>
      <w:pPr>
        <w:pStyle w:val="Heading3"/>
      </w:pPr>
      <w:r>
        <w:t xml:space="preserve">6.2 Limitations</w:t>
      </w:r>
    </w:p>
    <w:p>
      <w:pPr>
        <w:pStyle w:val="FirstParagraph"/>
      </w:pPr>
      <w:r>
        <w:t xml:space="preserve">Three limitations of the current PoC are declared in</w:t>
      </w:r>
      <w:r>
        <w:t xml:space="preserve"> </w:t>
      </w:r>
      <w:r>
        <w:t xml:space="preserve">the analytical scope specification.</w:t>
      </w:r>
    </w:p>
    <w:p>
      <w:pPr>
        <w:pStyle w:val="BodyText"/>
      </w:pPr>
      <w:r>
        <w:rPr>
          <w:b/>
          <w:bCs/>
        </w:rPr>
        <w:t xml:space="preserve">One-pass coupling.</w:t>
      </w:r>
      <w:r>
        <w:t xml:space="preserve"> </w:t>
      </w:r>
      <w:r>
        <w:t xml:space="preserve">Site dispatch and regional</w:t>
      </w:r>
      <w:r>
        <w:t xml:space="preserve"> </w:t>
      </w:r>
      <w:r>
        <w:t xml:space="preserve">screening run in sequence without iterative feedback.</w:t>
      </w:r>
      <w:r>
        <w:t xml:space="preserve"> </w:t>
      </w:r>
      <w:r>
        <w:t xml:space="preserve">Upgrade costs do not influence technology dispatch</w:t>
      </w:r>
      <w:r>
        <w:t xml:space="preserve"> </w:t>
      </w:r>
      <w:r>
        <w:t xml:space="preserve">decisions. Iterative multi-pass coupling would capture</w:t>
      </w:r>
      <w:r>
        <w:t xml:space="preserve"> </w:t>
      </w:r>
      <w:r>
        <w:t xml:space="preserve">these feedback effects at the cost of computational</w:t>
      </w:r>
      <w:r>
        <w:t xml:space="preserve"> </w:t>
      </w:r>
      <w:r>
        <w:t xml:space="preserve">tractability.</w:t>
      </w:r>
    </w:p>
    <w:p>
      <w:pPr>
        <w:pStyle w:val="BodyText"/>
      </w:pPr>
      <w:r>
        <w:rPr>
          <w:b/>
          <w:bCs/>
        </w:rPr>
        <w:t xml:space="preserve">Proportional dispatch.</w:t>
      </w:r>
      <w:r>
        <w:t xml:space="preserve"> </w:t>
      </w:r>
      <w:r>
        <w:t xml:space="preserve">The CFA dispatch rule</w:t>
      </w:r>
      <w:r>
        <w:t xml:space="preserve"> </w:t>
      </w:r>
      <w:r>
        <w:t xml:space="preserve">produces the correct qualitative comparison ranking for</w:t>
      </w:r>
      <w:r>
        <w:t xml:space="preserve"> </w:t>
      </w:r>
      <w:r>
        <w:t xml:space="preserve">a dairy processing facility with well-characterised</w:t>
      </w:r>
      <w:r>
        <w:t xml:space="preserve"> </w:t>
      </w:r>
      <w:r>
        <w:t xml:space="preserve">operational patterns. Scheduling-grade dispatch would</w:t>
      </w:r>
      <w:r>
        <w:t xml:space="preserve"> </w:t>
      </w:r>
      <w:r>
        <w:t xml:space="preserve">be needed for fine-grained operational analysis or for</w:t>
      </w:r>
      <w:r>
        <w:t xml:space="preserve"> </w:t>
      </w:r>
      <w:r>
        <w:t xml:space="preserve">facilities with more complex demand profiles.</w:t>
      </w:r>
    </w:p>
    <w:p>
      <w:pPr>
        <w:pStyle w:val="BodyText"/>
      </w:pPr>
      <w:r>
        <w:rPr>
          <w:b/>
          <w:bCs/>
        </w:rPr>
        <w:t xml:space="preserve">Stylised regional screening.</w:t>
      </w:r>
      <w:r>
        <w:t xml:space="preserve"> </w:t>
      </w:r>
      <w:r>
        <w:t xml:space="preserve">The regional module</w:t>
      </w:r>
      <w:r>
        <w:t xml:space="preserve"> </w:t>
      </w:r>
      <w:r>
        <w:t xml:space="preserve">uses capacity-multiplier scaling from EECA headroom</w:t>
      </w:r>
      <w:r>
        <w:t xml:space="preserve"> </w:t>
      </w:r>
      <w:r>
        <w:t xml:space="preserve">estimates rather than a full network power flow model.</w:t>
      </w:r>
      <w:r>
        <w:t xml:space="preserve"> </w:t>
      </w:r>
      <w:r>
        <w:t xml:space="preserve">The progressive refinement diagnostics identify this as</w:t>
      </w:r>
      <w:r>
        <w:t xml:space="preserve"> </w:t>
      </w:r>
      <w:r>
        <w:t xml:space="preserve">the highest-priority development step: the headroom</w:t>
      </w:r>
      <w:r>
        <w:t xml:space="preserve"> </w:t>
      </w:r>
      <w:r>
        <w:t xml:space="preserve">multiplier drives more of the EB/BB regret sensitivity</w:t>
      </w:r>
      <w:r>
        <w:t xml:space="preserve"> </w:t>
      </w:r>
      <w:r>
        <w:t xml:space="preserve">than any other uncertain driver.</w:t>
      </w:r>
    </w:p>
    <w:bookmarkEnd w:id="27"/>
    <w:bookmarkStart w:id="28" w:name="generalisability"/>
    <w:p>
      <w:pPr>
        <w:pStyle w:val="Heading3"/>
      </w:pPr>
      <w:r>
        <w:t xml:space="preserve">6.3 Generalisability</w:t>
      </w:r>
    </w:p>
    <w:p>
      <w:pPr>
        <w:pStyle w:val="FirstParagraph"/>
      </w:pPr>
      <w:r>
        <w:t xml:space="preserve">The framework’s three architectural principles —</w:t>
      </w:r>
      <w:r>
        <w:t xml:space="preserve"> </w:t>
      </w:r>
      <w:r>
        <w:t xml:space="preserve">decision-first boundary specification, thin-waist</w:t>
      </w:r>
      <w:r>
        <w:t xml:space="preserve"> </w:t>
      </w:r>
      <w:r>
        <w:t xml:space="preserve">artefact governance, ensemble evaluation under deep</w:t>
      </w:r>
      <w:r>
        <w:t xml:space="preserve"> </w:t>
      </w:r>
      <w:r>
        <w:t xml:space="preserve">uncertainty — are domain-general. The Southland case</w:t>
      </w:r>
      <w:r>
        <w:t xml:space="preserve"> </w:t>
      </w:r>
      <w:r>
        <w:t xml:space="preserve">demonstrates their application to industrial process</w:t>
      </w:r>
      <w:r>
        <w:t xml:space="preserve"> </w:t>
      </w:r>
      <w:r>
        <w:t xml:space="preserve">heat decarbonisation. The same principles apply wherever</w:t>
      </w:r>
      <w:r>
        <w:t xml:space="preserve"> </w:t>
      </w:r>
      <w:r>
        <w:t xml:space="preserve">long-horizon commitments create consequences that cross</w:t>
      </w:r>
      <w:r>
        <w:t xml:space="preserve"> </w:t>
      </w:r>
      <w:r>
        <w:t xml:space="preserve">convenient physical system boundaries: water</w:t>
      </w:r>
      <w:r>
        <w:t xml:space="preserve"> </w:t>
      </w:r>
      <w:r>
        <w:t xml:space="preserve">infrastructure planning, regional transport investment,</w:t>
      </w:r>
      <w:r>
        <w:t xml:space="preserve"> </w:t>
      </w:r>
      <w:r>
        <w:t xml:space="preserve">corporate sustainability strategy, national energy</w:t>
      </w:r>
      <w:r>
        <w:t xml:space="preserve"> </w:t>
      </w:r>
      <w:r>
        <w:t xml:space="preserve">transition pathways.</w:t>
      </w:r>
    </w:p>
    <w:p>
      <w:pPr>
        <w:pStyle w:val="BodyText"/>
      </w:pPr>
      <w:r>
        <w:t xml:space="preserve">The structural condition that makes the DCM approach</w:t>
      </w:r>
      <w:r>
        <w:t xml:space="preserve"> </w:t>
      </w:r>
      <w:r>
        <w:t xml:space="preserve">relevant is not specific to energy: it is present in</w:t>
      </w:r>
      <w:r>
        <w:t xml:space="preserve"> </w:t>
      </w:r>
      <w:r>
        <w:t xml:space="preserve">any decision whose consequences propagate across</w:t>
      </w:r>
      <w:r>
        <w:t xml:space="preserve"> </w:t>
      </w:r>
      <w:r>
        <w:t xml:space="preserve">scales and whose time horizon exceeds the predictive</w:t>
      </w:r>
      <w:r>
        <w:t xml:space="preserve"> </w:t>
      </w:r>
      <w:r>
        <w:t xml:space="preserve">validity of probability-based forecasting.</w:t>
      </w:r>
    </w:p>
    <w:p>
      <w:r>
        <w:pict>
          <v:rect style="width:0;height:1.5pt" o:hralign="center" o:hrstd="t" o:hr="t"/>
        </w:pict>
      </w:r>
    </w:p>
    <w:bookmarkEnd w:id="28"/>
    <w:bookmarkEnd w:id="29"/>
    <w:bookmarkStart w:id="30" w:name="conclusions"/>
    <w:p>
      <w:pPr>
        <w:pStyle w:val="Heading2"/>
      </w:pPr>
      <w:r>
        <w:t xml:space="preserve">7. Conclusions</w:t>
      </w:r>
    </w:p>
    <w:p>
      <w:pPr>
        <w:pStyle w:val="FirstParagraph"/>
      </w:pPr>
      <w:r>
        <w:t xml:space="preserve">Three conclusions follow from this analysis.</w:t>
      </w:r>
    </w:p>
    <w:p>
      <w:pPr>
        <w:pStyle w:val="BodyText"/>
      </w:pPr>
      <w:r>
        <w:rPr>
          <w:b/>
          <w:bCs/>
        </w:rPr>
        <w:t xml:space="preserve">Analytical boundary placement is a consequential</w:t>
      </w:r>
      <w:r>
        <w:rPr>
          <w:b/>
          <w:bCs/>
        </w:rPr>
        <w:t xml:space="preserve"> </w:t>
      </w:r>
      <w:r>
        <w:rPr>
          <w:b/>
          <w:bCs/>
        </w:rPr>
        <w:t xml:space="preserve">modelling choice.</w:t>
      </w:r>
      <w:r>
        <w:t xml:space="preserve"> </w:t>
      </w:r>
      <w:r>
        <w:t xml:space="preserve">Drawing the boundary around the</w:t>
      </w:r>
      <w:r>
        <w:t xml:space="preserve"> </w:t>
      </w:r>
      <w:r>
        <w:t xml:space="preserve">facility produces one recommendation; drawing it around</w:t>
      </w:r>
      <w:r>
        <w:t xml:space="preserve"> </w:t>
      </w:r>
      <w:r>
        <w:t xml:space="preserve">the decision produces a materially different comparison</w:t>
      </w:r>
      <w:r>
        <w:t xml:space="preserve"> </w:t>
      </w:r>
      <w:r>
        <w:t xml:space="preserve">in 93 of 100 plausible futures. The difference is not</w:t>
      </w:r>
      <w:r>
        <w:t xml:space="preserve"> </w:t>
      </w:r>
      <w:r>
        <w:t xml:space="preserve">model error — it is the structural consequence of what</w:t>
      </w:r>
      <w:r>
        <w:t xml:space="preserve"> </w:t>
      </w:r>
      <w:r>
        <w:t xml:space="preserve">the model was designed to see.</w:t>
      </w:r>
    </w:p>
    <w:p>
      <w:pPr>
        <w:pStyle w:val="BodyText"/>
      </w:pPr>
      <w:r>
        <w:rPr>
          <w:b/>
          <w:bCs/>
        </w:rPr>
        <w:t xml:space="preserve">Modular architecture makes multi-scale decision</w:t>
      </w:r>
      <w:r>
        <w:rPr>
          <w:b/>
          <w:bCs/>
        </w:rPr>
        <w:t xml:space="preserve"> </w:t>
      </w:r>
      <w:r>
        <w:rPr>
          <w:b/>
          <w:bCs/>
        </w:rPr>
        <w:t xml:space="preserve">analysis tractable.</w:t>
      </w:r>
      <w:r>
        <w:t xml:space="preserve"> </w:t>
      </w:r>
      <w:r>
        <w:t xml:space="preserve">Each layer can be developed,</w:t>
      </w:r>
      <w:r>
        <w:t xml:space="preserve"> </w:t>
      </w:r>
      <w:r>
        <w:t xml:space="preserve">validated, and replaced independently. Progressive</w:t>
      </w:r>
      <w:r>
        <w:t xml:space="preserve"> </w:t>
      </w:r>
      <w:r>
        <w:t xml:space="preserve">refinement governed by regret diagnostics ensures</w:t>
      </w:r>
      <w:r>
        <w:t xml:space="preserve"> </w:t>
      </w:r>
      <w:r>
        <w:t xml:space="preserve">analytical investment is directed where it most changes</w:t>
      </w:r>
      <w:r>
        <w:t xml:space="preserve"> </w:t>
      </w:r>
      <w:r>
        <w:t xml:space="preserve">the decision-relevant comparison.</w:t>
      </w:r>
    </w:p>
    <w:p>
      <w:pPr>
        <w:pStyle w:val="BodyText"/>
      </w:pPr>
      <w:r>
        <w:rPr>
          <w:b/>
          <w:bCs/>
        </w:rPr>
        <w:t xml:space="preserve">Regret, robustness, and satisficing are appropriate</w:t>
      </w:r>
      <w:r>
        <w:rPr>
          <w:b/>
          <w:bCs/>
        </w:rPr>
        <w:t xml:space="preserve"> </w:t>
      </w:r>
      <w:r>
        <w:rPr>
          <w:b/>
          <w:bCs/>
        </w:rPr>
        <w:t xml:space="preserve">evaluative standards under deep uncertainty.</w:t>
      </w:r>
      <w:r>
        <w:t xml:space="preserve"> </w:t>
      </w:r>
      <w:r>
        <w:t xml:space="preserve">When</w:t>
      </w:r>
      <w:r>
        <w:t xml:space="preserve"> </w:t>
      </w:r>
      <w:r>
        <w:t xml:space="preserve">probability distributions over futures cannot be</w:t>
      </w:r>
      <w:r>
        <w:t xml:space="preserve"> </w:t>
      </w:r>
      <w:r>
        <w:t xml:space="preserve">defended, expected value optimisation is not available</w:t>
      </w:r>
      <w:r>
        <w:t xml:space="preserve"> </w:t>
      </w:r>
      <w:r>
        <w:t xml:space="preserve">as an evaluative standard. The DCM framework</w:t>
      </w:r>
      <w:r>
        <w:t xml:space="preserve"> </w:t>
      </w:r>
      <w:r>
        <w:t xml:space="preserve">operationalises the alternative standards in a</w:t>
      </w:r>
      <w:r>
        <w:t xml:space="preserve"> </w:t>
      </w:r>
      <w:r>
        <w:t xml:space="preserve">reproducible, auditable analytical chain.</w:t>
      </w:r>
    </w:p>
    <w:p>
      <w:pPr>
        <w:pStyle w:val="BodyText"/>
      </w:pPr>
      <w:r>
        <w:t xml:space="preserve">The framework is open-access at</w:t>
      </w:r>
      <w:r>
        <w:t xml:space="preserve"> </w:t>
      </w:r>
      <w:r>
        <w:t xml:space="preserve">https://ahmad-mahmoudi-coder.github.io/DCM/.</w:t>
      </w:r>
      <w:r>
        <w:t xml:space="preserve"> </w:t>
      </w:r>
      <w:r>
        <w:t xml:space="preserve">Proof-of-concept data and pipeline documentation are</w:t>
      </w:r>
      <w:r>
        <w:t xml:space="preserve"> </w:t>
      </w:r>
      <w:r>
        <w:t xml:space="preserve">available in the associated GitHub repository. Domain</w:t>
      </w:r>
      <w:r>
        <w:t xml:space="preserve"> </w:t>
      </w:r>
      <w:r>
        <w:t xml:space="preserve">extensions to other infrastructure planning contexts</w:t>
      </w:r>
      <w:r>
        <w:t xml:space="preserve"> </w:t>
      </w:r>
      <w:r>
        <w:t xml:space="preserve">are invited through the community contribution</w:t>
      </w:r>
      <w:r>
        <w:t xml:space="preserve"> </w:t>
      </w:r>
      <w:r>
        <w:t xml:space="preserve">architecture documented at the platform.</w:t>
      </w:r>
    </w:p>
    <w:p>
      <w:r>
        <w:pict>
          <v:rect style="width:0;height:1.5pt" o:hralign="center" o:hrstd="t" o:hr="t"/>
        </w:pict>
      </w:r>
    </w:p>
    <w:bookmarkEnd w:id="30"/>
    <w:bookmarkStart w:id="31" w:name="acknowledgements"/>
    <w:p>
      <w:pPr>
        <w:pStyle w:val="Heading2"/>
      </w:pPr>
      <w:r>
        <w:t xml:space="preserve">Acknowledgements</w:t>
      </w:r>
    </w:p>
    <w:p>
      <w:pPr>
        <w:pStyle w:val="FirstParagraph"/>
      </w:pPr>
      <w:r>
        <w:t xml:space="preserve">The author thanks supervisors Michael Protheroe and</w:t>
      </w:r>
      <w:r>
        <w:t xml:space="preserve"> </w:t>
      </w:r>
      <w:r>
        <w:t xml:space="preserve">Michael Gschwendtner at Auckland University of</w:t>
      </w:r>
      <w:r>
        <w:t xml:space="preserve"> </w:t>
      </w:r>
      <w:r>
        <w:t xml:space="preserve">Technology for guidance throughout the PhD research</w:t>
      </w:r>
      <w:r>
        <w:t xml:space="preserve"> </w:t>
      </w:r>
      <w:r>
        <w:t xml:space="preserve">programme from which this work derives. The</w:t>
      </w:r>
      <w:r>
        <w:t xml:space="preserve"> </w:t>
      </w:r>
      <w:r>
        <w:t xml:space="preserve">proof-of-concept analysis uses data from the Energy</w:t>
      </w:r>
      <w:r>
        <w:t xml:space="preserve"> </w:t>
      </w:r>
      <w:r>
        <w:t xml:space="preserve">Efficiency and Conservation Authority (EECA) Regional</w:t>
      </w:r>
      <w:r>
        <w:t xml:space="preserve"> </w:t>
      </w:r>
      <w:r>
        <w:t xml:space="preserve">Energy Transition Accelerator programme. The author</w:t>
      </w:r>
      <w:r>
        <w:t xml:space="preserve"> </w:t>
      </w:r>
      <w:r>
        <w:t xml:space="preserve">is solely responsible for the analytical framework,</w:t>
      </w:r>
      <w:r>
        <w:t xml:space="preserve"> </w:t>
      </w:r>
      <w:r>
        <w:t xml:space="preserve">its implementation, and the interpretations presented.</w:t>
      </w:r>
    </w:p>
    <w:p>
      <w:r>
        <w:pict>
          <v:rect style="width:0;height:1.5pt" o:hralign="center" o:hrstd="t" o:hr="t"/>
        </w:pict>
      </w:r>
    </w:p>
    <w:bookmarkEnd w:id="31"/>
    <w:bookmarkStart w:id="55" w:name="references"/>
    <w:p>
      <w:pPr>
        <w:pStyle w:val="Heading2"/>
      </w:pPr>
      <w:r>
        <w:t xml:space="preserve">References</w:t>
      </w:r>
    </w:p>
    <w:bookmarkStart w:id="54" w:name="refs"/>
    <w:bookmarkStart w:id="32" w:name="ref-eeca2024southland"/>
    <w:p>
      <w:pPr>
        <w:pStyle w:val="Bibliography"/>
      </w:pPr>
      <w:r>
        <w:t xml:space="preserve">Energy Efficiency and Conservation Authority. 2022.</w:t>
      </w:r>
      <w:r>
        <w:t xml:space="preserve"> </w:t>
      </w:r>
      <w:r>
        <w:rPr>
          <w:i/>
          <w:iCs/>
        </w:rPr>
        <w:t xml:space="preserve">Regional Energy Transition Accelerator (RETA) Southland – Phase One Report</w:t>
      </w:r>
      <w:r>
        <w:t xml:space="preserve">.</w:t>
      </w:r>
    </w:p>
    <w:bookmarkEnd w:id="32"/>
    <w:bookmarkStart w:id="34" w:name="ref-eeca2024rhdd"/>
    <w:p>
      <w:pPr>
        <w:pStyle w:val="Bibliography"/>
      </w:pPr>
      <w:r>
        <w:t xml:space="preserve">Energy Efficiency and Conservation Authority. 2024a.</w:t>
      </w:r>
      <w:r>
        <w:t xml:space="preserve"> </w:t>
      </w:r>
      <w:r>
        <w:rPr>
          <w:i/>
          <w:iCs/>
        </w:rPr>
        <w:t xml:space="preserve">Regional Heat Demand Database</w:t>
      </w:r>
      <w:r>
        <w:t xml:space="preserve">.</w:t>
      </w:r>
      <w:r>
        <w:t xml:space="preserve"> </w:t>
      </w:r>
      <w:hyperlink r:id="rId33">
        <w:r>
          <w:rPr>
            <w:rStyle w:val="Hyperlink"/>
          </w:rPr>
          <w:t xml:space="preserve">https://www.eeca.govt.nz/insights/data-tools/regional-heat-demand-database/</w:t>
        </w:r>
      </w:hyperlink>
      <w:r>
        <w:t xml:space="preserve">.</w:t>
      </w:r>
    </w:p>
    <w:bookmarkEnd w:id="34"/>
    <w:bookmarkStart w:id="36" w:name="ref-eeca2024timesnz"/>
    <w:p>
      <w:pPr>
        <w:pStyle w:val="Bibliography"/>
      </w:pPr>
      <w:r>
        <w:t xml:space="preserve">Energy Efficiency and Conservation Authority. 2024b.</w:t>
      </w:r>
      <w:r>
        <w:t xml:space="preserve"> </w:t>
      </w:r>
      <w:r>
        <w:rPr>
          <w:i/>
          <w:iCs/>
        </w:rPr>
        <w:t xml:space="preserve">TIMES-NZ 3.0: New Zealand Energy Scenarios</w:t>
      </w:r>
      <w:r>
        <w:t xml:space="preserve">.</w:t>
      </w:r>
      <w:r>
        <w:t xml:space="preserve"> </w:t>
      </w:r>
      <w:hyperlink r:id="rId35">
        <w:r>
          <w:rPr>
            <w:rStyle w:val="Hyperlink"/>
          </w:rPr>
          <w:t xml:space="preserve">https://www.eeca.govt.nz/insights/data-tools/new-zealand-energy-scenarios-times-nz/</w:t>
        </w:r>
      </w:hyperlink>
      <w:r>
        <w:t xml:space="preserve">.</w:t>
      </w:r>
    </w:p>
    <w:bookmarkEnd w:id="36"/>
    <w:bookmarkStart w:id="38" w:name="ref-haasnoot2013dynamic"/>
    <w:p>
      <w:pPr>
        <w:pStyle w:val="Bibliography"/>
      </w:pPr>
      <w:r>
        <w:t xml:space="preserve">Haasnoot, Marjolijn, Jan H. Kwakkel, Warren E. Walker, and Jasper ter Maat. 2013.</w:t>
      </w:r>
      <w:r>
        <w:t xml:space="preserve"> </w:t>
      </w:r>
      <w:r>
        <w:t xml:space="preserve">“Dynamic Adaptive Policy Pathways: A Method for Crafting Robust Decisions for a Deeply Uncertain World.”</w:t>
      </w:r>
      <w:r>
        <w:t xml:space="preserve"> </w:t>
      </w:r>
      <w:r>
        <w:rPr>
          <w:i/>
          <w:iCs/>
        </w:rPr>
        <w:t xml:space="preserve">Global Environmental Change</w:t>
      </w:r>
      <w:r>
        <w:t xml:space="preserve"> </w:t>
      </w:r>
      <w:r>
        <w:t xml:space="preserve">23 (2): 485–98.</w:t>
      </w:r>
      <w:r>
        <w:t xml:space="preserve"> </w:t>
      </w:r>
      <w:hyperlink r:id="rId37">
        <w:r>
          <w:rPr>
            <w:rStyle w:val="Hyperlink"/>
          </w:rPr>
          <w:t xml:space="preserve">https://doi.org/10.1016/j.gloenvcha.2012.12.006</w:t>
        </w:r>
      </w:hyperlink>
      <w:r>
        <w:t xml:space="preserve">.</w:t>
      </w:r>
    </w:p>
    <w:bookmarkEnd w:id="38"/>
    <w:bookmarkStart w:id="39" w:name="ref-herbst2012introduction"/>
    <w:p>
      <w:pPr>
        <w:pStyle w:val="Bibliography"/>
      </w:pPr>
      <w:r>
        <w:t xml:space="preserve">Herbst, Antje, Felipe Toro, Felix Reitze, and Eberhard Jochem. 2012.</w:t>
      </w:r>
      <w:r>
        <w:t xml:space="preserve"> </w:t>
      </w:r>
      <w:r>
        <w:rPr>
          <w:i/>
          <w:iCs/>
        </w:rPr>
        <w:t xml:space="preserve">Introduction to Energy Systems Modelling</w:t>
      </w:r>
      <w:r>
        <w:t xml:space="preserve">.</w:t>
      </w:r>
    </w:p>
    <w:bookmarkEnd w:id="39"/>
    <w:bookmarkStart w:id="40" w:name="ref-knight1921risk"/>
    <w:p>
      <w:pPr>
        <w:pStyle w:val="Bibliography"/>
      </w:pPr>
      <w:r>
        <w:t xml:space="preserve">Knight, Frank H. 1921.</w:t>
      </w:r>
      <w:r>
        <w:t xml:space="preserve"> </w:t>
      </w:r>
      <w:r>
        <w:rPr>
          <w:i/>
          <w:iCs/>
        </w:rPr>
        <w:t xml:space="preserve">Risk, Uncertainty and Profit</w:t>
      </w:r>
      <w:r>
        <w:t xml:space="preserve">. Houghton Mifflin.</w:t>
      </w:r>
    </w:p>
    <w:bookmarkEnd w:id="40"/>
    <w:bookmarkStart w:id="42" w:name="ref-kwakkel2016comparing"/>
    <w:p>
      <w:pPr>
        <w:pStyle w:val="Bibliography"/>
      </w:pPr>
      <w:r>
        <w:t xml:space="preserve">Kwakkel, Jan H., Marjolijn Haasnoot, and Warren E. Walker. 2016.</w:t>
      </w:r>
      <w:r>
        <w:t xml:space="preserve"> </w:t>
      </w:r>
      <w:r>
        <w:t xml:space="preserve">“Comparing Robust Decision-Making and Dynamic Adaptive Policy Pathways for Model-Based Decision Support Under Deep Uncertainty.”</w:t>
      </w:r>
      <w:r>
        <w:t xml:space="preserve"> </w:t>
      </w:r>
      <w:r>
        <w:rPr>
          <w:i/>
          <w:iCs/>
        </w:rPr>
        <w:t xml:space="preserve">Environmental Modelling and Software</w:t>
      </w:r>
      <w:r>
        <w:t xml:space="preserve"> </w:t>
      </w:r>
      <w:r>
        <w:t xml:space="preserve">86: 168–83.</w:t>
      </w:r>
      <w:r>
        <w:t xml:space="preserve"> </w:t>
      </w:r>
      <w:hyperlink r:id="rId41">
        <w:r>
          <w:rPr>
            <w:rStyle w:val="Hyperlink"/>
          </w:rPr>
          <w:t xml:space="preserve">https://doi.org/10.1016/j.envsoft.2016.09.017</w:t>
        </w:r>
      </w:hyperlink>
      <w:r>
        <w:t xml:space="preserve">.</w:t>
      </w:r>
    </w:p>
    <w:bookmarkEnd w:id="42"/>
    <w:bookmarkStart w:id="44" w:name="ref-lahijani2025modelling"/>
    <w:p>
      <w:pPr>
        <w:pStyle w:val="Bibliography"/>
      </w:pPr>
      <w:r>
        <w:t xml:space="preserve">Lahijani, Ahmad Mahmoudi, Mike D. Protheroe, and Michael Gschwendtner. 2025.</w:t>
      </w:r>
      <w:r>
        <w:t xml:space="preserve"> </w:t>
      </w:r>
      <w:r>
        <w:t xml:space="preserve">“A Modelling Tool Selection for Decarbonising Industrial Process Heat Systems.”</w:t>
      </w:r>
      <w:r>
        <w:t xml:space="preserve"> </w:t>
      </w:r>
      <w:r>
        <w:rPr>
          <w:i/>
          <w:iCs/>
        </w:rPr>
        <w:t xml:space="preserve">Renewable and Sustainable Energy Reviews</w:t>
      </w:r>
      <w:r>
        <w:t xml:space="preserve"> </w:t>
      </w:r>
      <w:r>
        <w:t xml:space="preserve">210: 115149.</w:t>
      </w:r>
      <w:r>
        <w:t xml:space="preserve"> </w:t>
      </w:r>
      <w:hyperlink r:id="rId43">
        <w:r>
          <w:rPr>
            <w:rStyle w:val="Hyperlink"/>
          </w:rPr>
          <w:t xml:space="preserve">https://doi.org/10.1016/j.rser.2024.115149</w:t>
        </w:r>
      </w:hyperlink>
      <w:r>
        <w:t xml:space="preserve">.</w:t>
      </w:r>
    </w:p>
    <w:bookmarkEnd w:id="44"/>
    <w:bookmarkStart w:id="45" w:name="ref-lempert2003shaping"/>
    <w:p>
      <w:pPr>
        <w:pStyle w:val="Bibliography"/>
      </w:pPr>
      <w:r>
        <w:t xml:space="preserve">Lempert, Robert J., Steven W. Popper, and Steven C. Bankes. 2003.</w:t>
      </w:r>
      <w:r>
        <w:t xml:space="preserve"> </w:t>
      </w:r>
      <w:r>
        <w:rPr>
          <w:i/>
          <w:iCs/>
        </w:rPr>
        <w:t xml:space="preserve">Shaping the Next One Hundred Years: New Methods for Quantitative, Long-Term Policy Analysis</w:t>
      </w:r>
      <w:r>
        <w:t xml:space="preserve">. RAND Corporation.</w:t>
      </w:r>
    </w:p>
    <w:bookmarkEnd w:id="45"/>
    <w:bookmarkStart w:id="47" w:name="ref-marchau2019decision"/>
    <w:p>
      <w:pPr>
        <w:pStyle w:val="Bibliography"/>
      </w:pPr>
      <w:r>
        <w:t xml:space="preserve">Marchau, Vincent A. W. J., Warren E. Walker, Pieter J. T. M. Bloemen, and Steven W. Popper. 2019.</w:t>
      </w:r>
      <w:r>
        <w:t xml:space="preserve"> </w:t>
      </w:r>
      <w:r>
        <w:rPr>
          <w:i/>
          <w:iCs/>
        </w:rPr>
        <w:t xml:space="preserve">Decision Making Under Deep Uncertainty: From Theory to Practice</w:t>
      </w:r>
      <w:r>
        <w:t xml:space="preserve">. Springer.</w:t>
      </w:r>
      <w:r>
        <w:t xml:space="preserve"> </w:t>
      </w:r>
      <w:hyperlink r:id="rId46">
        <w:r>
          <w:rPr>
            <w:rStyle w:val="Hyperlink"/>
          </w:rPr>
          <w:t xml:space="preserve">https://doi.org/10.1007/978-3-030-05252-2</w:t>
        </w:r>
      </w:hyperlink>
      <w:r>
        <w:t xml:space="preserve">.</w:t>
      </w:r>
    </w:p>
    <w:bookmarkEnd w:id="47"/>
    <w:bookmarkStart w:id="49" w:name="ref-pfenninger2018importance"/>
    <w:p>
      <w:pPr>
        <w:pStyle w:val="Bibliography"/>
      </w:pPr>
      <w:r>
        <w:t xml:space="preserve">Pfenninger, Stefan, Joseph DeCarolis, Lion Hirth, Sylvain Quoilin, and Iain Staffell. 2018.</w:t>
      </w:r>
      <w:r>
        <w:t xml:space="preserve"> </w:t>
      </w:r>
      <w:r>
        <w:t xml:space="preserve">“The Importance of Open Data and Software: Is Energy Research Lagging Behind?”</w:t>
      </w:r>
      <w:r>
        <w:t xml:space="preserve"> </w:t>
      </w:r>
      <w:r>
        <w:rPr>
          <w:i/>
          <w:iCs/>
        </w:rPr>
        <w:t xml:space="preserve">Energy Policy</w:t>
      </w:r>
      <w:r>
        <w:t xml:space="preserve"> </w:t>
      </w:r>
      <w:r>
        <w:t xml:space="preserve">101: 211–15.</w:t>
      </w:r>
      <w:r>
        <w:t xml:space="preserve"> </w:t>
      </w:r>
      <w:hyperlink r:id="rId48">
        <w:r>
          <w:rPr>
            <w:rStyle w:val="Hyperlink"/>
          </w:rPr>
          <w:t xml:space="preserve">https://doi.org/10.1016/j.enpol.2016.11.046</w:t>
        </w:r>
      </w:hyperlink>
      <w:r>
        <w:t xml:space="preserve">.</w:t>
      </w:r>
    </w:p>
    <w:bookmarkEnd w:id="49"/>
    <w:bookmarkStart w:id="51" w:name="ref-powell2022sequential"/>
    <w:p>
      <w:pPr>
        <w:pStyle w:val="Bibliography"/>
      </w:pPr>
      <w:r>
        <w:t xml:space="preserve">Powell, Warren B. 2022.</w:t>
      </w:r>
      <w:r>
        <w:t xml:space="preserve"> </w:t>
      </w:r>
      <w:r>
        <w:rPr>
          <w:i/>
          <w:iCs/>
        </w:rPr>
        <w:t xml:space="preserve">Sequential Decision Analytics and Modeling</w:t>
      </w:r>
      <w:r>
        <w:t xml:space="preserve">. Now Publishers.</w:t>
      </w:r>
      <w:r>
        <w:t xml:space="preserve"> </w:t>
      </w:r>
      <w:hyperlink r:id="rId50">
        <w:r>
          <w:rPr>
            <w:rStyle w:val="Hyperlink"/>
          </w:rPr>
          <w:t xml:space="preserve">https://castlelab.princeton.edu/SDAM</w:t>
        </w:r>
      </w:hyperlink>
      <w:r>
        <w:t xml:space="preserve">.</w:t>
      </w:r>
    </w:p>
    <w:bookmarkEnd w:id="51"/>
    <w:bookmarkStart w:id="53" w:name="ref-simon1955behavioral"/>
    <w:p>
      <w:pPr>
        <w:pStyle w:val="Bibliography"/>
      </w:pPr>
      <w:r>
        <w:t xml:space="preserve">Simon, Herbert A. 1955.</w:t>
      </w:r>
      <w:r>
        <w:t xml:space="preserve"> </w:t>
      </w:r>
      <w:r>
        <w:t xml:space="preserve">“A Behavioral Model of Rational Choice.”</w:t>
      </w:r>
      <w:r>
        <w:t xml:space="preserve"> </w:t>
      </w:r>
      <w:r>
        <w:rPr>
          <w:i/>
          <w:iCs/>
        </w:rPr>
        <w:t xml:space="preserve">Quarterly Journal of Economics</w:t>
      </w:r>
      <w:r>
        <w:t xml:space="preserve"> </w:t>
      </w:r>
      <w:r>
        <w:t xml:space="preserve">69 (1): 99–118.</w:t>
      </w:r>
      <w:r>
        <w:t xml:space="preserve"> </w:t>
      </w:r>
      <w:hyperlink r:id="rId52">
        <w:r>
          <w:rPr>
            <w:rStyle w:val="Hyperlink"/>
          </w:rPr>
          <w:t xml:space="preserve">https://doi.org/10.2307/1884852</w:t>
        </w:r>
      </w:hyperlink>
      <w:r>
        <w:t xml:space="preserve">.</w:t>
      </w:r>
    </w:p>
    <w:bookmarkEnd w:id="53"/>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0" Target="https://castlelab.princeton.edu/SDAM" TargetMode="External" /><Relationship Type="http://schemas.openxmlformats.org/officeDocument/2006/relationships/hyperlink" Id="rId46" Target="https://doi.org/10.1007/978-3-030-05252-2" TargetMode="External" /><Relationship Type="http://schemas.openxmlformats.org/officeDocument/2006/relationships/hyperlink" Id="rId48" Target="https://doi.org/10.1016/j.enpol.2016.11.046" TargetMode="External" /><Relationship Type="http://schemas.openxmlformats.org/officeDocument/2006/relationships/hyperlink" Id="rId41" Target="https://doi.org/10.1016/j.envsoft.2016.09.017" TargetMode="External" /><Relationship Type="http://schemas.openxmlformats.org/officeDocument/2006/relationships/hyperlink" Id="rId37" Target="https://doi.org/10.1016/j.gloenvcha.2012.12.006" TargetMode="External" /><Relationship Type="http://schemas.openxmlformats.org/officeDocument/2006/relationships/hyperlink" Id="rId43" Target="https://doi.org/10.1016/j.rser.2024.115149" TargetMode="External" /><Relationship Type="http://schemas.openxmlformats.org/officeDocument/2006/relationships/hyperlink" Id="rId52" Target="https://doi.org/10.2307/1884852" TargetMode="External" /><Relationship Type="http://schemas.openxmlformats.org/officeDocument/2006/relationships/hyperlink" Id="rId35" Target="https://www.eeca.govt.nz/insights/data-tools/new-zealand-energy-scenarios-times-nz/" TargetMode="External" /><Relationship Type="http://schemas.openxmlformats.org/officeDocument/2006/relationships/hyperlink" Id="rId33" Target="https://www.eeca.govt.nz/insights/data-tools/regional-heat-demand-database/" TargetMode="External" /></Relationships>
</file>

<file path=word/_rels/footnotes.xml.rels><?xml version="1.0" encoding="UTF-8"?><Relationships xmlns="http://schemas.openxmlformats.org/package/2006/relationships"><Relationship Type="http://schemas.openxmlformats.org/officeDocument/2006/relationships/hyperlink" Id="rId50" Target="https://castlelab.princeton.edu/SDAM" TargetMode="External" /><Relationship Type="http://schemas.openxmlformats.org/officeDocument/2006/relationships/hyperlink" Id="rId46" Target="https://doi.org/10.1007/978-3-030-05252-2" TargetMode="External" /><Relationship Type="http://schemas.openxmlformats.org/officeDocument/2006/relationships/hyperlink" Id="rId48" Target="https://doi.org/10.1016/j.enpol.2016.11.046" TargetMode="External" /><Relationship Type="http://schemas.openxmlformats.org/officeDocument/2006/relationships/hyperlink" Id="rId41" Target="https://doi.org/10.1016/j.envsoft.2016.09.017" TargetMode="External" /><Relationship Type="http://schemas.openxmlformats.org/officeDocument/2006/relationships/hyperlink" Id="rId37" Target="https://doi.org/10.1016/j.gloenvcha.2012.12.006" TargetMode="External" /><Relationship Type="http://schemas.openxmlformats.org/officeDocument/2006/relationships/hyperlink" Id="rId43" Target="https://doi.org/10.1016/j.rser.2024.115149" TargetMode="External" /><Relationship Type="http://schemas.openxmlformats.org/officeDocument/2006/relationships/hyperlink" Id="rId52" Target="https://doi.org/10.2307/1884852" TargetMode="External" /><Relationship Type="http://schemas.openxmlformats.org/officeDocument/2006/relationships/hyperlink" Id="rId35" Target="https://www.eeca.govt.nz/insights/data-tools/new-zealand-energy-scenarios-times-nz/" TargetMode="External" /><Relationship Type="http://schemas.openxmlformats.org/officeDocument/2006/relationships/hyperlink" Id="rId33" Target="https://www.eeca.govt.nz/insights/data-tools/regional-heat-demand-databas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Decision-Centred Modelling</dc:title>
  <dc:creator/>
  <cp:keywords>deep uncertainty, decision-centred modelling, industrial decarbonisation, robust decision making, modular energy systems, process heat, New Zealand</cp:keywords>
  <dcterms:created xsi:type="dcterms:W3CDTF">2026-05-26T06:12:26Z</dcterms:created>
  <dcterms:modified xsi:type="dcterms:W3CDTF">2026-05-26T06:12:26Z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Long-horizon infrastructure decisions face a structural analytical problem distinct from insufficient physical detail: when a model draws its boundary around the physical system being analysed, the consequences that cross that boundary — infrastructure-conditional costs, cross-scale demand propagation, regional network constraints — become analytically inaccessible. For decisions where these consequences are material, the model may point in the wrong direction.This paper introduces the Decision-Centred Modelling (DCM) framework, which addresses this problem by drawing the analytical boundary around the decision and its consequences rather than around the physical system. The framework rests on three principles: a decision-first boundary specification that defines analytical scope through decision-relevance; a thin-waist artefact governance layer coupling heterogeneous analytical modules through schema-conforming exchange contracts; and progressive refinement governed by regret diagnostics. Under conditions where probability distributions over futures cannot be defended, regret, robustness, and satisficing replace expected value optimisation as the appropriate evaluative standards.Applied to industrial process heat decarbonisation in Southland, New Zealand, the framework reveals a material difference between site-boundary and decision-boundary analysis. From within the facility boundary, a biomass switching pathway (BB) has a NZD 14.2M/year private cost advantage over full electrification (EB), with no visible infrastructure consequence. When regional grid infrastructure costs are included within the decision boundary, BB is preferred in 93 of 100 plausible futures — while EB exposes the decision to a major grid reinforcement class in 49 of those futures, a consequence invisible to conventional site-boundary analysis. The framework architecture is domain-general. The platform and proof-of-concept data are openly available at https://ahmad-mahmoudi-coder.github.io/DCM/.</vt:lpwstr>
  </property>
  <property fmtid="{D5CDD505-2E9C-101B-9397-08002B2CF9AE}" pid="3" name="bibliography">
    <vt:lpwstr>references\references.bib</vt:lpwstr>
  </property>
  <property fmtid="{D5CDD505-2E9C-101B-9397-08002B2CF9AE}" pid="4" name="date">
    <vt:lpwstr>2026</vt:lpwstr>
  </property>
</Properties>
</file>