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svg" ContentType="image/svg+xml"/>
  <Override PartName="/word/media/rId64.svg" ContentType="image/svg+xml"/>
  <Override PartName="/word/media/rId230.svg" ContentType="image/svg+xml"/>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thinking-and-modelling"/>
    <w:p>
      <w:pPr>
        <w:pStyle w:val="Heading1"/>
      </w:pPr>
      <w:r>
        <w:t xml:space="preserve">1. Decision-Centred Thinking and Modelling</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sensitivity analysis is conducted through scenario comparison rather than probabilistic or DMDU-style ensemble evaluation. Typical studies vary one parameter at a time across a set of internally consistent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svg" id="2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svg" /><Relationship Type="http://schemas.openxmlformats.org/officeDocument/2006/relationships/image" Id="rId64" Target="media/rId64.svg" /><Relationship Type="http://schemas.openxmlformats.org/officeDocument/2006/relationships/image" Id="rId230" Target="media/rId230.sv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2026-05-07T23:31:50Z</dcterms:created>
  <dcterms:modified xsi:type="dcterms:W3CDTF">2026-05-07T23:31:50Z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