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74.png" ContentType="image/png"/>
  <Override PartName="/word/media/rId54.png" ContentType="image/png"/>
  <Override PartName="/word/media/rId66.png" ContentType="image/png"/>
  <Override PartName="/word/media/rId235.png" ContentType="image/png"/>
  <Override PartName="/word/media/rId239.png" ContentType="image/png"/>
  <Override PartName="/word/media/rId243.png" ContentType="image/png"/>
  <Override PartName="/word/media/rId247.png" ContentType="image/png"/>
  <Override PartName="/word/media/rId2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Decision-Centred Modelling (DCM)</w:t>
      </w:r>
    </w:p>
    <w:p>
      <w:pPr>
        <w:pStyle w:val="Subtitle"/>
      </w:pPr>
      <w:r>
        <w:t xml:space="preserve">Foundations, Architecture, and Application to Industrial Process Heat Decarbonisation</w:t>
      </w:r>
    </w:p>
    <w:p>
      <w:pPr>
        <w:pStyle w:val="Author"/>
      </w:pPr>
      <w:r>
        <w:t xml:space="preserve">Seyed Ahmad Mahmoudi Lahijani</w:t>
      </w:r>
    </w:p>
    <w:p>
      <w:pPr>
        <w:pStyle w:val="Date"/>
      </w:pPr>
      <w:r>
        <w:t xml:space="preserve">2026</w:t>
      </w:r>
    </w:p>
    <w:bookmarkStart w:id="18" w:name="decision-centred-modelling-dcm"/>
    <w:p>
      <w:pPr>
        <w:pStyle w:val="Heading1"/>
      </w:pPr>
      <w:r>
        <w:t xml:space="preserve">1. Decision-Centred Modelling (DCM)</w:t>
      </w:r>
    </w:p>
    <w:p>
      <w:r>
        <w:pict>
          <v:rect style="width:0;height:1.5pt" o:hralign="center" o:hrstd="t" o:hr="t"/>
        </w:pict>
      </w:r>
    </w:p>
    <w:bookmarkStart w:id="17" w:name="the-framework-at-a-glance"/>
    <w:p>
      <w:pPr>
        <w:pStyle w:val="Heading2"/>
      </w:pPr>
      <w:r>
        <w:t xml:space="preserve">The Framework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you are...</w:t>
            </w:r>
          </w:p>
        </w:tc>
        <w:tc>
          <w:tcPr/>
          <w:p>
            <w:pPr>
              <w:pStyle w:val="Compact"/>
            </w:pPr>
            <w:r>
              <w:t xml:space="preserve">Start here</w:t>
            </w:r>
          </w:p>
        </w:tc>
      </w:tr>
      <w:tr>
        <w:tc>
          <w:tcPr/>
          <w:p>
            <w:pPr>
              <w:pStyle w:val="Compact"/>
            </w:pPr>
            <w:r>
              <w:t xml:space="preserve">New to this framework — start here</w:t>
            </w:r>
          </w:p>
        </w:tc>
        <w:tc>
          <w:tcPr/>
          <w:p>
            <w:pPr>
              <w:pStyle w:val="Compact"/>
            </w:pPr>
            <w:hyperlink r:id="rId9">
              <w:r>
                <w:rPr>
                  <w:rStyle w:val="Hyperlink"/>
                </w:rPr>
                <w:t xml:space="preserve">Module 0: Orientation (15 min)</w:t>
              </w:r>
            </w:hyperlink>
          </w:p>
        </w:tc>
      </w:tr>
      <w:tr>
        <w:tc>
          <w:tcPr/>
          <w:p>
            <w:pPr>
              <w:pStyle w:val="Compact"/>
            </w:pPr>
            <w:r>
              <w:t xml:space="preserve">A researcher in DMDU, integrated assessment,</w:t>
            </w:r>
            <w:r>
              <w:t xml:space="preserve"> </w:t>
            </w:r>
            <w:r>
              <w:t xml:space="preserve">or systems modelling</w:t>
            </w:r>
          </w:p>
        </w:tc>
        <w:tc>
          <w:tcPr/>
          <w:p>
            <w:pPr>
              <w:pStyle w:val="Compact"/>
            </w:pPr>
            <w:hyperlink r:id="rId10">
              <w:r>
                <w:rPr>
                  <w:rStyle w:val="Hyperlink"/>
                </w:rPr>
                <w:t xml:space="preserve">Part I: The Decision Problem</w:t>
              </w:r>
            </w:hyperlink>
          </w:p>
        </w:tc>
      </w:tr>
      <w:tr>
        <w:tc>
          <w:tcPr/>
          <w:p>
            <w:pPr>
              <w:pStyle w:val="Compact"/>
            </w:pPr>
            <w:r>
              <w:t xml:space="preserve">An energy system modeller or tool developer</w:t>
            </w:r>
          </w:p>
        </w:tc>
        <w:tc>
          <w:tcPr/>
          <w:p>
            <w:pPr>
              <w:pStyle w:val="Compact"/>
            </w:pPr>
            <w:hyperlink r:id="rId11">
              <w:r>
                <w:rPr>
                  <w:rStyle w:val="Hyperlink"/>
                </w:rPr>
                <w:t xml:space="preserve">Part II: The Framework Design</w:t>
              </w:r>
            </w:hyperlink>
          </w:p>
        </w:tc>
      </w:tr>
      <w:tr>
        <w:tc>
          <w:tcPr/>
          <w:p>
            <w:pPr>
              <w:pStyle w:val="Compact"/>
            </w:pPr>
            <w:r>
              <w:t xml:space="preserve">A practitioner or corporate strategist</w:t>
            </w:r>
          </w:p>
        </w:tc>
        <w:tc>
          <w:tcPr/>
          <w:p>
            <w:pPr>
              <w:pStyle w:val="Compact"/>
            </w:pPr>
            <w:hyperlink r:id="rId12">
              <w:r>
                <w:rPr>
                  <w:rStyle w:val="Hyperlink"/>
                </w:rPr>
                <w:t xml:space="preserve">Module 4: Domain Translation</w:t>
              </w:r>
            </w:hyperlink>
          </w:p>
        </w:tc>
      </w:tr>
      <w:tr>
        <w:tc>
          <w:tcPr/>
          <w:p>
            <w:pPr>
              <w:pStyle w:val="Compact"/>
            </w:pPr>
            <w:r>
              <w:t xml:space="preserve">Working in NZ energy policy or infrastructure</w:t>
            </w:r>
          </w:p>
        </w:tc>
        <w:tc>
          <w:tcPr/>
          <w:p>
            <w:pPr>
              <w:pStyle w:val="Compact"/>
            </w:pPr>
            <w:hyperlink r:id="rId13">
              <w:r>
                <w:rPr>
                  <w:rStyle w:val="Hyperlink"/>
                </w:rPr>
                <w:t xml:space="preserve">Module 5: NZ Context</w:t>
              </w:r>
            </w:hyperlink>
          </w:p>
        </w:tc>
      </w:tr>
      <w:tr>
        <w:tc>
          <w:tcPr/>
          <w:p>
            <w:pPr>
              <w:pStyle w:val="Compact"/>
            </w:pPr>
            <w:r>
              <w:t xml:space="preserve">Interested in the full proof of concept</w:t>
            </w:r>
            <w:r>
              <w:t xml:space="preserve"> </w:t>
            </w:r>
            <w:r>
              <w:t xml:space="preserve">and results</w:t>
            </w:r>
          </w:p>
        </w:tc>
        <w:tc>
          <w:tcPr/>
          <w:p>
            <w:pPr>
              <w:pStyle w:val="Compact"/>
            </w:pPr>
            <w:hyperlink r:id="rId14">
              <w:r>
                <w:rPr>
                  <w:rStyle w:val="Hyperlink"/>
                </w:rPr>
                <w:t xml:space="preserve">Part IV: The Proof of Concept</w:t>
              </w:r>
            </w:hyperlink>
          </w:p>
        </w:tc>
      </w:tr>
      <w:tr>
        <w:tc>
          <w:tcPr/>
          <w:p>
            <w:pPr>
              <w:pStyle w:val="Compact"/>
            </w:pPr>
            <w:r>
              <w:t xml:space="preserve">Evaluating the intellectual contribution</w:t>
            </w:r>
          </w:p>
        </w:tc>
        <w:tc>
          <w:tcPr/>
          <w:p>
            <w:pPr>
              <w:pStyle w:val="Compact"/>
            </w:pPr>
            <w:hyperlink r:id="rId15">
              <w:r>
                <w:rPr>
                  <w:rStyle w:val="Hyperlink"/>
                </w:rPr>
                <w:t xml:space="preserve">Module 7 §7.6: Eleven Propositions</w:t>
              </w:r>
            </w:hyperlink>
          </w:p>
        </w:tc>
      </w:tr>
      <w:tr>
        <w:tc>
          <w:tcPr/>
          <w:p>
            <w:pPr>
              <w:pStyle w:val="Compact"/>
            </w:pPr>
            <w:r>
              <w:t xml:space="preserve">Thinking about applying this outside</w:t>
            </w:r>
            <w:r>
              <w:t xml:space="preserve"> </w:t>
            </w:r>
            <w:r>
              <w:t xml:space="preserve">energy systems</w:t>
            </w:r>
          </w:p>
        </w:tc>
        <w:tc>
          <w:tcPr/>
          <w:p>
            <w:pPr>
              <w:pStyle w:val="Compact"/>
            </w:pPr>
            <w:hyperlink r:id="rId15">
              <w:r>
                <w:rPr>
                  <w:rStyle w:val="Hyperlink"/>
                </w:rPr>
                <w:t xml:space="preserve">Module 7 §7.9: Beyond Infrastructure</w:t>
              </w:r>
            </w:hyperlink>
          </w:p>
        </w:tc>
      </w:tr>
      <w:tr>
        <w:tc>
          <w:tcPr/>
          <w:p>
            <w:pPr>
              <w:pStyle w:val="Compact"/>
            </w:pPr>
            <w:r>
              <w:t xml:space="preserve">Wanting to contribute a domain extension</w:t>
            </w:r>
          </w:p>
        </w:tc>
        <w:tc>
          <w:tcPr/>
          <w:p>
            <w:pPr>
              <w:pStyle w:val="Compact"/>
            </w:pPr>
            <w:hyperlink r:id="rId16">
              <w:r>
                <w:rPr>
                  <w:rStyle w:val="Hyperlink"/>
                </w:rPr>
                <w:t xml:space="preserve">GitHub Discussions</w:t>
              </w:r>
            </w:hyperlink>
          </w:p>
        </w:tc>
      </w:tr>
    </w:tbl>
    <w:bookmarkEnd w:id="17"/>
    <w:bookmarkEnd w:id="18"/>
    <w:bookmarkStart w:id="19" w:name="preface-and-orientation"/>
    <w:p>
      <w:pPr>
        <w:pStyle w:val="Heading1"/>
      </w:pPr>
      <w:r>
        <w:t xml:space="preserve">2. Preface and Orientation</w:t>
      </w:r>
    </w:p>
    <w:p>
      <w:pPr>
        <w:pStyle w:val="FirstParagraph"/>
      </w:pPr>
      <w:r>
        <w:t xml:space="preserve">The following sections establish the intellectual</w:t>
      </w:r>
      <w:r>
        <w:t xml:space="preserve"> </w:t>
      </w:r>
      <w:r>
        <w:t xml:space="preserve">context, community governance, and navigation</w:t>
      </w:r>
      <w:r>
        <w:t xml:space="preserve"> </w:t>
      </w:r>
      <w:r>
        <w:t xml:space="preserve">architecture for the Decision-Centred Modelling</w:t>
      </w:r>
      <w:r>
        <w:t xml:space="preserve"> </w:t>
      </w:r>
      <w:r>
        <w:t xml:space="preserve">framework before the analytical modules begin.</w:t>
      </w:r>
    </w:p>
    <w:bookmarkEnd w:id="19"/>
    <w:bookmarkStart w:id="37" w:name="context-declaration"/>
    <w:p>
      <w:pPr>
        <w:pStyle w:val="Heading1"/>
      </w:pPr>
      <w:r>
        <w:t xml:space="preserve">3. Context Declaration</w:t>
      </w:r>
    </w:p>
    <w:p>
      <w:pPr>
        <w:pStyle w:val="FirstParagraph"/>
      </w:pPr>
      <w:r>
        <w:t xml:space="preserve">For Human Readers, AI Assistants, and the Research Community</w:t>
      </w:r>
    </w:p>
    <w:p>
      <w:pPr>
        <w:pStyle w:val="BodyText"/>
      </w:pPr>
      <w:r>
        <w:br/>
      </w:r>
    </w:p>
    <w:bookmarkStart w:id="20" w:name="a-vision-before-the-detail"/>
    <w:p>
      <w:pPr>
        <w:pStyle w:val="Heading2"/>
      </w:pPr>
      <w:r>
        <w:t xml:space="preserve">3.1 A Vision Before the Detail</w:t>
      </w:r>
    </w:p>
    <w:p>
      <w:pPr>
        <w:pStyle w:val="FirstParagraph"/>
      </w:pPr>
      <w:r>
        <w:t xml:space="preserve">This document describes a framework for making better decisions under deep uncertainty. Before entering the architecture, the vocabulary, or the proof of concept, it is worth pausing on what that means in practice, and what it could mean at scale.</w:t>
      </w:r>
    </w:p>
    <w:p>
      <w:pPr>
        <w:pStyle w:val="BodyText"/>
      </w:pPr>
      <w:r>
        <w:t xml:space="preserve">Consider a large dairy processor evaluating whether to electrify its heat supply by 2035. The decision looks, on the surface, like a site-level engineering and finance problem: compare the capital cost of electric boilers against biomass conversion, estimate operating costs, account for the carbon price, choose the pathway with the lower net present value. That framing is not wrong. It is incomplete. The pathway choice propagates consequences to a regional electricity grid that may not have the capacity to absorb the additional load without reinforcement. That reinforcement, if required, takes years to plan, consent, and build. It also draws on the same grid capacity that other industrial users in the region are simultaneously seeking to access. The biomass pathway, meanwhile, draws on a regional feedstock supply that other users are simultaneously competing for. Both pathways are exposed to a carbon price whose trajectory is set by a policy process that is institutionally contested and whose design has changed materially several times in the past decade. And the facility’s decision will be made by a corporate sustainability team, reviewed by a board with both financial and reputational objectives, influenced by a government co-investment programme with its own eligibility criteria and funding cycles, shaped by community expectations about the future of the Southland economy, and ultimately constrained by physical infrastructure that was built for a different industrial era.</w:t>
      </w:r>
    </w:p>
    <w:p>
      <w:pPr>
        <w:pStyle w:val="BodyText"/>
      </w:pPr>
      <w:r>
        <w:t xml:space="preserve">None of this complexity is unusual. It is the normal texture of a consequential infrastructure decision in the early twenty-first century. The problem is that the analytical tools most commonly brought to bear on this kind of decision were designed for a simpler version of it: one site, one future, one objective, one model boundary. They are not inadequate because they are unsophisticated. They are inadequate because they are organised around the wrong centre of gravity. They are organised around the system rather than around the decision.</w:t>
      </w:r>
    </w:p>
    <w:p>
      <w:pPr>
        <w:pStyle w:val="BodyText"/>
      </w:pPr>
      <w:r>
        <w:t xml:space="preserve">This framework is organised around the decision. That reversal, simple to state and demanding to operationalise, is what the rest of this document develops.</w:t>
      </w:r>
    </w:p>
    <w:p>
      <w:r>
        <w:pict>
          <v:rect style="width:0;height:1.5pt" o:hralign="center" o:hrstd="t" o:hr="t"/>
        </w:pict>
      </w:r>
    </w:p>
    <w:bookmarkEnd w:id="20"/>
    <w:bookmarkStart w:id="21" w:name="what-the-framework-is-attempting"/>
    <w:p>
      <w:pPr>
        <w:pStyle w:val="Heading2"/>
      </w:pPr>
      <w:r>
        <w:t xml:space="preserve">3.2 What the Framework Is Attempting</w:t>
      </w:r>
    </w:p>
    <w:p>
      <w:pPr>
        <w:pStyle w:val="FirstParagraph"/>
      </w:pPr>
      <w:r>
        <w:t xml:space="preserve">The framework developed here begins from a proposition that is easy to accept in the abstract and surprisingly difficult to implement in practice: the model should develop toward the parameters that influence the decision, not toward the completeness of the system description.</w:t>
      </w:r>
    </w:p>
    <w:p>
      <w:pPr>
        <w:pStyle w:val="BodyText"/>
      </w:pPr>
      <w:r>
        <w:t xml:space="preserve">In conventional modelling practice, a system is first described as completely as possible within a boundary defined by physical or technical extent, and the decision is then framed as a query to that model. The model defines what can be asked. In the framework proposed here, the process is reversed. The decision is articulated first: what is being chosen, by whom, with consequences at which scales, and under which dimensions of uncertainty. The model then develops toward the parameters that influence that decision. Physical detail is incorporated where it changes the outcome of the comparison. Institutional conditions are represented where they shift the ranking of alternatives across futures. Social and environmental consequences are included where they are relevant to what the decision-maker must account for, not as afterthoughts appended to a completed technical analysis but as first-class dimensions of the decision frame from the outset.</w:t>
      </w:r>
    </w:p>
    <w:p>
      <w:pPr>
        <w:pStyle w:val="BodyText"/>
      </w:pPr>
      <w:r>
        <w:t xml:space="preserve">This means the framework grows. It begins with a minimum viable representation that is honest about its simplifications and explicit about where additional detail would change the decision-relevant comparison. At each development step, it asks: what is the most influential parameter not yet well represented? What constraint, once modelled, would shift the robustness ranking of the alternatives? What future condition, once included, would reveal a vulnerability currently invisible? The answer to these questions, rather than a commitment to physical completeness, determines what gets modelled next.</w:t>
      </w:r>
    </w:p>
    <w:p>
      <w:pPr>
        <w:pStyle w:val="BodyText"/>
      </w:pPr>
      <w:r>
        <w:t xml:space="preserve">The consequence is an analytical environment that is at once humble and ambitious. Humble, because it never claims to have modelled everything that matters. Ambitious, because it claims to have modelled exactly what matters most at each stage of development, and to be able to demonstrate that claim through the traceability of its artefacts and the transparency of its decision-relevant comparisons.</w:t>
      </w:r>
    </w:p>
    <w:p>
      <w:pPr>
        <w:pStyle w:val="BodyText"/>
      </w:pPr>
      <w:r>
        <w:t xml:space="preserve">There is a further property that makes this ambition practically important. The framework is self-directing in its development. At each stage, the regret sensitivity diagnostics and the scenario discovery analysis of the DMDU orchestration layer identify which uncertain drivers most strongly determine pathway preference and therefore which simplification, once removed, would most change the decision-relevant comparison. The framework lights up the domain that needs to be explored next. It does not promise to eliminate uncertainty. It promises to make decisions more intelligible in its presence, and to reveal, at each step, where the analytical torch should be turned next.</w:t>
      </w:r>
    </w:p>
    <w:p>
      <w:r>
        <w:pict>
          <v:rect style="width:0;height:1.5pt" o:hralign="center" o:hrstd="t" o:hr="t"/>
        </w:pict>
      </w:r>
    </w:p>
    <w:bookmarkEnd w:id="21"/>
    <w:bookmarkStart w:id="22" w:name="X80b233808d630b779fa9ff5ce8df34491ea6e88"/>
    <w:p>
      <w:pPr>
        <w:pStyle w:val="Heading2"/>
      </w:pPr>
      <w:r>
        <w:t xml:space="preserve">3.3 The Broader Vision: What Full Deployment Could Achieve</w:t>
      </w:r>
    </w:p>
    <w:p>
      <w:pPr>
        <w:pStyle w:val="FirstParagraph"/>
      </w:pPr>
      <w:r>
        <w:t xml:space="preserve">The Edendale–Southland proof of concept documented in this manuscript is, by the framework’s own declared standards, a first-generation demonstration. It demonstrates that the architecture works, that the site-to-region coupling reveals consequences invisible from within the site boundary, and that the artefact governance chain makes those findings traceable and reproducible. But the Edendale case is one node in a far larger decision landscape, and it is worth being explicit about what the framework could achieve if deployed at greater scale and depth.</w:t>
      </w:r>
    </w:p>
    <w:p>
      <w:pPr>
        <w:pStyle w:val="BodyText"/>
      </w:pPr>
      <w:r>
        <w:t xml:space="preserve">At the corporate scale, a single company such as Fonterra operates multiple large processing sites across New Zealand, each with its own pathway decision, each connected to regional grid infrastructure at different GXPs, each drawing on regional biomass and other resource systems with different supply chain characteristics. The pathway decision at Edendale does not exist in isolation from the decisions being made at Canpac, Waitoa, Darfield, or Clandeboye. These decisions interact through shared grid infrastructure, shared biomass markets, and a shared carbon pricing environment. A company-scale deployment of the framework would evaluate all site-level pathway decisions simultaneously, using a shared regional electricity module that represents the aggregate demand pressure on the national transmission system, a shared biomass resource module that represents competition for regional feedstock supply, and a shared policy module that represents the ETS carbon price trajectory and its interaction with the investment timing of all facilities.</w:t>
      </w:r>
    </w:p>
    <w:p>
      <w:pPr>
        <w:pStyle w:val="BodyText"/>
      </w:pPr>
      <w:r>
        <w:t xml:space="preserve">Beyond strategic pathway planning, the same architecture supports operational optimisation. Once a pathway has been selected and implemented, the site module can be configured to support day-ahead and week-ahead dispatch optimisation, using real-time operational data from the facility’s control systems translated through the artefact interface. Existing energy management system data, existing engineering assessments, and existing financial models all translate into governed artefacts without requiring the organisation to start from scratch. The strategic and operational layers of the same organisation operate within the same analytical environment, connected through the same backbone: strategic pathway analysis informs which assets are available; operational dispatch analysis demonstrates how those assets perform day to day; and the accumulated operational record informs the next round of strategic reassessment.</w:t>
      </w:r>
    </w:p>
    <w:p>
      <w:pPr>
        <w:pStyle w:val="BodyText"/>
      </w:pPr>
      <w:r>
        <w:t xml:space="preserve">The result of a corporate deployment would not be an optimal transition plan, because no such plan can be specified under the conditions of deep uncertainty the framework acknowledges. It would instead be a robust transition strategy: a set of sequencing and staging decisions that remains defensible across many plausible futures, where those futures include not only grid and biomass supply conditions but also the decisions of competing users, the responses of regulators, and the evolution of the corporate sustainability reporting environment.</w:t>
      </w:r>
    </w:p>
    <w:p>
      <w:pPr>
        <w:pStyle w:val="BodyText"/>
      </w:pPr>
      <w:r>
        <w:t xml:space="preserve">At the sector and regional scale, the same architecture extends to encompass multiple companies and multiple sectors. The Southland region’s dairy, meat, and wood products processors share the same regional grid, the same biomass resource zone, and the same policy environment. A regional deployment of the framework would represent all major industrial heat users simultaneously, allowing the analytical environment to evaluate not only individual site decisions but the system-level consequences of different regional transition configurations. This is a question that no individual site assessment can answer, that no national model currently addresses at the required spatial and temporal resolution, and that the framework’s architecture is specifically designed to support.</w:t>
      </w:r>
    </w:p>
    <w:p>
      <w:pPr>
        <w:pStyle w:val="BodyText"/>
      </w:pPr>
      <w:r>
        <w:t xml:space="preserve">At the national scale, the framework’s architecture is compatible with coupling to the national-scale models that already exist. TIMES-NZ, New Zealand’s national energy system model, produces economy-wide scenario outputs including electricity price trajectories, sectoral fuel demand projections, and national emissions pathways. These outputs represent exactly the kind of exogenous future conditions that belong in a FutureArtefact ensemble. A national-scale deployment would use TIMES-NZ scenario outputs to calibrate the ranges of the uncertain drivers in the ensemble, ensuring that site-level and regional-level pathway comparisons are consistent with plausible national energy trajectories. The initial coupling would be one-directional: TIMES-NZ scenarios inform the ensemble design. The eventual next phase would implement the reverse coupling, allowing the aggregate industrial pathway decisions revealed by the framework to be summarised as demand scenarios and passed back to TIMES-NZ, so that national and regional levels co-evolve iteratively through the Gauss-Seidel coupling architecture described in the framework’s next-phase specification.</w:t>
      </w:r>
    </w:p>
    <w:p>
      <w:pPr>
        <w:pStyle w:val="BodyText"/>
      </w:pPr>
      <w:r>
        <w:t xml:space="preserve">At the domain level, the framework’s decision-first architecture is not confined to energy. Water system planners in a drought-exposed catchment, regional transport authorities evaluating infrastructure investment under uncertain demand, land-use planners navigating competing development pressures, and industrial decarbonisation investors in Southeast Asia, the European industrial heartland, and the Gulf petrochemical complex all face the same structural problem: long-lived commitments, interacting infrastructure layers, deep uncertainty about future conditions, and the need for decisions that are accountable to multiple stakeholders with different perspectives. Each of these domains can be instantiated within the framework’s architecture by specifying the relevant decision class, the relevant module structure, and the relevant artefact families. The thin-waist principle ensures that contributions from specialists in each domain can be integrated without requiring those specialists to understand or maintain the full framework.</w:t>
      </w:r>
    </w:p>
    <w:p>
      <w:pPr>
        <w:pStyle w:val="BodyText"/>
      </w:pPr>
      <w:r>
        <w:t xml:space="preserve">At the stakeholder accountability level, the framework’s artefact governance architecture creates something genuinely new in planning practice: a traceable record of how a decision-relevant finding was produced, from the raw input data and configuration parameters through the module runs and acceptance gates to the regret and robustness metrics that informed the decision. This traceability is not merely a technical property. It is an institutional one. A decision made on the basis of framework analysis can be audited: a regulator, a community representative, or a future analyst can follow the lineage from the finding back to the assumptions and ask, precisely and specifically, whether the assumptions were appropriate. It becomes possible to say, with specificity: under these conditions about grid headroom, biomass supply, and carbon price trajectory, the electrification pathway generates lower regret than the biomass pathway in 41 of 64 plausible futures, and here is the complete audit trail of the analysis that produced that finding. That is a qualitatively different foundation for public accountability than the outputs of a black-box optimisation.</w:t>
      </w:r>
    </w:p>
    <w:p>
      <w:pPr>
        <w:pStyle w:val="BodyText"/>
      </w:pPr>
      <w:r>
        <w:t xml:space="preserve">This accountability dimension extends, ultimately, to questions of energy justice and democratic governance. When long-horizon infrastructure decisions are made on the basis of analyses that are traceable, multi-perspective, and open to community interrogation, the governance of those decisions becomes more democratic in a substantive rather than procedural sense. Communities can participate not merely by attending consultation meetings but by engaging with the analytical basis of the decisions that will shape their regional economies for decades. The framework’s architecture makes that engagement possible in a governed, productive, and cumulatively valuable way.</w:t>
      </w:r>
    </w:p>
    <w:p>
      <w:r>
        <w:pict>
          <v:rect style="width:0;height:1.5pt" o:hralign="center" o:hrstd="t" o:hr="t"/>
        </w:pict>
      </w:r>
    </w:p>
    <w:bookmarkEnd w:id="22"/>
    <w:bookmarkStart w:id="23" w:name="X410b7f29c1b4b77ff41fd7ff93ed599a2278cad"/>
    <w:p>
      <w:pPr>
        <w:pStyle w:val="Heading2"/>
      </w:pPr>
      <w:r>
        <w:t xml:space="preserve">3.4 The Architecture That Makes This Possible</w:t>
      </w:r>
    </w:p>
    <w:p>
      <w:pPr>
        <w:pStyle w:val="FirstParagraph"/>
      </w:pPr>
      <w:r>
        <w:t xml:space="preserve">None of the above requires building a model of everything. It requires building an architecture that can accommodate heterogeneous analytical components, connect them through governed interfaces, evaluate their combined outputs under structured uncertainty, and grow progressively toward the parameters that most influence the decisions at hand.</w:t>
      </w:r>
    </w:p>
    <w:p>
      <w:pPr>
        <w:pStyle w:val="BodyText"/>
      </w:pPr>
      <w:r>
        <w:t xml:space="preserve">The thin-waist artefact structure is the mechanism that makes this possible. It does not require that all components be simple. The site dispatch module can be a rule-based proportional allocator in the first generation, an LP-based scheduler in the second, and an OpenModelica thermal network simulation in the third. The regional electricity module can be a stylised screening model in the first generation, a full PyPSA network optimisation in the second, and a trained ML surrogate of that optimisation in the third. The biomass resource module can be a scalar multiplier in the first generation and a spatially explicit logistics model calibrated to satellite-derived forest inventory data in the second. The macroeconomic context module can be a TIMES-NZ scenario parameter table in the first generation and a coupled bi-directional model exchange in a later generation. At every generation, what crosses the module boundaries is the same: a schema-conforming artefact with declared provenance and a validated integrity record. The rest of the framework need not know which generation of implementation produced it.</w:t>
      </w:r>
    </w:p>
    <w:p>
      <w:pPr>
        <w:pStyle w:val="BodyText"/>
      </w:pPr>
      <w:r>
        <w:t xml:space="preserve">The decision-first principle governs the order in which these developments are pursued. The framework does not develop toward greater complexity in general. It develops toward greater decision relevance specifically. The question asked at each development step is: what is the most consequential simplification currently in the model, in the sense that removing it would most change the decision-relevant comparison? The answer to that question, produced by the regret sensitivity diagnostics and the scenario discovery analysis of the DMDU orchestration layer, is the framework’s own contribution to determining what should be developed next.</w:t>
      </w:r>
    </w:p>
    <w:p>
      <w:r>
        <w:pict>
          <v:rect style="width:0;height:1.5pt" o:hralign="center" o:hrstd="t" o:hr="t"/>
        </w:pict>
      </w:r>
    </w:p>
    <w:bookmarkEnd w:id="23"/>
    <w:bookmarkStart w:id="30" w:name="who-this-is-for"/>
    <w:p>
      <w:pPr>
        <w:pStyle w:val="Heading2"/>
      </w:pPr>
      <w:r>
        <w:t xml:space="preserve">3.5 Who This Is For</w:t>
      </w:r>
    </w:p>
    <w:p>
      <w:pPr>
        <w:pStyle w:val="FirstParagraph"/>
      </w:pPr>
      <w:r>
        <w:t xml:space="preserve">The framework described in this document is addressed to at least six audiences, and it asks different things from each. What it offers all of them is a version of the same thing: a way of organising analytical complexity that keeps the decision visible, keeps the assumptions traceable, and keeps the path toward better analysis open as knowledge grows.</w:t>
      </w:r>
    </w:p>
    <w:p>
      <w:r>
        <w:pict>
          <v:rect style="width:0;height:1.5pt" o:hralign="center" o:hrstd="t" o:hr="t"/>
        </w:pict>
      </w:r>
    </w:p>
    <w:bookmarkStart w:id="24" w:name="Xf77fae16f796507a40f1916eddcb7651d648946"/>
    <w:p>
      <w:pPr>
        <w:pStyle w:val="Heading3"/>
      </w:pPr>
      <w:r>
        <w:t xml:space="preserve">3.5.1 It asks researchers to engage with a methodological argument that cuts across several established traditions without belonging entirely to any of them.</w:t>
      </w:r>
    </w:p>
    <w:p>
      <w:pPr>
        <w:pStyle w:val="FirstParagraph"/>
      </w:pPr>
      <w:r>
        <w:t xml:space="preserve">In complex planning environments, the quality of decision support depends more on analytical architecture than on model sophistication. A more powerful solver embedded in a poorly framed decision environment produces better answers to the wrong question. A well-governed, decision-centred architecture produces answers that are less precise in a narrow mathematical sense but more defensible in the sense that actually matters: they are traceable to their assumptions, comparable across alternative futures, and revisable as knowledge improves.</w:t>
      </w:r>
    </w:p>
    <w:p>
      <w:pPr>
        <w:pStyle w:val="BodyText"/>
      </w:pPr>
      <w:r>
        <w:t xml:space="preserve">This is a substantive intellectual contribution to the DMDU tradition rather than a repackaging of existing ideas. The RDM community, represented in the work of Lempert, Popper, Bankes, Walker, Marchau, Kwakkel, and Haasnoot, has established the evaluative standards of regret, robustness, and satisficing and has developed the computational methods of scenario discovery and exploratory modelling. What it has not systematically addressed is the architectural question of how modular, multi-scale analytical environments should be organised so that DMDU-style exploration can operate across institutional and physical boundaries simultaneously, with governed artefact exchange that preserves traceability across all scales. The thin-waist artefact architecture, the decision-first boundary principle, and the progressive-refinement philosophy are contributions to that open question.</w:t>
      </w:r>
    </w:p>
    <w:p>
      <w:pPr>
        <w:pStyle w:val="BodyText"/>
      </w:pPr>
      <w:r>
        <w:t xml:space="preserve">Researchers working in adjacent traditions will find points of engagement throughout. Those working in integrated assessment modelling will find the framework’s treatment of scale heterogeneity and the site-to-region coupling directly relevant to the persistent challenge of connecting bottom-up engineering detail to top-down economic consistency without sacrificing either. Those working in socio-technical systems theory will find the framework’s treatment of multi-actor perspectives and system-level regret directly relevant to the challenge of representing institutional complexity in planning models in a form that is analytically tractable rather than merely acknowledged. Those working in the philosophy of science will find the framework’s post-positivist epistemological commitments, developed in Sub-Module SM-1.1-A, a substantive engagement with questions about what models are for and what counts as analytical legitimacy under deep uncertainty.</w:t>
      </w:r>
    </w:p>
    <w:p>
      <w:r>
        <w:pict>
          <v:rect style="width:0;height:1.5pt" o:hralign="center" o:hrstd="t" o:hr="t"/>
        </w:pict>
      </w:r>
    </w:p>
    <w:bookmarkEnd w:id="24"/>
    <w:bookmarkStart w:id="25" w:name="Xb36498fe9fdba984fe4ab3d19bb68df71cc27cb"/>
    <w:p>
      <w:pPr>
        <w:pStyle w:val="Heading3"/>
      </w:pPr>
      <w:r>
        <w:t xml:space="preserve">3.5.2 It asks energy system modellers to consider how the tools they already use and trust can contribute to something larger than any one of them can achieve alone.</w:t>
      </w:r>
    </w:p>
    <w:p>
      <w:pPr>
        <w:pStyle w:val="FirstParagraph"/>
      </w:pPr>
      <w:r>
        <w:t xml:space="preserve">The open-source energy modelling ecosystem is mature and growing. PyPSA provides network-aware electricity system optimisation with an active international development community and a growing library of regional and national model implementations. Linopy, the algebraic modelling layer underlying PyPSA’s latest architecture, makes large network problems tractable with a clean Python interface. OpenModelica provides equation-based physical simulation of thermal, electrical, and fluid systems with modular, reusable component libraries suited to site-level industrial process modelling. Calliope and OSeMOSYS provide flexible, transparent energy system frameworks with strong open-data commitments and active academic communities. EnergyPLAN provides integrated energy systems simulation at the regional and national scale. TIMES, MESSAGE-ix, and the broader IAM family provide national and global scenario analysis capabilities with decades of institutional application and established policy uptake. Each of these tools is internally sophisticated. None of them, on its own, addresses the full analytical chain from a site-level operational decision through a regional infrastructure constraint to a national energy trajectory, under deep uncertainty, in a form that is simultaneously governed, traceable, and accountable to multiple stakeholders with different perspectives.</w:t>
      </w:r>
    </w:p>
    <w:p>
      <w:pPr>
        <w:pStyle w:val="BodyText"/>
      </w:pPr>
      <w:r>
        <w:t xml:space="preserve">The framework proposed here is not a replacement for any of these tools. It is an architecture within which they can contribute to that full analytical chain. PyPSA belongs in the Regional Module, where its network-aware dispatch optimisation produces the adequacy signals and dual-variable price indicators that the site-level pathway evaluation requires. OpenModelica belongs in the Facility Module, where its thermal network simulation produces the high-fidelity operational detail that a scheduling-grade dispatch model needs. TIMES-NZ belongs in the FutureArtefact ensemble calibration layer, where its national scenario outputs provide the macroeconomic and policy boundary conditions within which regional and site-level futures are situated. The framework tells each tool what it is responsible for producing, in what form, and with what provenance. It does not tell each tool how to produce it. The internal sophistication of each tool is liberated rather than constrained by the architecture.</w:t>
      </w:r>
    </w:p>
    <w:p>
      <w:pPr>
        <w:pStyle w:val="BodyText"/>
      </w:pPr>
      <w:r>
        <w:t xml:space="preserve">The practical value of the surrogate development pathway deserves specific emphasis. A full PyPSA regional network model for the Southland context is computationally expensive to run. Running it inside a DMDU ensemble of several hundred or thousand futures is currently impractical. Training a decision-ranked ML surrogate of that model, following the validation protocol described in Sub-Module SM-2.3-A, makes the ensemble expansion tractable without sacrificing the decision-ranking fidelity that the comparison requires. The surrogate does not replace PyPSA; it emulates PyPSA’s input-output behaviour at the level of the decision-relevant outputs the framework requires, and the full PyPSA model remains available for validation and for cases near regime boundaries where the surrogate’s confidence score falls below the declared threshold. The same surrogate architecture applies to a spatially explicit biomass logistics model, to a thermal process simulation, and to a simplified coupling with macroeconomic scenario generators such as TIMES-NZ. At every generation of implementation, what crosses the module boundary is the same schema-conforming artefact. The analytical chain does not need to know which generation produced it.</w:t>
      </w:r>
    </w:p>
    <w:p>
      <w:pPr>
        <w:pStyle w:val="BodyText"/>
      </w:pPr>
      <w:r>
        <w:t xml:space="preserve">For modellers working with the IEA Project BlueSky interoperability initiative, the framework offers a complementary governance layer. BlueSky’s ambition of standardised interfaces between heterogeneous modelling components is architecturally aligned with the thin-waist principle developed here. The additional contribution of the present framework is artefact governance: the schema conformance, provenance declaration, validation gating, and lineage tracking that make modelling contributions not only interoperable but auditable across the full analytical chain.</w:t>
      </w:r>
    </w:p>
    <w:p>
      <w:r>
        <w:pict>
          <v:rect style="width:0;height:1.5pt" o:hralign="center" o:hrstd="t" o:hr="t"/>
        </w:pict>
      </w:r>
    </w:p>
    <w:bookmarkEnd w:id="25"/>
    <w:bookmarkStart w:id="26" w:name="X02215b62baf41015eb617997420bf9cf035f8ff"/>
    <w:p>
      <w:pPr>
        <w:pStyle w:val="Heading3"/>
      </w:pPr>
      <w:r>
        <w:t xml:space="preserve">3.5.3 It asks corporate decision-makers to recognise that the analytical environment they need for long-horizon investment decisions under deep uncertainty already exists in fragmentary form inside their organisations, and that the framework’s contribution is to connect those fragments in a governed, coherent way that creates value they cannot currently access.</w:t>
      </w:r>
    </w:p>
    <w:p>
      <w:pPr>
        <w:pStyle w:val="FirstParagraph"/>
      </w:pPr>
      <w:r>
        <w:t xml:space="preserve">Large industrial companies managing long-lived asset portfolios in a decarbonising economy are not operating without analytical support. They have energy management systems that record real-time and historical operational data at hourly or sub-hourly resolution. They have financial models that project operating costs under different fuel price and carbon price scenarios. They have engineering assessments that characterise the technical performance of alternative technology pathways. They have sustainability reporting systems that aggregate emissions data across facilities. They have grid connection assessments that characterise the available hosting capacity at their points of connection. What they typically lack is an analytical architecture that connects these data sources through governed interfaces, evaluates the pathways they reveal under structured uncertainty across multiple futures, and produces decision-relevant metrics that are simultaneously precise enough to be actionable and honest enough to be defensible under external scrutiny.</w:t>
      </w:r>
    </w:p>
    <w:p>
      <w:pPr>
        <w:pStyle w:val="BodyText"/>
      </w:pPr>
      <w:r>
        <w:t xml:space="preserve">The framework is designed to receive the data that already exists within industrial organisations and translate it into governed artefacts. An existing energy management system’s operational data becomes the basis for a calibrated DemandPack rather than a synthetic one. An existing engineering assessment of boiler replacement costs becomes the capital cost parameter in the site module’s configuration artefact. An existing financial model’s fuel price and carbon price projections become the calibration basis for the FutureArtefact ensemble’s uncertain driver ranges. An existing grid connection assessment becomes the reference capacity estimate around which the headroom multiplier is scaled. None of this requires the organisation to start from scratch. It requires the existing analytical work to be translated into the framework’s artefact format, which is the precondition for connecting it to the regional and policy layers that the site-level analysis alone cannot address.</w:t>
      </w:r>
    </w:p>
    <w:p>
      <w:pPr>
        <w:pStyle w:val="BodyText"/>
      </w:pPr>
      <w:r>
        <w:t xml:space="preserve">The commercial advantage this offers is specific and demonstrable. A corporate investment decision made on the basis of a governed, traceable, multi-layer robustness analysis is a qualitatively different document from one made on the basis of a point-estimate techno-economic assessment. It can demonstrate to the board that the pathway recommendation remains defensible under a declared range of future conditions rather than only under central-case assumptions. It can demonstrate to investors that the capital allocation decision has been stress-tested against the scenarios that ESG-focused investment frameworks now require. It can demonstrate to regulators that the company has evaluated the system-level consequences of its pathway choice and has not simply optimised within its own boundary at the expense of shared infrastructure resources.</w:t>
      </w:r>
    </w:p>
    <w:p>
      <w:pPr>
        <w:pStyle w:val="BodyText"/>
      </w:pPr>
      <w:r>
        <w:t xml:space="preserve">For a company managing multiple sites, the multi-site extension offers a further commercial advantage: the ability to evaluate interaction effects between sites explicitly. The aggregate electricity demand of multiple electrification pathway commitments across a South Island portfolio is not the sum of individual site assessments. It is a system-level demand profile that hits multiple GXPs simultaneously, competes for reinforcement investment prioritisation by Transpower, and creates aggregate biomass demand that may constrain the supply available to any individual site. The corporate-scale deployment of the framework makes these interactions visible and includes them in the pathway comparison. A corporate sustainability officer who can demonstrate that a portfolio transition strategy has been evaluated against system-level interaction effects occupies a significantly stronger position in negotiations with energy regulators, network operators, and co-investment agencies than one who cannot.</w:t>
      </w:r>
    </w:p>
    <w:p>
      <w:r>
        <w:pict>
          <v:rect style="width:0;height:1.5pt" o:hralign="center" o:hrstd="t" o:hr="t"/>
        </w:pict>
      </w:r>
    </w:p>
    <w:bookmarkEnd w:id="26"/>
    <w:bookmarkStart w:id="27" w:name="Xf695764ab3ef1572ba918d9abfd46ca6761230e"/>
    <w:p>
      <w:pPr>
        <w:pStyle w:val="Heading3"/>
      </w:pPr>
      <w:r>
        <w:t xml:space="preserve">3.5.4 It asks policy-makers and regulators to recognise that the system-level incentive misalignments revealed by the framework’s multi-perspective evaluation are not academic abstractions but consequences of real, specific architectural features of the current policy and pricing environment, features that can be identified precisely, attributed to specific cost components and pricing arrangements, and addressed through targeted policy design.</w:t>
      </w:r>
    </w:p>
    <w:p>
      <w:pPr>
        <w:pStyle w:val="FirstParagraph"/>
      </w:pPr>
      <w:r>
        <w:t xml:space="preserve">The framework’s most important policy finding to date is the divergence between site-perspective and system-perspective cost assessments for the electrification pathway under GXP-constrained futures. Under current network pricing arrangements, the cost of grid reinforcement triggered by a new large industrial load may not be directly charged to the load that triggered it, creating a systematic incentive for individual site operators to pursue electrification pathways whose private cost appears competitive even when the full-system cost is significantly higher. This misalignment is not visible in any single-site techno-economic assessment. It is only visible when the site’s incremental electricity demand is evaluated against the regional grid system’s actual hosting capacity constraints, and when the cost of the resulting reinforcement requirement is attributed from both the private and public perspectives simultaneously. The framework makes this attribution explicit, and it attributes it to specific futures and specific cost components, so that the policy question becomes precise: under which conditions do the misalignment occur, how large is it, and which policy instrument most directly addresses it?</w:t>
      </w:r>
    </w:p>
    <w:p>
      <w:pPr>
        <w:pStyle w:val="BodyText"/>
      </w:pPr>
      <w:r>
        <w:t xml:space="preserve">For EECA, the framework offers a complement to the RETA screening methodology that addresses exactly the limitation that RETA’s current approach cannot reach: the time-resolved, uncertainty-aware, multi-perspective evaluation of individual site pathway decisions against regional infrastructure constraints. RETA identifies where the decarbonisation opportunities are and what infrastructure would be needed to realise them. The framework evaluates whether those opportunities remain robust across the futures in which the infrastructure may or may not materialise on the required timeline. The two approaches are designed for each other.</w:t>
      </w:r>
    </w:p>
    <w:p>
      <w:pPr>
        <w:pStyle w:val="BodyText"/>
      </w:pPr>
      <w:r>
        <w:t xml:space="preserve">For the Climate Change Commission, the framework offers a tool for evaluating whether the sectoral emissions reduction targets in the emissions reduction plan are achievable under the specific infrastructure and supply chain conditions that determine feasibility at the site level. A national emissions reduction plan that requires large-scale industrial electrification without representing the regional grid infrastructure constraints that determine feasibility on the required timeline may look achievable in a national model and be infeasible on the ground. The framework’s site-to-region coupling makes that gap analytically visible and attributable.</w:t>
      </w:r>
    </w:p>
    <w:p>
      <w:pPr>
        <w:pStyle w:val="BodyText"/>
      </w:pPr>
      <w:r>
        <w:t xml:space="preserve">For the Electricity Authority and Transpower, the framework offers a structured approach to the aggregate demand forecasting challenge that large-scale industrial electrification creates. Multiple industrial users electrifying simultaneously in the same region creates aggregate GXP demand that is difficult to predict from individual site assessments alone. A framework-based regional demand assessment, aggregating IncrementalElectricityPacks from multiple facility modules through a shared regional module, produces an aggregate demand forecast that is grounded in individual facility operational characteristics, evaluated across a structured future ensemble, and expressed in the time-resolved format that network investment planning requires.</w:t>
      </w:r>
    </w:p>
    <w:p>
      <w:r>
        <w:pict>
          <v:rect style="width:0;height:1.5pt" o:hralign="center" o:hrstd="t" o:hr="t"/>
        </w:pict>
      </w:r>
    </w:p>
    <w:bookmarkEnd w:id="27"/>
    <w:bookmarkStart w:id="28" w:name="X71cc449aa9ed7d55481515686c83c31eb43c60d"/>
    <w:p>
      <w:pPr>
        <w:pStyle w:val="Heading3"/>
      </w:pPr>
      <w:r>
        <w:t xml:space="preserve">3.5.5 It asks communities and civil society organisations to recognise that the decisions being made by large industrial operators about the energy infrastructure of the next thirty years are simultaneously decisions about the regional economy, the regional employment base, the regional environment, and the social fabric of communities built around particular industrial configurations.</w:t>
      </w:r>
    </w:p>
    <w:p>
      <w:pPr>
        <w:pStyle w:val="FirstParagraph"/>
      </w:pPr>
      <w:r>
        <w:t xml:space="preserve">These consequences are not secondary effects that happen after the real decision has been made. They are part of the decision. An analytical environment that treats them as qualitative footnotes to a financial analysis produces a decision that is less likely to be legitimate, less likely to be durable, and less likely to serve the communities that must live with it.</w:t>
      </w:r>
    </w:p>
    <w:p>
      <w:pPr>
        <w:pStyle w:val="BodyText"/>
      </w:pPr>
      <w:r>
        <w:t xml:space="preserve">The framework’s multi-perspective evaluation architecture is designed to make social and environmental consequences first-class objects in the comparison chain alongside cost and emissions. A regional employment impact module can be added to the regional layer, producing an employment consequence artefact alongside the SignalsPack. A community infrastructure stress module can evaluate whether the regional development patterns associated with different industrial transition pathways are consistent with community planning priorities. A biodiversity and land-use consequence module can represent the environmental implications of biomass supply chain development at the scale where those implications are most material.</w:t>
      </w:r>
    </w:p>
    <w:p>
      <w:pPr>
        <w:pStyle w:val="BodyText"/>
      </w:pPr>
      <w:r>
        <w:t xml:space="preserve">Each of these modules follows the same thin-waist architecture as the electricity and cost modules. It receives a standardised input artefact, produces a standardised output artefact, and contributes to the DecisionSummaryArtefact a consequence dimension that can be evaluated through the same regret and robustness metrics as the financial dimensions. This is not social accounting tacked onto an economic model. It is the decision-first principle applied to the full scope of what the decision is actually about. When a regional community has a stake in whether a large employer pursues electrification or biomass conversion, that stake is a decision-relevant consequence. It belongs in the analysis from the beginning.</w:t>
      </w:r>
    </w:p>
    <w:p>
      <w:r>
        <w:pict>
          <v:rect style="width:0;height:1.5pt" o:hralign="center" o:hrstd="t" o:hr="t"/>
        </w:pict>
      </w:r>
    </w:p>
    <w:bookmarkEnd w:id="28"/>
    <w:bookmarkStart w:id="29" w:name="X5ccb0785451a92b95283f307765618012420126"/>
    <w:p>
      <w:pPr>
        <w:pStyle w:val="Heading3"/>
      </w:pPr>
      <w:r>
        <w:t xml:space="preserve">3.5.6 It asks AI assistants and the research community to engage with this document not as a completed account of a finished framework but as the first formal specification of a knowledge environment that is designed to grow through exactly the kind of engagement that AI-assisted, community-driven research can provide.</w:t>
      </w:r>
    </w:p>
    <w:p>
      <w:pPr>
        <w:pStyle w:val="FirstParagraph"/>
      </w:pPr>
      <w:r>
        <w:t xml:space="preserve">The framework’s modular architecture is the blueprint for its own extension. A domain specialist in water infrastructure planning who reads this document and recognises the decision structure they are working with can contribute a domain instantiation by specifying the relevant module classes, artefact families, and uncertain drivers in terms of the framework’s interface contract. A PyPSA developer who reads the regional module specification in Sub-Module SM-6.6-E can implement that module and contribute it to the community through the process described in the Context Declaration. A researcher in the DMDU community who identifies a new robustness metric or a new scenario discovery algorithm that improves the evaluation layer can propose its integration as a methodological extension. Each of these contributions enters a governed environment: it is assessed for compatibility with the thin-waist architecture and the decision-first principle, reviewed through the editorial process described in the Context Declaration, and if accepted, formally incorporated with full provenance.</w:t>
      </w:r>
    </w:p>
    <w:p>
      <w:pPr>
        <w:pStyle w:val="BodyText"/>
      </w:pPr>
      <w:r>
        <w:t xml:space="preserve">The AI-assisted engagement pathway deserves specific mention. A practitioner who uploads this document to a capable AI assistant and asks questions drawn from the audience-specific catalogues is using the document in exactly the way it was designed to be used: as a structured knowledge base that supports precise, framework-grounded engagement with the specific question at hand. The AI assistant is not being asked to summarise the document. It is being asked to reason about the framework with the precision that the framework’s own vocabulary supports, to distinguish between what has been implemented and what has been specified, to help the user navigate from their specific question to the part of the framework most relevant to addressing it, and to acknowledge explicitly when a question concerns something the current framework does not yet represent.</w:t>
      </w:r>
    </w:p>
    <w:p>
      <w:pPr>
        <w:pStyle w:val="BodyText"/>
      </w:pPr>
      <w:r>
        <w:t xml:space="preserve">The framework does not need to be complete to be useful. It needs to be honest about what it does and does not yet represent, to provide a clear path toward representing what it does not, and to create the conditions under which the research community and the communities of practice most directly affected by the decisions the framework supports can contribute to that path in a governed, accountable, and cumulatively productive way. This document is the beginning of that path.</w:t>
      </w:r>
    </w:p>
    <w:p>
      <w:r>
        <w:pict>
          <v:rect style="width:0;height:1.5pt" o:hralign="center" o:hrstd="t" o:hr="t"/>
        </w:pict>
      </w:r>
    </w:p>
    <w:bookmarkEnd w:id="29"/>
    <w:bookmarkEnd w:id="30"/>
    <w:bookmarkStart w:id="31" w:name="Xff856afe17fc2ce0e26c5fb1c5c1db19a0e845e"/>
    <w:p>
      <w:pPr>
        <w:pStyle w:val="Heading2"/>
      </w:pPr>
      <w:r>
        <w:t xml:space="preserve">3.6 A Note on How the AI Assistant Should Use This Document</w:t>
      </w:r>
    </w:p>
    <w:p>
      <w:pPr>
        <w:pStyle w:val="FirstParagraph"/>
      </w:pPr>
      <w:r>
        <w:t xml:space="preserve">When answering any question using this document, the AI assistant should ground answers in the framework’s specific terms and concepts rather than in general knowledge about energy systems or decision theory that may differ from how this framework uses those terms. It should acknowledge explicitly when a question asks about something the current framework does not yet implement and explain what would be required to address it, consistent with the progressive-refinement philosophy. It should distinguish between what the Edendale proof of concept has demonstrated, what has been specified as next-phase development, and what remains a longer-range vision.</w:t>
      </w:r>
    </w:p>
    <w:p>
      <w:pPr>
        <w:pStyle w:val="BodyText"/>
      </w:pPr>
      <w:r>
        <w:t xml:space="preserve">The assistant should treat the Node Declaration Tables at the front of each module as the authoritative map of what each module contributes and what it assumes. It should use the numbered propositions in Module 7 §7.6 as the distilled claim set when asked about the framework’s intellectual contribution. It should treat the decision-first boundary principle as the conceptual anchor that connects every architectural choice to the framework’s foundational commitment. When a question concerns a domain outside process heat, the assistant should use the framework’s architecture as the basis for reasoning about how that domain would be instantiated, specifying the relevant decision class, the relevant module structure, and the relevant artefact families in terms the framework’s interface contract supports.</w:t>
      </w:r>
    </w:p>
    <w:p>
      <w:r>
        <w:pict>
          <v:rect style="width:0;height:1.5pt" o:hralign="center" o:hrstd="t" o:hr="t"/>
        </w:pict>
      </w:r>
    </w:p>
    <w:bookmarkEnd w:id="31"/>
    <w:bookmarkStart w:id="32" w:name="what-this-document-contains"/>
    <w:p>
      <w:pPr>
        <w:pStyle w:val="Heading2"/>
      </w:pPr>
      <w:r>
        <w:t xml:space="preserve">3.7 What This Document Contains</w:t>
      </w:r>
    </w:p>
    <w:p>
      <w:pPr>
        <w:pStyle w:val="FirstParagraph"/>
      </w:pPr>
      <w:r>
        <w:t xml:space="preserve">The document is organised across eight modules preceded by the Context Declaration, Preamble, and Navigation Guide. Every module opens with a Node Declaration Table specifying what it assumes, what it contributes, whether it can be read independently, and what it passes forward. Module 0 provides the framework map and orientation. Modules 1 and 2 establish conceptual and methodological foundations. Module 3 develops the architecture. Modules 4 and 5 instantiate it in the energy domain and the New Zealand context. Module 6 documents the full Edendale–Southland proof of concept. Module 7 synthesises, extends, and closes the argument.</w:t>
      </w:r>
    </w:p>
    <w:p>
      <w:pPr>
        <w:pStyle w:val="BodyText"/>
      </w:pPr>
      <w:r>
        <w:t xml:space="preserve">Module 0: Orientation provides the framework map, the decision-first boundary principle, the seven functional layers, the current implementation status, and the navigational logic for the rest of the document.</w:t>
      </w:r>
    </w:p>
    <w:p>
      <w:pPr>
        <w:pStyle w:val="BodyText"/>
      </w:pPr>
      <w:r>
        <w:t xml:space="preserve">Module 1 establishes the conceptual and methodological foundations: why decision-first boundary setting is the appropriate response to long-horizon planning under deep uncertainty, what analytical grammar is needed to pursue it rigorously, and what tools are available to generate decision-relevant consequences.</w:t>
      </w:r>
    </w:p>
    <w:p>
      <w:pPr>
        <w:pStyle w:val="BodyText"/>
      </w:pPr>
      <w:r>
        <w:t xml:space="preserve">Module 3 develops the architecture: modular decomposition, thin-waist artefact exchange, and the governed data backbone that makes the environment persistent, traceable, and extensible.</w:t>
      </w:r>
    </w:p>
    <w:p>
      <w:pPr>
        <w:pStyle w:val="BodyText"/>
      </w:pPr>
      <w:r>
        <w:t xml:space="preserve">Modules 4, 5, and 6 instantiate the architecture: first in the domain of coupled energy systems and industrial process heat, then in the specific New Zealand conditions that motivate the proof of concept, and finally in the full documented Edendale–Southland proof of concept with its implemented pipeline, its artefact integrity record, and its results.</w:t>
      </w:r>
    </w:p>
    <w:p>
      <w:pPr>
        <w:pStyle w:val="BodyText"/>
      </w:pPr>
      <w:r>
        <w:t xml:space="preserve">Module 7 synthesises extending the framework beyond its current instantiation, stating its limits honestly, and presenting the eleven propositions that constitute its intellectual claim.</w:t>
      </w:r>
    </w:p>
    <w:p>
      <w:r>
        <w:pict>
          <v:rect style="width:0;height:1.5pt" o:hralign="center" o:hrstd="t" o:hr="t"/>
        </w:pict>
      </w:r>
    </w:p>
    <w:bookmarkEnd w:id="32"/>
    <w:bookmarkStart w:id="33" w:name="current-implementation-status"/>
    <w:p>
      <w:pPr>
        <w:pStyle w:val="Heading2"/>
      </w:pPr>
      <w:r>
        <w:t xml:space="preserve">3.8 Current Implementation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Significance</w:t>
            </w:r>
          </w:p>
        </w:tc>
      </w:tr>
      <w:tr>
        <w:tc>
          <w:tcPr/>
          <w:p>
            <w:pPr>
              <w:pStyle w:val="Compact"/>
            </w:pPr>
            <w:r>
              <w:t xml:space="preserve">DemandPack construction (synthetic, RETA-calibrated)</w:t>
            </w:r>
          </w:p>
        </w:tc>
        <w:tc>
          <w:tcPr/>
          <w:p>
            <w:pPr>
              <w:pStyle w:val="Compact"/>
            </w:pPr>
            <w:r>
              <w:t xml:space="preserve">Implemented</w:t>
            </w:r>
          </w:p>
        </w:tc>
        <w:tc>
          <w:tcPr/>
          <w:p>
            <w:pPr>
              <w:pStyle w:val="Compact"/>
            </w:pPr>
            <w:r>
              <w:t xml:space="preserve">Foundational demand artefact for all epochs</w:t>
            </w:r>
          </w:p>
        </w:tc>
      </w:tr>
      <w:tr>
        <w:tc>
          <w:tcPr/>
          <w:p>
            <w:pPr>
              <w:pStyle w:val="Compact"/>
            </w:pPr>
            <w:r>
              <w:t xml:space="preserve">Proportional and optimal-subset dispatch</w:t>
            </w:r>
          </w:p>
        </w:tc>
        <w:tc>
          <w:tcPr/>
          <w:p>
            <w:pPr>
              <w:pStyle w:val="Compact"/>
            </w:pPr>
            <w:r>
              <w:t xml:space="preserve">Implemented</w:t>
            </w:r>
          </w:p>
        </w:tc>
        <w:tc>
          <w:tcPr/>
          <w:p>
            <w:pPr>
              <w:pStyle w:val="Compact"/>
            </w:pPr>
            <w:r>
              <w:t xml:space="preserve">Site-level pathway evaluation with cost and emissions accounting</w:t>
            </w:r>
          </w:p>
        </w:tc>
      </w:tr>
      <w:tr>
        <w:tc>
          <w:tcPr/>
          <w:p>
            <w:pPr>
              <w:pStyle w:val="Compact"/>
            </w:pPr>
            <w:r>
              <w:t xml:space="preserve">SignalsPack generator (Edendale GXP, schema v0.1.0)</w:t>
            </w:r>
          </w:p>
        </w:tc>
        <w:tc>
          <w:tcPr/>
          <w:p>
            <w:pPr>
              <w:pStyle w:val="Compact"/>
            </w:pPr>
            <w:r>
              <w:t xml:space="preserve">Implemented</w:t>
            </w:r>
          </w:p>
        </w:tc>
        <w:tc>
          <w:tcPr/>
          <w:p>
            <w:pPr>
              <w:pStyle w:val="Compact"/>
            </w:pPr>
            <w:r>
              <w:t xml:space="preserve">Frozen interface contract with SHA256 hash integrity</w:t>
            </w:r>
          </w:p>
        </w:tc>
      </w:tr>
      <w:tr>
        <w:tc>
          <w:tcPr/>
          <w:p>
            <w:pPr>
              <w:pStyle w:val="Compact"/>
            </w:pPr>
            <w:r>
              <w:t xml:space="preserve">GXP screening module (stylised)</w:t>
            </w:r>
          </w:p>
        </w:tc>
        <w:tc>
          <w:tcPr/>
          <w:p>
            <w:pPr>
              <w:pStyle w:val="Compact"/>
            </w:pPr>
            <w:r>
              <w:t xml:space="preserve">Implemented</w:t>
            </w:r>
          </w:p>
        </w:tc>
        <w:tc>
          <w:tcPr/>
          <w:p>
            <w:pPr>
              <w:pStyle w:val="Compact"/>
            </w:pPr>
            <w:r>
              <w:t xml:space="preserve">First-generation regional adequacy assessment</w:t>
            </w:r>
          </w:p>
        </w:tc>
      </w:tr>
      <w:tr>
        <w:tc>
          <w:tcPr/>
          <w:p>
            <w:pPr>
              <w:pStyle w:val="Compact"/>
            </w:pPr>
            <w:r>
              <w:t xml:space="preserve">Grid RDM evaluation (21 to 100 futures)</w:t>
            </w:r>
          </w:p>
        </w:tc>
        <w:tc>
          <w:tcPr/>
          <w:p>
            <w:pPr>
              <w:pStyle w:val="Compact"/>
            </w:pPr>
            <w:r>
              <w:t xml:space="preserve">Implemented</w:t>
            </w:r>
          </w:p>
        </w:tc>
        <w:tc>
          <w:tcPr/>
          <w:p>
            <w:pPr>
              <w:pStyle w:val="Compact"/>
            </w:pPr>
            <w:r>
              <w:t xml:space="preserve">Robustness screening across five uncertain driver dimensions</w:t>
            </w:r>
          </w:p>
        </w:tc>
      </w:tr>
      <w:tr>
        <w:tc>
          <w:tcPr/>
          <w:p>
            <w:pPr>
              <w:pStyle w:val="Compact"/>
            </w:pPr>
            <w:r>
              <w:t xml:space="preserve">Site decision robustness overlay</w:t>
            </w:r>
          </w:p>
        </w:tc>
        <w:tc>
          <w:tcPr/>
          <w:p>
            <w:pPr>
              <w:pStyle w:val="Compact"/>
            </w:pPr>
            <w:r>
              <w:t xml:space="preserve">Implemented</w:t>
            </w:r>
          </w:p>
        </w:tc>
        <w:tc>
          <w:tcPr/>
          <w:p>
            <w:pPr>
              <w:pStyle w:val="Compact"/>
            </w:pPr>
            <w:r>
              <w:t xml:space="preserve">Site-cost uncertainty separated from grid-side uncertainty</w:t>
            </w:r>
          </w:p>
        </w:tc>
      </w:tr>
      <w:tr>
        <w:tc>
          <w:tcPr/>
          <w:p>
            <w:pPr>
              <w:pStyle w:val="Compact"/>
            </w:pPr>
            <w:r>
              <w:t xml:space="preserve">Pathway comparison (2035_EB vs 2035_BB)</w:t>
            </w:r>
          </w:p>
        </w:tc>
        <w:tc>
          <w:tcPr/>
          <w:p>
            <w:pPr>
              <w:pStyle w:val="Compact"/>
            </w:pPr>
            <w:r>
              <w:t xml:space="preserve">Implemented</w:t>
            </w:r>
          </w:p>
        </w:tc>
        <w:tc>
          <w:tcPr/>
          <w:p>
            <w:pPr>
              <w:pStyle w:val="Compact"/>
            </w:pPr>
            <w:r>
              <w:t xml:space="preserve">Paired-futures regret and robustness diagnostics</w:t>
            </w:r>
          </w:p>
        </w:tc>
      </w:tr>
      <w:tr>
        <w:tc>
          <w:tcPr/>
          <w:p>
            <w:pPr>
              <w:pStyle w:val="Compact"/>
            </w:pPr>
            <w:r>
              <w:t xml:space="preserve">DuckDB and Parquet analytical backbone</w:t>
            </w:r>
          </w:p>
        </w:tc>
        <w:tc>
          <w:tcPr/>
          <w:p>
            <w:pPr>
              <w:pStyle w:val="Compact"/>
            </w:pPr>
            <w:r>
              <w:t xml:space="preserve">Specified</w:t>
            </w:r>
          </w:p>
        </w:tc>
        <w:tc>
          <w:tcPr/>
          <w:p>
            <w:pPr>
              <w:pStyle w:val="Compact"/>
            </w:pPr>
            <w:r>
              <w:t xml:space="preserve">Governed, append-only, queryable persistence layer</w:t>
            </w:r>
          </w:p>
        </w:tc>
      </w:tr>
      <w:tr>
        <w:tc>
          <w:tcPr/>
          <w:p>
            <w:pPr>
              <w:pStyle w:val="Compact"/>
            </w:pPr>
            <w:r>
              <w:t xml:space="preserve">PyPSA regional electricity module</w:t>
            </w:r>
          </w:p>
        </w:tc>
        <w:tc>
          <w:tcPr/>
          <w:p>
            <w:pPr>
              <w:pStyle w:val="Compact"/>
            </w:pPr>
            <w:r>
              <w:t xml:space="preserve">Specified</w:t>
            </w:r>
          </w:p>
        </w:tc>
        <w:tc>
          <w:tcPr/>
          <w:p>
            <w:pPr>
              <w:pStyle w:val="Compact"/>
            </w:pPr>
            <w:r>
              <w:t xml:space="preserve">Full network optimisation replacing stylised screen</w:t>
            </w:r>
          </w:p>
        </w:tc>
      </w:tr>
      <w:tr>
        <w:tc>
          <w:tcPr/>
          <w:p>
            <w:pPr>
              <w:pStyle w:val="Compact"/>
            </w:pPr>
            <w:r>
              <w:t xml:space="preserve">OpenModelica site truth model</w:t>
            </w:r>
          </w:p>
        </w:tc>
        <w:tc>
          <w:tcPr/>
          <w:p>
            <w:pPr>
              <w:pStyle w:val="Compact"/>
            </w:pPr>
            <w:r>
              <w:t xml:space="preserve">Specified</w:t>
            </w:r>
          </w:p>
        </w:tc>
        <w:tc>
          <w:tcPr/>
          <w:p>
            <w:pPr>
              <w:pStyle w:val="Compact"/>
            </w:pPr>
            <w:r>
              <w:t xml:space="preserve">Equation-based physical simulation replacing proportional dispatch</w:t>
            </w:r>
          </w:p>
        </w:tc>
      </w:tr>
      <w:tr>
        <w:tc>
          <w:tcPr/>
          <w:p>
            <w:pPr>
              <w:pStyle w:val="Compact"/>
            </w:pPr>
            <w:r>
              <w:t xml:space="preserve">Surrogate-accelerated ensemble</w:t>
            </w:r>
          </w:p>
        </w:tc>
        <w:tc>
          <w:tcPr/>
          <w:p>
            <w:pPr>
              <w:pStyle w:val="Compact"/>
            </w:pPr>
            <w:r>
              <w:t xml:space="preserve">Specified</w:t>
            </w:r>
          </w:p>
        </w:tc>
        <w:tc>
          <w:tcPr/>
          <w:p>
            <w:pPr>
              <w:pStyle w:val="Compact"/>
            </w:pPr>
            <w:r>
              <w:t xml:space="preserve">ML emulator enabling ensemble expansion to thousands of futures</w:t>
            </w:r>
          </w:p>
        </w:tc>
      </w:tr>
      <w:tr>
        <w:tc>
          <w:tcPr/>
          <w:p>
            <w:pPr>
              <w:pStyle w:val="Compact"/>
            </w:pPr>
            <w:r>
              <w:t xml:space="preserve">TIMES-NZ scenario coupling</w:t>
            </w:r>
          </w:p>
        </w:tc>
        <w:tc>
          <w:tcPr/>
          <w:p>
            <w:pPr>
              <w:pStyle w:val="Compact"/>
            </w:pPr>
            <w:r>
              <w:t xml:space="preserve">Vision</w:t>
            </w:r>
          </w:p>
        </w:tc>
        <w:tc>
          <w:tcPr/>
          <w:p>
            <w:pPr>
              <w:pStyle w:val="Compact"/>
            </w:pPr>
            <w:r>
              <w:t xml:space="preserve">National-regional consistency in FutureArtefact ensemble calibration</w:t>
            </w:r>
          </w:p>
        </w:tc>
      </w:tr>
      <w:tr>
        <w:tc>
          <w:tcPr/>
          <w:p>
            <w:pPr>
              <w:pStyle w:val="Compact"/>
            </w:pPr>
            <w:r>
              <w:t xml:space="preserve">Corporate-scale multi-site deployment</w:t>
            </w:r>
          </w:p>
        </w:tc>
        <w:tc>
          <w:tcPr/>
          <w:p>
            <w:pPr>
              <w:pStyle w:val="Compact"/>
            </w:pPr>
            <w:r>
              <w:t xml:space="preserve">Vision</w:t>
            </w:r>
          </w:p>
        </w:tc>
        <w:tc>
          <w:tcPr/>
          <w:p>
            <w:pPr>
              <w:pStyle w:val="Compact"/>
            </w:pPr>
            <w:r>
              <w:t xml:space="preserve">Portfolio transition strategy across multiple facilities</w:t>
            </w:r>
          </w:p>
        </w:tc>
      </w:tr>
      <w:tr>
        <w:tc>
          <w:tcPr/>
          <w:p>
            <w:pPr>
              <w:pStyle w:val="Compact"/>
            </w:pPr>
            <w:r>
              <w:t xml:space="preserve">Multi-domain extension</w:t>
            </w:r>
          </w:p>
        </w:tc>
        <w:tc>
          <w:tcPr/>
          <w:p>
            <w:pPr>
              <w:pStyle w:val="Compact"/>
            </w:pPr>
            <w:r>
              <w:t xml:space="preserve">Vision</w:t>
            </w:r>
          </w:p>
        </w:tc>
        <w:tc>
          <w:tcPr/>
          <w:p>
            <w:pPr>
              <w:pStyle w:val="Compact"/>
            </w:pPr>
            <w:r>
              <w:t xml:space="preserve">Water, transport, and land-use instantiations through community contribution</w:t>
            </w:r>
          </w:p>
        </w:tc>
      </w:tr>
      <w:tr>
        <w:tc>
          <w:tcPr/>
          <w:p>
            <w:pPr>
              <w:pStyle w:val="Compact"/>
            </w:pPr>
            <w:r>
              <w:t xml:space="preserve">Natural-language query interface</w:t>
            </w:r>
          </w:p>
        </w:tc>
        <w:tc>
          <w:tcPr/>
          <w:p>
            <w:pPr>
              <w:pStyle w:val="Compact"/>
            </w:pPr>
            <w:r>
              <w:t xml:space="preserve">Vision</w:t>
            </w:r>
          </w:p>
        </w:tc>
        <w:tc>
          <w:tcPr/>
          <w:p>
            <w:pPr>
              <w:pStyle w:val="Compact"/>
            </w:pPr>
            <w:r>
              <w:t xml:space="preserve">Accountability-grade interrogation of the governed artefact store</w:t>
            </w:r>
          </w:p>
        </w:tc>
      </w:tr>
    </w:tbl>
    <w:p>
      <w:r>
        <w:pict>
          <v:rect style="width:0;height:1.5pt" o:hralign="center" o:hrstd="t" o:hr="t"/>
        </w:pict>
      </w:r>
    </w:p>
    <w:bookmarkEnd w:id="33"/>
    <w:bookmarkStart w:id="35" w:name="key-concepts-defined-here"/>
    <w:p>
      <w:pPr>
        <w:pStyle w:val="Heading2"/>
      </w:pPr>
      <w:r>
        <w:t xml:space="preserve">3.9 Key Concepts Defined Here</w:t>
      </w:r>
    </w:p>
    <w:p>
      <w:pPr>
        <w:pStyle w:val="FirstParagraph"/>
      </w:pPr>
      <w:r>
        <w:t xml:space="preserve">The following terms are used throughout this</w:t>
      </w:r>
      <w:r>
        <w:t xml:space="preserve"> </w:t>
      </w:r>
      <w:r>
        <w:t xml:space="preserve">document in the precise senses defined below.</w:t>
      </w:r>
      <w:r>
        <w:t xml:space="preserve"> </w:t>
      </w:r>
      <w:r>
        <w:t xml:space="preserve">Full definitions for all framework terms are in</w:t>
      </w:r>
      <w:r>
        <w:t xml:space="preserve"> </w:t>
      </w:r>
      <w:r>
        <w:t xml:space="preserve">the</w:t>
      </w:r>
      <w:r>
        <w:t xml:space="preserve"> </w:t>
      </w:r>
      <w:hyperlink r:id="rId34">
        <w:r>
          <w:rPr>
            <w:rStyle w:val="Hyperlink"/>
          </w:rPr>
          <w:t xml:space="preserve">Glossary</w:t>
        </w:r>
      </w:hyperlink>
      <w:r>
        <w:t xml:space="preserve">.</w:t>
      </w:r>
    </w:p>
    <w:p>
      <w:pPr>
        <w:pStyle w:val="BodyText"/>
      </w:pPr>
      <w:r>
        <w:rPr>
          <w:b/>
          <w:bCs/>
        </w:rPr>
        <w:t xml:space="preserve">Decision-first boundary principle.</w:t>
      </w:r>
      <w:r>
        <w:t xml:space="preserve"> </w:t>
      </w:r>
      <w:r>
        <w:t xml:space="preserve">Analytical</w:t>
      </w:r>
      <w:r>
        <w:t xml:space="preserve"> </w:t>
      </w:r>
      <w:r>
        <w:t xml:space="preserve">boundaries are drawn by the decision context — what</w:t>
      </w:r>
      <w:r>
        <w:t xml:space="preserve"> </w:t>
      </w:r>
      <w:r>
        <w:t xml:space="preserve">must remain visible for the comparison to be valid —</w:t>
      </w:r>
      <w:r>
        <w:t xml:space="preserve"> </w:t>
      </w:r>
      <w:r>
        <w:t xml:space="preserve">not by the physical extent of the system.</w:t>
      </w:r>
    </w:p>
    <w:p>
      <w:pPr>
        <w:pStyle w:val="BodyText"/>
      </w:pPr>
      <w:r>
        <w:rPr>
          <w:b/>
          <w:bCs/>
        </w:rPr>
        <w:t xml:space="preserve">Artefact.</w:t>
      </w:r>
      <w:r>
        <w:t xml:space="preserve"> </w:t>
      </w:r>
      <w:r>
        <w:t xml:space="preserve">A governed analytical output:</w:t>
      </w:r>
      <w:r>
        <w:t xml:space="preserve"> </w:t>
      </w:r>
      <w:r>
        <w:t xml:space="preserve">schema-conforming, provenance-carrying, and</w:t>
      </w:r>
      <w:r>
        <w:t xml:space="preserve"> </w:t>
      </w:r>
      <w:r>
        <w:t xml:space="preserve">validation-gated before it enters the comparison</w:t>
      </w:r>
      <w:r>
        <w:t xml:space="preserve"> </w:t>
      </w:r>
      <w:r>
        <w:t xml:space="preserve">chain.</w:t>
      </w:r>
    </w:p>
    <w:p>
      <w:pPr>
        <w:pStyle w:val="BodyText"/>
      </w:pPr>
      <w:r>
        <w:rPr>
          <w:b/>
          <w:bCs/>
        </w:rPr>
        <w:t xml:space="preserve">Thin waist.</w:t>
      </w:r>
      <w:r>
        <w:t xml:space="preserve"> </w:t>
      </w:r>
      <w:r>
        <w:t xml:space="preserve">What crosses module boundaries must</w:t>
      </w:r>
      <w:r>
        <w:t xml:space="preserve"> </w:t>
      </w:r>
      <w:r>
        <w:t xml:space="preserve">be narrow, explicit, and stable. Module internals</w:t>
      </w:r>
      <w:r>
        <w:t xml:space="preserve"> </w:t>
      </w:r>
      <w:r>
        <w:t xml:space="preserve">may evolve freely provided the interface contract</w:t>
      </w:r>
      <w:r>
        <w:t xml:space="preserve"> </w:t>
      </w:r>
      <w:r>
        <w:t xml:space="preserve">is preserved.</w:t>
      </w:r>
    </w:p>
    <w:p>
      <w:pPr>
        <w:pStyle w:val="BodyText"/>
      </w:pPr>
      <w:r>
        <w:rPr>
          <w:b/>
          <w:bCs/>
        </w:rPr>
        <w:t xml:space="preserve">Deep uncertainty.</w:t>
      </w:r>
      <w:r>
        <w:t xml:space="preserve"> </w:t>
      </w:r>
      <w:r>
        <w:t xml:space="preserve">Conditions where probabilities</w:t>
      </w:r>
      <w:r>
        <w:t xml:space="preserve"> </w:t>
      </w:r>
      <w:r>
        <w:t xml:space="preserve">over futures are structurally unavailable or</w:t>
      </w:r>
      <w:r>
        <w:t xml:space="preserve"> </w:t>
      </w:r>
      <w:r>
        <w:t xml:space="preserve">contested, requiring robustness evaluation rather</w:t>
      </w:r>
      <w:r>
        <w:t xml:space="preserve"> </w:t>
      </w:r>
      <w:r>
        <w:t xml:space="preserve">than expected-value optimisation.</w:t>
      </w:r>
    </w:p>
    <w:p>
      <w:pPr>
        <w:pStyle w:val="BodyText"/>
      </w:pPr>
      <w:r>
        <w:rPr>
          <w:b/>
          <w:bCs/>
        </w:rPr>
        <w:t xml:space="preserve">Regret.</w:t>
      </w:r>
      <w:r>
        <w:t xml:space="preserve"> </w:t>
      </w:r>
      <w:r>
        <w:t xml:space="preserve">The difference between a chosen</w:t>
      </w:r>
      <w:r>
        <w:t xml:space="preserve"> </w:t>
      </w:r>
      <w:r>
        <w:t xml:space="preserve">strategy’s outcome and the best available</w:t>
      </w:r>
      <w:r>
        <w:t xml:space="preserve"> </w:t>
      </w:r>
      <w:r>
        <w:t xml:space="preserve">outcome under the same future.</w:t>
      </w:r>
    </w:p>
    <w:p>
      <w:pPr>
        <w:pStyle w:val="BodyText"/>
      </w:pPr>
      <w:r>
        <w:rPr>
          <w:b/>
          <w:bCs/>
        </w:rPr>
        <w:t xml:space="preserve">Robustness.</w:t>
      </w:r>
      <w:r>
        <w:t xml:space="preserve"> </w:t>
      </w:r>
      <w:r>
        <w:t xml:space="preserve">A strategy’s property of performing</w:t>
      </w:r>
      <w:r>
        <w:t xml:space="preserve"> </w:t>
      </w:r>
      <w:r>
        <w:t xml:space="preserve">acceptably across many plausible futures, not only</w:t>
      </w:r>
      <w:r>
        <w:t xml:space="preserve"> </w:t>
      </w:r>
      <w:r>
        <w:t xml:space="preserve">under the central case.</w:t>
      </w:r>
    </w:p>
    <w:p>
      <w:pPr>
        <w:pStyle w:val="BodyText"/>
      </w:pPr>
      <w:r>
        <w:rPr>
          <w:b/>
          <w:bCs/>
        </w:rPr>
        <w:t xml:space="preserve">Satisficing.</w:t>
      </w:r>
      <w:r>
        <w:t xml:space="preserve"> </w:t>
      </w:r>
      <w:r>
        <w:t xml:space="preserve">Meeting declared thresholds of</w:t>
      </w:r>
      <w:r>
        <w:t xml:space="preserve"> </w:t>
      </w:r>
      <w:r>
        <w:t xml:space="preserve">acceptability across futures rather than nominal</w:t>
      </w:r>
      <w:r>
        <w:t xml:space="preserve"> </w:t>
      </w:r>
      <w:r>
        <w:t xml:space="preserve">optimisation against any single one.</w:t>
      </w:r>
    </w:p>
    <w:p>
      <w:pPr>
        <w:pStyle w:val="BodyText"/>
      </w:pPr>
      <w:r>
        <w:rPr>
          <w:b/>
          <w:bCs/>
        </w:rPr>
        <w:t xml:space="preserve">Progressive refinement.</w:t>
      </w:r>
      <w:r>
        <w:t xml:space="preserve"> </w:t>
      </w:r>
      <w:r>
        <w:t xml:space="preserve">The development</w:t>
      </w:r>
      <w:r>
        <w:t xml:space="preserve"> </w:t>
      </w:r>
      <w:r>
        <w:t xml:space="preserve">philosophy: add complexity where regret diagnostics</w:t>
      </w:r>
      <w:r>
        <w:t xml:space="preserve"> </w:t>
      </w:r>
      <w:r>
        <w:t xml:space="preserve">reveal it would most change the decision-relevant</w:t>
      </w:r>
      <w:r>
        <w:t xml:space="preserve"> </w:t>
      </w:r>
      <w:r>
        <w:t xml:space="preserve">comparison.</w:t>
      </w:r>
    </w:p>
    <w:p>
      <w:pPr>
        <w:pStyle w:val="BodyText"/>
      </w:pPr>
      <w:r>
        <w:rPr>
          <w:b/>
          <w:bCs/>
        </w:rPr>
        <w:t xml:space="preserve">GXP (Grid Exit Point).</w:t>
      </w:r>
      <w:r>
        <w:t xml:space="preserve"> </w:t>
      </w:r>
      <w:r>
        <w:t xml:space="preserve">The metered boundary</w:t>
      </w:r>
      <w:r>
        <w:t xml:space="preserve"> </w:t>
      </w:r>
      <w:r>
        <w:t xml:space="preserve">between the national transmission grid and a</w:t>
      </w:r>
      <w:r>
        <w:t xml:space="preserve"> </w:t>
      </w:r>
      <w:r>
        <w:t xml:space="preserve">regional distribution network — the primary</w:t>
      </w:r>
      <w:r>
        <w:t xml:space="preserve"> </w:t>
      </w:r>
      <w:r>
        <w:t xml:space="preserve">infrastructure constraint for industrial</w:t>
      </w:r>
      <w:r>
        <w:t xml:space="preserve"> </w:t>
      </w:r>
      <w:r>
        <w:t xml:space="preserve">electrification in the NZ context.</w:t>
      </w:r>
    </w:p>
    <w:p>
      <w:pPr>
        <w:pStyle w:val="BodyText"/>
      </w:pPr>
      <w:r>
        <w:rPr>
          <w:b/>
          <w:bCs/>
        </w:rPr>
        <w:t xml:space="preserve">One-pass coupling.</w:t>
      </w:r>
      <w:r>
        <w:t xml:space="preserve"> </w:t>
      </w:r>
      <w:r>
        <w:t xml:space="preserve">The current PoC limitation:</w:t>
      </w:r>
      <w:r>
        <w:t xml:space="preserve"> </w:t>
      </w:r>
      <w:r>
        <w:t xml:space="preserve">modules run in sequence without iterative feedback</w:t>
      </w:r>
      <w:r>
        <w:t xml:space="preserve"> </w:t>
      </w:r>
      <w:r>
        <w:t xml:space="preserve">between site dispatch and regional screening.</w:t>
      </w:r>
    </w:p>
    <w:p>
      <w:r>
        <w:pict>
          <v:rect style="width:0;height:1.5pt" o:hralign="center" o:hrstd="t" o:hr="t"/>
        </w:pict>
      </w:r>
    </w:p>
    <w:bookmarkEnd w:id="35"/>
    <w:bookmarkStart w:id="36" w:name="community-extension"/>
    <w:p>
      <w:pPr>
        <w:pStyle w:val="Heading2"/>
      </w:pPr>
      <w:r>
        <w:t xml:space="preserve">3.10 Community Extension</w:t>
      </w:r>
    </w:p>
    <w:p>
      <w:pPr>
        <w:pStyle w:val="FirstParagraph"/>
      </w:pPr>
      <w:r>
        <w:t xml:space="preserve">The document is released as a living resource. The framework’s modular architecture is designed to accommodate extension without disruption: a new domain instantiation adds a new Part-equivalent appendix; a new artefact family adds a new schema entry; a new uncertain driver adds a field to the FutureArtefact; a new regional application adds a new proof-of-concept chapter.</w:t>
      </w:r>
    </w:p>
    <w:p>
      <w:pPr>
        <w:pStyle w:val="BodyText"/>
      </w:pPr>
      <w:r>
        <w:t xml:space="preserve">Contributions are welcomed in four categories. Domain instantiations apply the framework to domains beyond industrial process heat. Each instantiation should specify the relevant decision class, module structure, and artefact families in terms of the framework’s interface contract. Module implementations provide alternative implementations of any module satisfying the same interface contract. Methodological extensions extend the evaluation layer with new robustness metrics, scenario discovery approaches, or adaptive pathway formulations. Corrections and critiques identify errors or propose alternative approaches.</w:t>
      </w:r>
    </w:p>
    <w:p>
      <w:pPr>
        <w:pStyle w:val="BodyText"/>
      </w:pPr>
      <w:r>
        <w:t xml:space="preserve">Contributions may be submitted through the GitHub repository associated with this document, using the structured templates provided in the GitHub Discussions space. The editorial process assesses compatibility with the thin-waist architecture and the decision-first principle before formal incorporation.</w:t>
      </w:r>
    </w:p>
    <w:bookmarkEnd w:id="36"/>
    <w:bookmarkEnd w:id="37"/>
    <w:bookmarkStart w:id="38" w:name="X01f6b7d54affb04dc25cab4dc6763578b00e798"/>
    <w:p>
      <w:pPr>
        <w:pStyle w:val="Heading1"/>
      </w:pPr>
      <w:r>
        <w:t xml:space="preserve">4. Acknowledgement of AI-Assisted Development</w:t>
      </w:r>
    </w:p>
    <w:p>
      <w:pPr>
        <w:pStyle w:val="FirstParagraph"/>
      </w:pPr>
      <w:r>
        <w:t xml:space="preserve">This framework and this document were developed in active and</w:t>
      </w:r>
      <w:r>
        <w:t xml:space="preserve"> </w:t>
      </w:r>
      <w:r>
        <w:t xml:space="preserve">sustained collaboration with AI tools throughout. Research synthesis,</w:t>
      </w:r>
      <w:r>
        <w:t xml:space="preserve"> </w:t>
      </w:r>
      <w:r>
        <w:t xml:space="preserve">code scaffolding, schema drafting, iterative prototyping, artefact</w:t>
      </w:r>
      <w:r>
        <w:t xml:space="preserve"> </w:t>
      </w:r>
      <w:r>
        <w:t xml:space="preserve">validation logic, and significant portions of the writing were produced</w:t>
      </w:r>
      <w:r>
        <w:t xml:space="preserve"> </w:t>
      </w:r>
      <w:r>
        <w:t xml:space="preserve">through dialogue with AI assistants, principally Claude (Anthropic),</w:t>
      </w:r>
      <w:r>
        <w:t xml:space="preserve"> </w:t>
      </w:r>
      <w:r>
        <w:t xml:space="preserve">ChatGPT (OpenAI), Grok, and Cursor AI, across the full duration of</w:t>
      </w:r>
      <w:r>
        <w:t xml:space="preserve"> </w:t>
      </w:r>
      <w:r>
        <w:t xml:space="preserve">the research process.</w:t>
      </w:r>
    </w:p>
    <w:p>
      <w:pPr>
        <w:pStyle w:val="BodyText"/>
      </w:pPr>
      <w:r>
        <w:t xml:space="preserve">This is acknowledged here not as a disclaimer but as a methodological</w:t>
      </w:r>
      <w:r>
        <w:t xml:space="preserve"> </w:t>
      </w:r>
      <w:r>
        <w:t xml:space="preserve">fact with direct relevance to the framework’s own argument. The</w:t>
      </w:r>
      <w:r>
        <w:t xml:space="preserve"> </w:t>
      </w:r>
      <w:r>
        <w:t xml:space="preserve">framework argues that any output entering an analytical comparison</w:t>
      </w:r>
      <w:r>
        <w:t xml:space="preserve"> </w:t>
      </w:r>
      <w:r>
        <w:t xml:space="preserve">chain must be schema-conforming, provenance-carrying, and</w:t>
      </w:r>
      <w:r>
        <w:t xml:space="preserve"> </w:t>
      </w:r>
      <w:r>
        <w:t xml:space="preserve">validation-gated, regardless of whether it was produced by a</w:t>
      </w:r>
      <w:r>
        <w:t xml:space="preserve"> </w:t>
      </w:r>
      <w:r>
        <w:t xml:space="preserve">deterministic optimiser, a stochastic simulation, or an AI-assisted</w:t>
      </w:r>
      <w:r>
        <w:t xml:space="preserve"> </w:t>
      </w:r>
      <w:r>
        <w:t xml:space="preserve">development process. This document’s own production is subject to the</w:t>
      </w:r>
      <w:r>
        <w:t xml:space="preserve"> </w:t>
      </w:r>
      <w:r>
        <w:t xml:space="preserve">same governance logic it prescribes. Without governance, AI-assisted</w:t>
      </w:r>
      <w:r>
        <w:t xml:space="preserve"> </w:t>
      </w:r>
      <w:r>
        <w:t xml:space="preserve">analytical work is opaque. With it, it is traceable. This document is</w:t>
      </w:r>
      <w:r>
        <w:t xml:space="preserve"> </w:t>
      </w:r>
      <w:r>
        <w:t xml:space="preserve">designed to make that boundary visible.</w:t>
      </w:r>
    </w:p>
    <w:p>
      <w:pPr>
        <w:pStyle w:val="BodyText"/>
      </w:pPr>
      <w:r>
        <w:t xml:space="preserve">Readers who are themselves using AI tools to engage with this framework</w:t>
      </w:r>
      <w:r>
        <w:t xml:space="preserve"> </w:t>
      </w:r>
      <w:r>
        <w:t xml:space="preserve">are doing something it explicitly anticipates and accommodates. This</w:t>
      </w:r>
      <w:r>
        <w:t xml:space="preserve"> </w:t>
      </w:r>
      <w:r>
        <w:t xml:space="preserve">document is designed to be an evolving, AI-readable, progressively</w:t>
      </w:r>
      <w:r>
        <w:t xml:space="preserve"> </w:t>
      </w:r>
      <w:r>
        <w:t xml:space="preserve">extensible knowledge environment. This is its current state. Future</w:t>
      </w:r>
      <w:r>
        <w:t xml:space="preserve"> </w:t>
      </w:r>
      <w:r>
        <w:t xml:space="preserve">states will be richer. The architecture is designed to absorb that</w:t>
      </w:r>
      <w:r>
        <w:t xml:space="preserve"> </w:t>
      </w:r>
      <w:r>
        <w:t xml:space="preserve">enrichment without losing coherence.</w:t>
      </w:r>
    </w:p>
    <w:bookmarkEnd w:id="38"/>
    <w:bookmarkStart w:id="44" w:name="preamble"/>
    <w:p>
      <w:pPr>
        <w:pStyle w:val="Heading1"/>
      </w:pPr>
      <w:r>
        <w:t xml:space="preserve">5. Preamble</w:t>
      </w:r>
    </w:p>
    <w:p>
      <w:pPr>
        <w:pStyle w:val="FirstParagraph"/>
      </w:pPr>
      <w:r>
        <w:t xml:space="preserve">How to Read This Document</w:t>
      </w:r>
    </w:p>
    <w:p>
      <w:pPr>
        <w:pStyle w:val="BodyText"/>
      </w:pPr>
      <w:r>
        <w:br/>
      </w:r>
    </w:p>
    <w:p>
      <w:pPr>
        <w:pStyle w:val="BodyText"/>
      </w:pPr>
      <w:r>
        <w:t xml:space="preserve">There are several ways to come to this document, and it has been</w:t>
      </w:r>
      <w:r>
        <w:t xml:space="preserve"> </w:t>
      </w:r>
      <w:r>
        <w:t xml:space="preserve">written to be useful from all of them. But before describing the</w:t>
      </w:r>
      <w:r>
        <w:t xml:space="preserve"> </w:t>
      </w:r>
      <w:r>
        <w:t xml:space="preserve">reading paths, it is worth saying something about what the document</w:t>
      </w:r>
      <w:r>
        <w:t xml:space="preserve"> </w:t>
      </w:r>
      <w:r>
        <w:t xml:space="preserve">is trying to do at the broadest level, because the ambition is</w:t>
      </w:r>
      <w:r>
        <w:t xml:space="preserve"> </w:t>
      </w:r>
      <w:r>
        <w:t xml:space="preserve">larger than the proof of concept might suggest.</w:t>
      </w:r>
    </w:p>
    <w:bookmarkStart w:id="39" w:name="the-ambition"/>
    <w:p>
      <w:pPr>
        <w:pStyle w:val="Heading2"/>
      </w:pPr>
      <w:r>
        <w:t xml:space="preserve">5.1 The Ambition</w:t>
      </w:r>
    </w:p>
    <w:p>
      <w:pPr>
        <w:pStyle w:val="FirstParagraph"/>
      </w:pPr>
      <w:r>
        <w:t xml:space="preserve">Complex planning decisions in the early twenty-first century are made</w:t>
      </w:r>
      <w:r>
        <w:t xml:space="preserve"> </w:t>
      </w:r>
      <w:r>
        <w:t xml:space="preserve">under conditions that conventional analytical tools were not designed</w:t>
      </w:r>
      <w:r>
        <w:t xml:space="preserve"> </w:t>
      </w:r>
      <w:r>
        <w:t xml:space="preserve">to handle. The decisions are long-horizon, their consequences propagate</w:t>
      </w:r>
      <w:r>
        <w:t xml:space="preserve"> </w:t>
      </w:r>
      <w:r>
        <w:t xml:space="preserve">across scales and actors, the futures that determine their quality</w:t>
      </w:r>
      <w:r>
        <w:t xml:space="preserve"> </w:t>
      </w:r>
      <w:r>
        <w:t xml:space="preserve">cannot be agreed upon probabilistically, and the stakeholders who must</w:t>
      </w:r>
      <w:r>
        <w:t xml:space="preserve"> </w:t>
      </w:r>
      <w:r>
        <w:t xml:space="preserve">live with the outcomes span private corporations, public regulators,</w:t>
      </w:r>
      <w:r>
        <w:t xml:space="preserve"> </w:t>
      </w:r>
      <w:r>
        <w:t xml:space="preserve">regional communities, and global environmental accounting systems.</w:t>
      </w:r>
      <w:r>
        <w:t xml:space="preserve"> </w:t>
      </w:r>
      <w:r>
        <w:t xml:space="preserve">None of the tools currently available to support such decisions was</w:t>
      </w:r>
      <w:r>
        <w:t xml:space="preserve"> </w:t>
      </w:r>
      <w:r>
        <w:t xml:space="preserve">designed to address all of these characteristics simultaneously.</w:t>
      </w:r>
      <w:r>
        <w:t xml:space="preserve"> </w:t>
      </w:r>
      <w:r>
        <w:t xml:space="preserve">National energy system models address long horizons and cross-sector</w:t>
      </w:r>
      <w:r>
        <w:t xml:space="preserve"> </w:t>
      </w:r>
      <w:r>
        <w:t xml:space="preserve">consistency but abstract away the operational heterogeneity of</w:t>
      </w:r>
      <w:r>
        <w:t xml:space="preserve"> </w:t>
      </w:r>
      <w:r>
        <w:t xml:space="preserve">individual facilities and the local infrastructure constraints that</w:t>
      </w:r>
      <w:r>
        <w:t xml:space="preserve"> </w:t>
      </w:r>
      <w:r>
        <w:t xml:space="preserve">determine feasibility. Site-level techno-economic assessments address</w:t>
      </w:r>
      <w:r>
        <w:t xml:space="preserve"> </w:t>
      </w:r>
      <w:r>
        <w:t xml:space="preserve">operational realism but cannot see beyond the facility boundary.</w:t>
      </w:r>
      <w:r>
        <w:t xml:space="preserve"> </w:t>
      </w:r>
      <w:r>
        <w:t xml:space="preserve">Regulatory impact assessments address stakeholder perspectives but</w:t>
      </w:r>
      <w:r>
        <w:t xml:space="preserve"> </w:t>
      </w:r>
      <w:r>
        <w:t xml:space="preserve">rarely achieve the analytical precision needed to evaluate pathway</w:t>
      </w:r>
      <w:r>
        <w:t xml:space="preserve"> </w:t>
      </w:r>
      <w:r>
        <w:t xml:space="preserve">robustness under deep uncertainty. The result is that consequential</w:t>
      </w:r>
      <w:r>
        <w:t xml:space="preserve"> </w:t>
      </w:r>
      <w:r>
        <w:t xml:space="preserve">decisions about the energy infrastructure of the next thirty years</w:t>
      </w:r>
      <w:r>
        <w:t xml:space="preserve"> </w:t>
      </w:r>
      <w:r>
        <w:t xml:space="preserve">are routinely made on the basis of analyses that are each individually</w:t>
      </w:r>
      <w:r>
        <w:t xml:space="preserve"> </w:t>
      </w:r>
      <w:r>
        <w:t xml:space="preserve">sophisticated but collectively incoherent, because they are not</w:t>
      </w:r>
      <w:r>
        <w:t xml:space="preserve"> </w:t>
      </w:r>
      <w:r>
        <w:t xml:space="preserve">connected through a common architecture that allows their contributions</w:t>
      </w:r>
      <w:r>
        <w:t xml:space="preserve"> </w:t>
      </w:r>
      <w:r>
        <w:t xml:space="preserve">to be evaluated together.</w:t>
      </w:r>
    </w:p>
    <w:p>
      <w:pPr>
        <w:pStyle w:val="BodyText"/>
      </w:pPr>
      <w:r>
        <w:t xml:space="preserve">The framework developed in this document is a response to that</w:t>
      </w:r>
      <w:r>
        <w:t xml:space="preserve"> </w:t>
      </w:r>
      <w:r>
        <w:t xml:space="preserve">incoherence. It is not a better model. It is an architecture within</w:t>
      </w:r>
      <w:r>
        <w:t xml:space="preserve"> </w:t>
      </w:r>
      <w:r>
        <w:t xml:space="preserve">which better models can contribute to a coherent analytical chain,</w:t>
      </w:r>
      <w:r>
        <w:t xml:space="preserve"> </w:t>
      </w:r>
      <w:r>
        <w:t xml:space="preserve">evaluated against a shared set of decision-relevant metrics, under a</w:t>
      </w:r>
      <w:r>
        <w:t xml:space="preserve"> </w:t>
      </w:r>
      <w:r>
        <w:t xml:space="preserve">shared representation of the futures across which the decision must</w:t>
      </w:r>
      <w:r>
        <w:t xml:space="preserve"> </w:t>
      </w:r>
      <w:r>
        <w:t xml:space="preserve">remain defensible.</w:t>
      </w:r>
    </w:p>
    <w:bookmarkEnd w:id="39"/>
    <w:bookmarkStart w:id="40" w:name="what-it-could-become"/>
    <w:p>
      <w:pPr>
        <w:pStyle w:val="Heading2"/>
      </w:pPr>
      <w:r>
        <w:t xml:space="preserve">5.2 What It Could Become</w:t>
      </w:r>
    </w:p>
    <w:p>
      <w:pPr>
        <w:pStyle w:val="FirstParagraph"/>
      </w:pPr>
      <w:r>
        <w:t xml:space="preserve">The proof of concept demonstrated in Module 6 evaluates two pathways</w:t>
      </w:r>
      <w:r>
        <w:t xml:space="preserve"> </w:t>
      </w:r>
      <w:r>
        <w:t xml:space="preserve">for one facility against 64 futures under one analytical architecture.</w:t>
      </w:r>
      <w:r>
        <w:t xml:space="preserve"> </w:t>
      </w:r>
      <w:r>
        <w:t xml:space="preserve">That is a very small instantiation of what the framework’s architecture</w:t>
      </w:r>
      <w:r>
        <w:t xml:space="preserve"> </w:t>
      </w:r>
      <w:r>
        <w:t xml:space="preserve">could support. The same architecture, deployed at the scale of a large</w:t>
      </w:r>
      <w:r>
        <w:t xml:space="preserve"> </w:t>
      </w:r>
      <w:r>
        <w:t xml:space="preserve">industrial company’s full facility portfolio, coupled to a national</w:t>
      </w:r>
      <w:r>
        <w:t xml:space="preserve"> </w:t>
      </w:r>
      <w:r>
        <w:t xml:space="preserve">energy system model, equipped with a trained ML surrogate of the</w:t>
      </w:r>
      <w:r>
        <w:t xml:space="preserve"> </w:t>
      </w:r>
      <w:r>
        <w:t xml:space="preserve">regional electricity module allowing the ensemble to span several</w:t>
      </w:r>
      <w:r>
        <w:t xml:space="preserve"> </w:t>
      </w:r>
      <w:r>
        <w:t xml:space="preserve">thousand futures, and connected to a natural-language query interface</w:t>
      </w:r>
      <w:r>
        <w:t xml:space="preserve"> </w:t>
      </w:r>
      <w:r>
        <w:t xml:space="preserve">over the governed artefact store, would allow a regional planner, a</w:t>
      </w:r>
      <w:r>
        <w:t xml:space="preserve"> </w:t>
      </w:r>
      <w:r>
        <w:t xml:space="preserve">corporate sustainability officer, a policy analyst, or a community</w:t>
      </w:r>
      <w:r>
        <w:t xml:space="preserve"> </w:t>
      </w:r>
      <w:r>
        <w:t xml:space="preserve">representative to ask the analysis a specific question and receive an</w:t>
      </w:r>
      <w:r>
        <w:t xml:space="preserve"> </w:t>
      </w:r>
      <w:r>
        <w:t xml:space="preserve">answer grounded in specific artefacts whose provenance and validation</w:t>
      </w:r>
      <w:r>
        <w:t xml:space="preserve"> </w:t>
      </w:r>
      <w:r>
        <w:t xml:space="preserve">status are visible. That is not science fiction. Every component of</w:t>
      </w:r>
      <w:r>
        <w:t xml:space="preserve"> </w:t>
      </w:r>
      <w:r>
        <w:t xml:space="preserve">that vision is technically feasible with existing tools and methods.</w:t>
      </w:r>
      <w:r>
        <w:t xml:space="preserve"> </w:t>
      </w:r>
      <w:r>
        <w:t xml:space="preserve">What does not yet exist is the architecture that connects them in a</w:t>
      </w:r>
      <w:r>
        <w:t xml:space="preserve"> </w:t>
      </w:r>
      <w:r>
        <w:t xml:space="preserve">governed, traceable, decision-centred way. That architecture is what</w:t>
      </w:r>
      <w:r>
        <w:t xml:space="preserve"> </w:t>
      </w:r>
      <w:r>
        <w:t xml:space="preserve">this document describes.</w:t>
      </w:r>
    </w:p>
    <w:bookmarkEnd w:id="40"/>
    <w:bookmarkStart w:id="41" w:name="what-it-asks"/>
    <w:p>
      <w:pPr>
        <w:pStyle w:val="Heading2"/>
      </w:pPr>
      <w:r>
        <w:t xml:space="preserve">5.3 What It Asks</w:t>
      </w:r>
    </w:p>
    <w:p>
      <w:pPr>
        <w:pStyle w:val="FirstParagraph"/>
      </w:pPr>
      <w:r>
        <w:t xml:space="preserve">The framework asks readers to accept a specific intellectual commitment</w:t>
      </w:r>
      <w:r>
        <w:t xml:space="preserve"> </w:t>
      </w:r>
      <w:r>
        <w:t xml:space="preserve">that runs against the grain of most modelling practice: that the</w:t>
      </w:r>
      <w:r>
        <w:t xml:space="preserve"> </w:t>
      </w:r>
      <w:r>
        <w:t xml:space="preserve">appropriate starting point for complex planning analysis is not the</w:t>
      </w:r>
      <w:r>
        <w:t xml:space="preserve"> </w:t>
      </w:r>
      <w:r>
        <w:t xml:space="preserve">system but the decision; that the model should grow toward the</w:t>
      </w:r>
      <w:r>
        <w:t xml:space="preserve"> </w:t>
      </w:r>
      <w:r>
        <w:t xml:space="preserve">parameters that influence the decision, not toward the completeness</w:t>
      </w:r>
      <w:r>
        <w:t xml:space="preserve"> </w:t>
      </w:r>
      <w:r>
        <w:t xml:space="preserve">of the physical description; and that the fog of deep uncertainty is</w:t>
      </w:r>
      <w:r>
        <w:t xml:space="preserve"> </w:t>
      </w:r>
      <w:r>
        <w:t xml:space="preserve">not cleared by more data or more computation alone but by a more</w:t>
      </w:r>
      <w:r>
        <w:t xml:space="preserve"> </w:t>
      </w:r>
      <w:r>
        <w:t xml:space="preserve">disciplined organisation of what is known, what is uncertain, and</w:t>
      </w:r>
      <w:r>
        <w:t xml:space="preserve"> </w:t>
      </w:r>
      <w:r>
        <w:t xml:space="preserve">what must remain visible for the comparison at hand. At each step of</w:t>
      </w:r>
      <w:r>
        <w:t xml:space="preserve"> </w:t>
      </w:r>
      <w:r>
        <w:t xml:space="preserve">development, the framework lights up the domain that needs to be</w:t>
      </w:r>
      <w:r>
        <w:t xml:space="preserve"> </w:t>
      </w:r>
      <w:r>
        <w:t xml:space="preserve">explored next. It does not promise to eliminate uncertainty. It</w:t>
      </w:r>
      <w:r>
        <w:t xml:space="preserve"> </w:t>
      </w:r>
      <w:r>
        <w:t xml:space="preserve">promises to make decisions more intelligible in its presence.</w:t>
      </w:r>
    </w:p>
    <w:bookmarkEnd w:id="41"/>
    <w:bookmarkStart w:id="42" w:name="on-the-documents-own-incompleteness"/>
    <w:p>
      <w:pPr>
        <w:pStyle w:val="Heading2"/>
      </w:pPr>
      <w:r>
        <w:t xml:space="preserve">5.4 On the Document’s Own Incompleteness</w:t>
      </w:r>
    </w:p>
    <w:p>
      <w:pPr>
        <w:pStyle w:val="FirstParagraph"/>
      </w:pPr>
      <w:r>
        <w:t xml:space="preserve">This document is honest about what has been built and what has not.</w:t>
      </w:r>
      <w:r>
        <w:t xml:space="preserve"> </w:t>
      </w:r>
      <w:r>
        <w:t xml:space="preserve">The proof of concept in Module 6 is bounded in ways that are</w:t>
      </w:r>
      <w:r>
        <w:t xml:space="preserve"> </w:t>
      </w:r>
      <w:r>
        <w:t xml:space="preserve">explicitly declared. Several modules are described as specifications</w:t>
      </w:r>
      <w:r>
        <w:t xml:space="preserve"> </w:t>
      </w:r>
      <w:r>
        <w:t xml:space="preserve">rather than implemented systems. Several sub-modules are roadmaps</w:t>
      </w:r>
      <w:r>
        <w:t xml:space="preserve"> </w:t>
      </w:r>
      <w:r>
        <w:t xml:space="preserve">for future development rather than accounts of existing work. This</w:t>
      </w:r>
      <w:r>
        <w:t xml:space="preserve"> </w:t>
      </w:r>
      <w:r>
        <w:t xml:space="preserve">incompleteness is not a deficiency. It is a feature of the</w:t>
      </w:r>
      <w:r>
        <w:t xml:space="preserve"> </w:t>
      </w:r>
      <w:r>
        <w:t xml:space="preserve">progressive-refinement philosophy: a bounded, auditable starting</w:t>
      </w:r>
      <w:r>
        <w:t xml:space="preserve"> </w:t>
      </w:r>
      <w:r>
        <w:t xml:space="preserve">point that reveals its own next steps is more valuable than a</w:t>
      </w:r>
      <w:r>
        <w:t xml:space="preserve"> </w:t>
      </w:r>
      <w:r>
        <w:t xml:space="preserve">complete but opaque system. The architecture is designed to absorb</w:t>
      </w:r>
      <w:r>
        <w:t xml:space="preserve"> </w:t>
      </w:r>
      <w:r>
        <w:t xml:space="preserve">enrichment. This document is designed to be extended.</w:t>
      </w:r>
    </w:p>
    <w:bookmarkEnd w:id="42"/>
    <w:bookmarkStart w:id="43" w:name="the-reading-paths"/>
    <w:p>
      <w:pPr>
        <w:pStyle w:val="Heading2"/>
      </w:pPr>
      <w:r>
        <w:t xml:space="preserve">5.5 The Reading Paths</w:t>
      </w:r>
    </w:p>
    <w:p>
      <w:pPr>
        <w:pStyle w:val="FirstParagraph"/>
      </w:pPr>
      <w:r>
        <w:t xml:space="preserve">If you are new to the framework, begin with Module 0 (Orientation),</w:t>
      </w:r>
      <w:r>
        <w:t xml:space="preserve"> </w:t>
      </w:r>
      <w:r>
        <w:t xml:space="preserve">which provides the full module map and the three-level architecture</w:t>
      </w:r>
      <w:r>
        <w:t xml:space="preserve"> </w:t>
      </w:r>
      <w:r>
        <w:t xml:space="preserve">in overview form. If you are a practitioner with a specific question,</w:t>
      </w:r>
      <w:r>
        <w:t xml:space="preserve"> </w:t>
      </w:r>
      <w:r>
        <w:t xml:space="preserve">use the Node Declaration Tables at the front of each section and the</w:t>
      </w:r>
      <w:r>
        <w:t xml:space="preserve"> </w:t>
      </w:r>
      <w:r>
        <w:t xml:space="preserve">question catalogues in the Context Declaration to navigate directly.</w:t>
      </w:r>
      <w:r>
        <w:t xml:space="preserve"> </w:t>
      </w:r>
      <w:r>
        <w:t xml:space="preserve">If you want the conclusions before the argument, read Module 7</w:t>
      </w:r>
      <w:r>
        <w:t xml:space="preserve"> </w:t>
      </w:r>
      <w:r>
        <w:t xml:space="preserve">(Extension and Synthesis) first. If you want to know what has been</w:t>
      </w:r>
      <w:r>
        <w:t xml:space="preserve"> </w:t>
      </w:r>
      <w:r>
        <w:t xml:space="preserve">built and how to run it, read Module 6 and its sub-modules. If you</w:t>
      </w:r>
      <w:r>
        <w:t xml:space="preserve"> </w:t>
      </w:r>
      <w:r>
        <w:t xml:space="preserve">are an AI assistant that has been given this document, the Context</w:t>
      </w:r>
      <w:r>
        <w:t xml:space="preserve"> </w:t>
      </w:r>
      <w:r>
        <w:t xml:space="preserve">Declaration is addressed to you directly.</w:t>
      </w:r>
    </w:p>
    <w:bookmarkEnd w:id="43"/>
    <w:bookmarkEnd w:id="44"/>
    <w:bookmarkStart w:id="59" w:name="navigation-guide"/>
    <w:p>
      <w:pPr>
        <w:pStyle w:val="Heading1"/>
      </w:pPr>
      <w:r>
        <w:t xml:space="preserve">6. Navigation Guide</w:t>
      </w:r>
    </w:p>
    <w:p>
      <w:pPr>
        <w:pStyle w:val="FirstParagraph"/>
      </w:pPr>
      <w:r>
        <w:t xml:space="preserve">The Node Declaration System Explained</w:t>
      </w:r>
    </w:p>
    <w:p>
      <w:pPr>
        <w:pStyle w:val="BodyText"/>
      </w:pPr>
      <w:r>
        <w:br/>
      </w:r>
    </w:p>
    <w:p>
      <w:pPr>
        <w:pStyle w:val="BodyText"/>
      </w:pPr>
      <w:r>
        <w:t xml:space="preserve">This document is structured so that both human readers and AI agents</w:t>
      </w:r>
      <w:r>
        <w:t xml:space="preserve"> </w:t>
      </w:r>
      <w:r>
        <w:t xml:space="preserve">can navigate it efficiently, processing what is relevant to their</w:t>
      </w:r>
      <w:r>
        <w:t xml:space="preserve"> </w:t>
      </w:r>
      <w:r>
        <w:t xml:space="preserve">purpose and skipping what is not. The mechanism that makes this</w:t>
      </w:r>
      <w:r>
        <w:t xml:space="preserve"> </w:t>
      </w:r>
      <w:r>
        <w:t xml:space="preserve">possible is the</w:t>
      </w:r>
      <w:r>
        <w:t xml:space="preserve"> </w:t>
      </w:r>
      <w:r>
        <w:rPr>
          <w:b/>
          <w:bCs/>
        </w:rPr>
        <w:t xml:space="preserve">Node Declaration Table</w:t>
      </w:r>
      <w:r>
        <w:t xml:space="preserve">, which appears at the</w:t>
      </w:r>
      <w:r>
        <w:t xml:space="preserve"> </w:t>
      </w:r>
      <w:r>
        <w:t xml:space="preserve">start of every section and sub-module in the manuscript. This guide</w:t>
      </w:r>
      <w:r>
        <w:t xml:space="preserve"> </w:t>
      </w:r>
      <w:r>
        <w:t xml:space="preserve">explains how to read it and how to use it.</w:t>
      </w:r>
    </w:p>
    <w:p>
      <w:r>
        <w:pict>
          <v:rect style="width:0;height:1.5pt" o:hralign="center" o:hrstd="t" o:hr="t"/>
        </w:pict>
      </w:r>
    </w:p>
    <w:bookmarkStart w:id="45" w:name="the-node-declaration-table"/>
    <w:p>
      <w:pPr>
        <w:pStyle w:val="Heading2"/>
      </w:pPr>
      <w:r>
        <w:t xml:space="preserve">6.1 1. The Node Declaration Table</w:t>
      </w:r>
    </w:p>
    <w:p>
      <w:pPr>
        <w:pStyle w:val="FirstParagraph"/>
      </w:pPr>
      <w:r>
        <w:t xml:space="preserve">Every section and sub-module opens with a table in the following format: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§X.X Section Title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 or Sub-Module</w:t>
                  </w:r>
                </w:p>
              </w:tc>
            </w:tr>
            <w:tr>
              <w:tc>
                <w:tcPr/>
                <w:p>
                  <w:pPr>
                    <w:pStyle w:val="Compact"/>
                  </w:pPr>
                  <w:r>
                    <w:rPr>
                      <w:b/>
                      <w:bCs/>
                    </w:rPr>
                    <w:t xml:space="preserve">Status</w:t>
                  </w:r>
                </w:p>
              </w:tc>
              <w:tc>
                <w:tcPr/>
                <w:p>
                  <w:pPr>
                    <w:pStyle w:val="Compact"/>
                  </w:pPr>
                  <w:r>
                    <w:t xml:space="preserve">Implemented / Specified / Vision</w:t>
                  </w:r>
                </w:p>
              </w:tc>
            </w:tr>
            <w:tr>
              <w:tc>
                <w:tcPr/>
                <w:p>
                  <w:pPr>
                    <w:pStyle w:val="Compact"/>
                  </w:pPr>
                  <w:r>
                    <w:rPr>
                      <w:b/>
                      <w:bCs/>
                    </w:rPr>
                    <w:t xml:space="preserve">Assumes</w:t>
                  </w:r>
                </w:p>
              </w:tc>
              <w:tc>
                <w:tcPr/>
                <w:p>
                  <w:pPr>
                    <w:pStyle w:val="Compact"/>
                  </w:pPr>
                  <w:r>
                    <w:t xml:space="preserve">Prior sections the reader must know</w:t>
                  </w:r>
                </w:p>
              </w:tc>
            </w:tr>
            <w:tr>
              <w:tc>
                <w:tcPr/>
                <w:p>
                  <w:pPr>
                    <w:pStyle w:val="Compact"/>
                  </w:pPr>
                  <w:r>
                    <w:rPr>
                      <w:b/>
                      <w:bCs/>
                    </w:rPr>
                    <w:t xml:space="preserve">Contributes</w:t>
                  </w:r>
                </w:p>
              </w:tc>
              <w:tc>
                <w:tcPr/>
                <w:p>
                  <w:pPr>
                    <w:pStyle w:val="Compact"/>
                  </w:pPr>
                  <w:r>
                    <w:t xml:space="preserve">One sentence: what this node adds to the argument</w:t>
                  </w:r>
                </w:p>
              </w:tc>
            </w:tr>
            <w:tr>
              <w:tc>
                <w:tcPr/>
                <w:p>
                  <w:pPr>
                    <w:pStyle w:val="Compact"/>
                  </w:pPr>
                  <w:r>
                    <w:rPr>
                      <w:b/>
                      <w:bCs/>
                    </w:rPr>
                    <w:t xml:space="preserve">Skip condition</w:t>
                  </w:r>
                </w:p>
              </w:tc>
              <w:tc>
                <w:tcPr/>
                <w:p>
                  <w:pPr>
                    <w:pStyle w:val="Compact"/>
                  </w:pPr>
                  <w:r>
                    <w:t xml:space="preserve">Precise statement of when this node can be skipped</w:t>
                  </w:r>
                </w:p>
              </w:tc>
            </w:tr>
            <w:tr>
              <w:tc>
                <w:tcPr/>
                <w:p>
                  <w:pPr>
                    <w:pStyle w:val="Compact"/>
                  </w:pPr>
                  <w:r>
                    <w:rPr>
                      <w:b/>
                      <w:bCs/>
                    </w:rPr>
                    <w:t xml:space="preserve">Passes to</w:t>
                  </w:r>
                </w:p>
              </w:tc>
              <w:tc>
                <w:tcPr/>
                <w:p>
                  <w:pPr>
                    <w:pStyle w:val="Compact"/>
                  </w:pPr>
                  <w:r>
                    <w:t xml:space="preserve">Subsequent sections that depend on this one</w:t>
                  </w:r>
                </w:p>
              </w:tc>
            </w:tr>
            <w:tr>
              <w:tc>
                <w:tcPr/>
                <w:p>
                  <w:pPr>
                    <w:pStyle w:val="Compact"/>
                  </w:pPr>
                  <w:r>
                    <w:rPr>
                      <w:b/>
                      <w:bCs/>
                    </w:rPr>
                    <w:t xml:space="preserve">Sub-Modules here</w:t>
                  </w:r>
                </w:p>
              </w:tc>
              <w:tc>
                <w:tcPr/>
                <w:p>
                  <w:pPr>
                    <w:pStyle w:val="Compact"/>
                  </w:pPr>
                  <w:r>
                    <w:t xml:space="preserve">Sub-modules that follow this section, or None</w:t>
                  </w:r>
                </w:p>
              </w:tc>
            </w:tr>
            <w:tr>
              <w:tc>
                <w:tcPr/>
                <w:p>
                  <w:pPr>
                    <w:pStyle w:val="Compact"/>
                  </w:pPr>
                  <w:r>
                    <w:rPr>
                      <w:b/>
                      <w:bCs/>
                    </w:rPr>
                    <w:t xml:space="preserve">Content Tag</w:t>
                  </w:r>
                </w:p>
              </w:tc>
              <w:tc>
                <w:tcPr/>
                <w:p>
                  <w:pPr>
                    <w:pStyle w:val="Compact"/>
                  </w:pPr>
                  <w:r>
                    <w:t xml:space="preserve">One of: ✓ Implemented / ○ Specified / ◇ Vision / ⬡ Educational / ✦ Collaborative</w:t>
                  </w:r>
                </w:p>
              </w:tc>
            </w:tr>
            <w:tr>
              <w:tc>
                <w:tcPr/>
                <w:p>
                  <w:pPr>
                    <w:pStyle w:val="Compact"/>
                  </w:pPr>
                  <w:r>
                    <w:rPr>
                      <w:b/>
                      <w:bCs/>
                    </w:rPr>
                    <w:t xml:space="preserve">Engagement Tag</w:t>
                  </w:r>
                </w:p>
              </w:tc>
              <w:tc>
                <w:tcPr/>
                <w:p>
                  <w:pPr>
                    <w:pStyle w:val="Compact"/>
                  </w:pPr>
                  <w:r>
                    <w:t xml:space="preserve">One or more of: [R] Research / [P] Platform / [C] Contribute</w:t>
                  </w:r>
                </w:p>
              </w:tc>
            </w:tr>
          </w:tbl>
          <w:p/>
        </w:tc>
      </w:tr>
    </w:tbl>
    <w:p>
      <w:pPr>
        <w:pStyle w:val="BodyText"/>
      </w:pPr>
      <w:r>
        <w:t xml:space="preserve">Each field has a specific function.</w:t>
      </w:r>
    </w:p>
    <w:p>
      <w:pPr>
        <w:pStyle w:val="BodyText"/>
      </w:pPr>
      <w:r>
        <w:rPr>
          <w:b/>
          <w:bCs/>
        </w:rPr>
        <w:t xml:space="preserve">Tier</w:t>
      </w:r>
      <w:r>
        <w:t xml:space="preserve"> </w:t>
      </w:r>
      <w:r>
        <w:t xml:space="preserve">distinguishes a main-body Section from a Sub-Module. Sections</w:t>
      </w:r>
      <w:r>
        <w:t xml:space="preserve"> </w:t>
      </w:r>
      <w:r>
        <w:t xml:space="preserve">carry the primary argument. Sub-Modules carry technical depth that</w:t>
      </w:r>
      <w:r>
        <w:t xml:space="preserve"> </w:t>
      </w:r>
      <w:r>
        <w:t xml:space="preserve">supports the argument but is not required to follow it.</w:t>
      </w:r>
    </w:p>
    <w:p>
      <w:pPr>
        <w:pStyle w:val="BodyText"/>
      </w:pPr>
      <w:r>
        <w:rPr>
          <w:b/>
          <w:bCs/>
        </w:rPr>
        <w:t xml:space="preserve">Status</w:t>
      </w:r>
      <w:r>
        <w:t xml:space="preserve"> </w:t>
      </w:r>
      <w:r>
        <w:t xml:space="preserve">declares the current state of the content this node covers.</w:t>
      </w:r>
      <w:r>
        <w:t xml:space="preserve"> </w:t>
      </w:r>
      <w:r>
        <w:rPr>
          <w:i/>
          <w:iCs/>
        </w:rPr>
        <w:t xml:space="preserve">Implemented</w:t>
      </w:r>
      <w:r>
        <w:t xml:space="preserve"> </w:t>
      </w:r>
      <w:r>
        <w:t xml:space="preserve">means the described capability exists and is operational</w:t>
      </w:r>
      <w:r>
        <w:t xml:space="preserve"> </w:t>
      </w:r>
      <w:r>
        <w:t xml:space="preserve">in the proof of concept.</w:t>
      </w:r>
      <w:r>
        <w:t xml:space="preserve"> </w:t>
      </w:r>
      <w:r>
        <w:rPr>
          <w:i/>
          <w:iCs/>
        </w:rPr>
        <w:t xml:space="preserve">Specified</w:t>
      </w:r>
      <w:r>
        <w:t xml:space="preserve"> </w:t>
      </w:r>
      <w:r>
        <w:t xml:space="preserve">means the capability has been</w:t>
      </w:r>
      <w:r>
        <w:t xml:space="preserve"> </w:t>
      </w:r>
      <w:r>
        <w:t xml:space="preserve">fully designed but not yet built.</w:t>
      </w:r>
      <w:r>
        <w:t xml:space="preserve"> </w:t>
      </w:r>
      <w:r>
        <w:rPr>
          <w:i/>
          <w:iCs/>
        </w:rPr>
        <w:t xml:space="preserve">Vision</w:t>
      </w:r>
      <w:r>
        <w:t xml:space="preserve"> </w:t>
      </w:r>
      <w:r>
        <w:t xml:space="preserve">means the capability has</w:t>
      </w:r>
      <w:r>
        <w:t xml:space="preserve"> </w:t>
      </w:r>
      <w:r>
        <w:t xml:space="preserve">been identified as a future direction but is not yet specified in detail.</w:t>
      </w:r>
    </w:p>
    <w:p>
      <w:pPr>
        <w:pStyle w:val="BodyText"/>
      </w:pPr>
      <w:r>
        <w:rPr>
          <w:b/>
          <w:bCs/>
        </w:rPr>
        <w:t xml:space="preserve">Assumes</w:t>
      </w:r>
      <w:r>
        <w:t xml:space="preserve"> </w:t>
      </w:r>
      <w:r>
        <w:t xml:space="preserve">lists the prior sections a reader must have processed for</w:t>
      </w:r>
      <w:r>
        <w:t xml:space="preserve"> </w:t>
      </w:r>
      <w:r>
        <w:t xml:space="preserve">this node to make sense. If the listed sections are already known from</w:t>
      </w:r>
      <w:r>
        <w:t xml:space="preserve"> </w:t>
      </w:r>
      <w:r>
        <w:t xml:space="preserve">prior reading or professional background, the reader may enter here</w:t>
      </w:r>
      <w:r>
        <w:t xml:space="preserve"> </w:t>
      </w:r>
      <w:r>
        <w:t xml:space="preserve">without reading them first.</w:t>
      </w:r>
    </w:p>
    <w:p>
      <w:pPr>
        <w:pStyle w:val="BodyText"/>
      </w:pPr>
      <w:r>
        <w:rPr>
          <w:b/>
          <w:bCs/>
        </w:rPr>
        <w:t xml:space="preserve">Contributes</w:t>
      </w:r>
      <w:r>
        <w:t xml:space="preserve"> </w:t>
      </w:r>
      <w:r>
        <w:t xml:space="preserve">is a single sentence stating what this node adds. It</w:t>
      </w:r>
      <w:r>
        <w:t xml:space="preserve"> </w:t>
      </w:r>
      <w:r>
        <w:t xml:space="preserve">answers the question: what will I understand after reading this that I</w:t>
      </w:r>
      <w:r>
        <w:t xml:space="preserve"> </w:t>
      </w:r>
      <w:r>
        <w:t xml:space="preserve">did not understand before? It is the primary navigation aid for both</w:t>
      </w:r>
      <w:r>
        <w:t xml:space="preserve"> </w:t>
      </w:r>
      <w:r>
        <w:t xml:space="preserve">human readers and AI agents assessing whether to engage with the</w:t>
      </w:r>
      <w:r>
        <w:t xml:space="preserve"> </w:t>
      </w:r>
      <w:r>
        <w:t xml:space="preserve">full node.</w:t>
      </w:r>
    </w:p>
    <w:p>
      <w:pPr>
        <w:pStyle w:val="BodyText"/>
      </w:pPr>
      <w:r>
        <w:rPr>
          <w:b/>
          <w:bCs/>
        </w:rPr>
        <w:t xml:space="preserve">Skip condition</w:t>
      </w:r>
      <w:r>
        <w:t xml:space="preserve"> </w:t>
      </w:r>
      <w:r>
        <w:t xml:space="preserve">is a precise statement of when this node may be</w:t>
      </w:r>
      <w:r>
        <w:t xml:space="preserve"> </w:t>
      </w:r>
      <w:r>
        <w:t xml:space="preserve">passed over. It is written to be testable: a reader can assess whether</w:t>
      </w:r>
      <w:r>
        <w:t xml:space="preserve"> </w:t>
      </w:r>
      <w:r>
        <w:t xml:space="preserve">the condition applies to them and act accordingly. Skip conditions are</w:t>
      </w:r>
      <w:r>
        <w:t xml:space="preserve"> </w:t>
      </w:r>
      <w:r>
        <w:t xml:space="preserve">not invitations to skip carelessly; they are declarations of what prior</w:t>
      </w:r>
      <w:r>
        <w:t xml:space="preserve"> </w:t>
      </w:r>
      <w:r>
        <w:t xml:space="preserve">knowledge makes this node redundant.</w:t>
      </w:r>
    </w:p>
    <w:p>
      <w:pPr>
        <w:pStyle w:val="BodyText"/>
      </w:pPr>
      <w:r>
        <w:rPr>
          <w:b/>
          <w:bCs/>
        </w:rPr>
        <w:t xml:space="preserve">Passes to</w:t>
      </w:r>
      <w:r>
        <w:t xml:space="preserve"> </w:t>
      </w:r>
      <w:r>
        <w:t xml:space="preserve">lists the sections that directly depend on this node.</w:t>
      </w:r>
      <w:r>
        <w:t xml:space="preserve"> </w:t>
      </w:r>
      <w:r>
        <w:t xml:space="preserve">If you skip a section, check this field in the sections that follow</w:t>
      </w:r>
      <w:r>
        <w:t xml:space="preserve"> </w:t>
      </w:r>
      <w:r>
        <w:t xml:space="preserve">it: if your skipped section appears in their Assumes field, you may</w:t>
      </w:r>
      <w:r>
        <w:t xml:space="preserve"> </w:t>
      </w:r>
      <w:r>
        <w:t xml:space="preserve">need to return.</w:t>
      </w:r>
    </w:p>
    <w:p>
      <w:pPr>
        <w:pStyle w:val="BodyText"/>
      </w:pPr>
      <w:r>
        <w:rPr>
          <w:b/>
          <w:bCs/>
        </w:rPr>
        <w:t xml:space="preserve">Sub-Modules here</w:t>
      </w:r>
      <w:r>
        <w:t xml:space="preserve"> </w:t>
      </w:r>
      <w:r>
        <w:t xml:space="preserve">lists any sub-modules that immediately follow</w:t>
      </w:r>
      <w:r>
        <w:t xml:space="preserve"> </w:t>
      </w:r>
      <w:r>
        <w:t xml:space="preserve">this section. Sub-modules are always optional unless a downstream</w:t>
      </w:r>
      <w:r>
        <w:t xml:space="preserve"> </w:t>
      </w:r>
      <w:r>
        <w:t xml:space="preserve">section explicitly lists them in its Assumes field.</w:t>
      </w:r>
    </w:p>
    <w:p>
      <w:pPr>
        <w:pStyle w:val="BodyText"/>
      </w:pPr>
      <w:r>
        <w:rPr>
          <w:b/>
          <w:bCs/>
        </w:rPr>
        <w:t xml:space="preserve">Content Tag</w:t>
      </w:r>
      <w:r>
        <w:t xml:space="preserve"> </w:t>
      </w:r>
      <w:r>
        <w:t xml:space="preserve">and</w:t>
      </w:r>
      <w:r>
        <w:t xml:space="preserve"> </w:t>
      </w:r>
      <w:r>
        <w:rPr>
          <w:b/>
          <w:bCs/>
        </w:rPr>
        <w:t xml:space="preserve">Engagement Tag</w:t>
      </w:r>
      <w:r>
        <w:t xml:space="preserve"> </w:t>
      </w:r>
      <w:r>
        <w:t xml:space="preserve">are optional extended fields introduced in §7.8. They are used in sections that form part of the manuscript’s community extension layer. When present, they appear on the same row as the Status field or immediately below it. They allow readers to filter sections by purpose rather than by position. Full definitions are in Table 7.8.</w:t>
      </w:r>
    </w:p>
    <w:p>
      <w:r>
        <w:pict>
          <v:rect style="width:0;height:1.5pt" o:hralign="center" o:hrstd="t" o:hr="t"/>
        </w:pict>
      </w:r>
    </w:p>
    <w:bookmarkEnd w:id="45"/>
    <w:bookmarkStart w:id="46" w:name="X41eb3d99d534752e82c921de817015fa3a2d4ad"/>
    <w:p>
      <w:pPr>
        <w:pStyle w:val="Heading2"/>
      </w:pPr>
      <w:r>
        <w:t xml:space="preserve">6.2 2. The Skip Condition: Instructions for AI Agents</w:t>
      </w:r>
    </w:p>
    <w:p>
      <w:pPr>
        <w:pStyle w:val="FirstParagraph"/>
      </w:pPr>
      <w:r>
        <w:t xml:space="preserve">An AI agent processing this document should apply the following rules.</w:t>
      </w:r>
    </w:p>
    <w:p>
      <w:pPr>
        <w:pStyle w:val="BodyText"/>
      </w:pPr>
      <w:r>
        <w:t xml:space="preserve">If the skip condition is met, the agent may limit its processing to</w:t>
      </w:r>
      <w:r>
        <w:t xml:space="preserve"> </w:t>
      </w:r>
      <w:r>
        <w:t xml:space="preserve">the first paragraph of the section and the Node Declaration Table.</w:t>
      </w:r>
      <w:r>
        <w:t xml:space="preserve"> </w:t>
      </w:r>
      <w:r>
        <w:t xml:space="preserve">The first paragraph always states the section’s core claim or function;</w:t>
      </w:r>
      <w:r>
        <w:t xml:space="preserve"> </w:t>
      </w:r>
      <w:r>
        <w:t xml:space="preserve">the Node Declaration Table provides the dependency structure. Together,</w:t>
      </w:r>
      <w:r>
        <w:t xml:space="preserve"> </w:t>
      </w:r>
      <w:r>
        <w:t xml:space="preserve">these are sufficient for the agent to maintain an accurate structural</w:t>
      </w:r>
      <w:r>
        <w:t xml:space="preserve"> </w:t>
      </w:r>
      <w:r>
        <w:t xml:space="preserve">map of the document without processing every section in full.</w:t>
      </w:r>
    </w:p>
    <w:p>
      <w:pPr>
        <w:pStyle w:val="BodyText"/>
      </w:pPr>
      <w:r>
        <w:t xml:space="preserve">If the skip condition is not met, the agent must process the full</w:t>
      </w:r>
      <w:r>
        <w:t xml:space="preserve"> </w:t>
      </w:r>
      <w:r>
        <w:t xml:space="preserve">section before proceeding.</w:t>
      </w:r>
    </w:p>
    <w:p>
      <w:pPr>
        <w:pStyle w:val="BodyText"/>
      </w:pPr>
      <w:r>
        <w:t xml:space="preserve">Sub-modules are always optional. No downstream section depends on a</w:t>
      </w:r>
      <w:r>
        <w:t xml:space="preserve"> </w:t>
      </w:r>
      <w:r>
        <w:t xml:space="preserve">sub-module unless that sub-module is explicitly listed in the downstream</w:t>
      </w:r>
      <w:r>
        <w:t xml:space="preserve"> </w:t>
      </w:r>
      <w:r>
        <w:t xml:space="preserve">section’s Assumes field. An agent may skip all sub-modules in a first</w:t>
      </w:r>
      <w:r>
        <w:t xml:space="preserve"> </w:t>
      </w:r>
      <w:r>
        <w:t xml:space="preserve">pass and return to specific ones when a query requires the technical</w:t>
      </w:r>
      <w:r>
        <w:t xml:space="preserve"> </w:t>
      </w:r>
      <w:r>
        <w:t xml:space="preserve">depth they contain.</w:t>
      </w:r>
    </w:p>
    <w:p>
      <w:pPr>
        <w:pStyle w:val="BodyText"/>
      </w:pPr>
      <w:r>
        <w:t xml:space="preserve">When answering a user query, the agent should first identify which</w:t>
      </w:r>
      <w:r>
        <w:t xml:space="preserve"> </w:t>
      </w:r>
      <w:r>
        <w:t xml:space="preserve">sections are relevant by consulting the Contributes and Passes to</w:t>
      </w:r>
      <w:r>
        <w:t xml:space="preserve"> </w:t>
      </w:r>
      <w:r>
        <w:t xml:space="preserve">fields, then process those sections fully. Sections outside this set</w:t>
      </w:r>
      <w:r>
        <w:t xml:space="preserve"> </w:t>
      </w:r>
      <w:r>
        <w:t xml:space="preserve">may be processed at summary level only.</w:t>
      </w:r>
    </w:p>
    <w:p>
      <w:r>
        <w:pict>
          <v:rect style="width:0;height:1.5pt" o:hralign="center" o:hrstd="t" o:hr="t"/>
        </w:pict>
      </w:r>
    </w:p>
    <w:bookmarkEnd w:id="46"/>
    <w:bookmarkStart w:id="47" w:name="the-four-reading-paths"/>
    <w:p>
      <w:pPr>
        <w:pStyle w:val="Heading2"/>
      </w:pPr>
      <w:r>
        <w:t xml:space="preserve">6.3 3. The Four Reading Paths</w:t>
      </w:r>
    </w:p>
    <w:p>
      <w:pPr>
        <w:pStyle w:val="FirstParagraph"/>
      </w:pPr>
      <w:r>
        <w:rPr>
          <w:b/>
          <w:bCs/>
        </w:rPr>
        <w:t xml:space="preserve">Sequential argument.</w:t>
      </w:r>
      <w:r>
        <w:t xml:space="preserve"> </w:t>
      </w:r>
      <w:r>
        <w:t xml:space="preserve">Read every section in module order from</w:t>
      </w:r>
      <w:r>
        <w:t xml:space="preserve"> </w:t>
      </w:r>
      <w:r>
        <w:t xml:space="preserve">Module 0 through Module 7, consulting sub-modules where the text</w:t>
      </w:r>
      <w:r>
        <w:t xml:space="preserve"> </w:t>
      </w:r>
      <w:r>
        <w:t xml:space="preserve">references them. This path gives the fullest picture and is recommended</w:t>
      </w:r>
      <w:r>
        <w:t xml:space="preserve"> </w:t>
      </w:r>
      <w:r>
        <w:t xml:space="preserve">for researchers engaging with the methodological contribution.</w:t>
      </w:r>
    </w:p>
    <w:p>
      <w:pPr>
        <w:pStyle w:val="BodyText"/>
      </w:pPr>
      <w:r>
        <w:rPr>
          <w:b/>
          <w:bCs/>
        </w:rPr>
        <w:t xml:space="preserve">Modular reference.</w:t>
      </w:r>
      <w:r>
        <w:t xml:space="preserve"> </w:t>
      </w:r>
      <w:r>
        <w:t xml:space="preserve">Identify the section most relevant to your</w:t>
      </w:r>
      <w:r>
        <w:t xml:space="preserve"> </w:t>
      </w:r>
      <w:r>
        <w:t xml:space="preserve">question using the Table of Contents purpose annotations. Check that</w:t>
      </w:r>
      <w:r>
        <w:t xml:space="preserve"> </w:t>
      </w:r>
      <w:r>
        <w:t xml:space="preserve">section’s Assumes field and read any listed prior sections you do not</w:t>
      </w:r>
      <w:r>
        <w:t xml:space="preserve"> </w:t>
      </w:r>
      <w:r>
        <w:t xml:space="preserve">already know. This path is recommended for practitioners, implementers,</w:t>
      </w:r>
      <w:r>
        <w:t xml:space="preserve"> </w:t>
      </w:r>
      <w:r>
        <w:t xml:space="preserve">and domain specialists.</w:t>
      </w:r>
    </w:p>
    <w:p>
      <w:pPr>
        <w:pStyle w:val="BodyText"/>
      </w:pPr>
      <w:r>
        <w:rPr>
          <w:b/>
          <w:bCs/>
        </w:rPr>
        <w:t xml:space="preserve">Framework overview.</w:t>
      </w:r>
      <w:r>
        <w:t xml:space="preserve"> </w:t>
      </w:r>
      <w:r>
        <w:t xml:space="preserve">Read Module 0 (Orientation) and Module 7</w:t>
      </w:r>
      <w:r>
        <w:t xml:space="preserve"> </w:t>
      </w:r>
      <w:r>
        <w:t xml:space="preserve">(Extension and Synthesis) only. Module 0 provides the full architectural</w:t>
      </w:r>
      <w:r>
        <w:t xml:space="preserve"> </w:t>
      </w:r>
      <w:r>
        <w:t xml:space="preserve">map; Module 7 provides the eleven propositions that constitute the</w:t>
      </w:r>
      <w:r>
        <w:t xml:space="preserve"> </w:t>
      </w:r>
      <w:r>
        <w:t xml:space="preserve">framework’s intellectual claim. Together they give the argument’s</w:t>
      </w:r>
      <w:r>
        <w:t xml:space="preserve"> </w:t>
      </w:r>
      <w:r>
        <w:t xml:space="preserve">beginning and end without the internal machinery.</w:t>
      </w:r>
    </w:p>
    <w:p>
      <w:pPr>
        <w:pStyle w:val="BodyText"/>
      </w:pPr>
      <w:r>
        <w:rPr>
          <w:b/>
          <w:bCs/>
        </w:rPr>
        <w:t xml:space="preserve">AI-assisted engagement.</w:t>
      </w:r>
      <w:r>
        <w:t xml:space="preserve"> </w:t>
      </w:r>
      <w:r>
        <w:t xml:space="preserve">Upload the full document to an AI assistant.</w:t>
      </w:r>
      <w:r>
        <w:t xml:space="preserve"> </w:t>
      </w:r>
      <w:r>
        <w:t xml:space="preserve">Use the audience-specific question catalogues in the Context Declaration</w:t>
      </w:r>
      <w:r>
        <w:t xml:space="preserve"> </w:t>
      </w:r>
      <w:r>
        <w:t xml:space="preserve">to begin. The AI assistant will use the Node Declaration Tables to</w:t>
      </w:r>
      <w:r>
        <w:t xml:space="preserve"> </w:t>
      </w:r>
      <w:r>
        <w:t xml:space="preserve">navigate the document precisely in response to your questions. You may</w:t>
      </w:r>
      <w:r>
        <w:t xml:space="preserve"> </w:t>
      </w:r>
      <w:r>
        <w:t xml:space="preserve">also ask the assistant to identify which sections are relevant to a</w:t>
      </w:r>
      <w:r>
        <w:t xml:space="preserve"> </w:t>
      </w:r>
      <w:r>
        <w:t xml:space="preserve">specific question before reading them yourself.</w:t>
      </w:r>
    </w:p>
    <w:p>
      <w:r>
        <w:pict>
          <v:rect style="width:0;height:1.5pt" o:hralign="center" o:hrstd="t" o:hr="t"/>
        </w:pict>
      </w:r>
    </w:p>
    <w:bookmarkEnd w:id="47"/>
    <w:bookmarkStart w:id="48" w:name="the-sub-module-structure"/>
    <w:p>
      <w:pPr>
        <w:pStyle w:val="Heading2"/>
      </w:pPr>
      <w:r>
        <w:t xml:space="preserve">6.4 4. The Sub-Module Structure</w:t>
      </w:r>
    </w:p>
    <w:p>
      <w:pPr>
        <w:pStyle w:val="FirstParagraph"/>
      </w:pPr>
      <w:r>
        <w:t xml:space="preserve">Sub-modules follow immediately after the section they deepen. They</w:t>
      </w:r>
      <w:r>
        <w:t xml:space="preserve"> </w:t>
      </w:r>
      <w:r>
        <w:t xml:space="preserve">are separated from the main section by a horizontal rule and open</w:t>
      </w:r>
      <w:r>
        <w:t xml:space="preserve"> </w:t>
      </w:r>
      <w:r>
        <w:t xml:space="preserve">with their own Node Declaration Table. Each sub-module has its own</w:t>
      </w:r>
      <w:r>
        <w:t xml:space="preserve"> </w:t>
      </w:r>
      <w:r>
        <w:t xml:space="preserve">skip condition and its own Tier field set to Sub-Module.</w:t>
      </w:r>
    </w:p>
    <w:p>
      <w:pPr>
        <w:pStyle w:val="BodyText"/>
      </w:pPr>
      <w:r>
        <w:t xml:space="preserve">The purpose of this arrangement is to keep the main argument</w:t>
      </w:r>
      <w:r>
        <w:t xml:space="preserve"> </w:t>
      </w:r>
      <w:r>
        <w:t xml:space="preserve">uninterrupted. A reader following the primary argument encounters</w:t>
      </w:r>
      <w:r>
        <w:t xml:space="preserve"> </w:t>
      </w:r>
      <w:r>
        <w:t xml:space="preserve">the sub-module’s Node Declaration Table, assesses its skip condition,</w:t>
      </w:r>
      <w:r>
        <w:t xml:space="preserve"> </w:t>
      </w:r>
      <w:r>
        <w:t xml:space="preserve">and either proceeds into the sub-module or returns to the main</w:t>
      </w:r>
      <w:r>
        <w:t xml:space="preserve"> </w:t>
      </w:r>
      <w:r>
        <w:t xml:space="preserve">sequence. The argument does not require the sub-module; the sub-module</w:t>
      </w:r>
      <w:r>
        <w:t xml:space="preserve"> </w:t>
      </w:r>
      <w:r>
        <w:t xml:space="preserve">does not require the reader to have read the section in any particular</w:t>
      </w:r>
      <w:r>
        <w:t xml:space="preserve"> </w:t>
      </w:r>
      <w:r>
        <w:t xml:space="preserve">way before entering it.</w:t>
      </w:r>
    </w:p>
    <w:p>
      <w:pPr>
        <w:pStyle w:val="BodyText"/>
      </w:pPr>
      <w:r>
        <w:t xml:space="preserve">Sub-module identifiers follow the pattern SM-X.X-Y where X.X is the</w:t>
      </w:r>
      <w:r>
        <w:t xml:space="preserve"> </w:t>
      </w:r>
      <w:r>
        <w:t xml:space="preserve">parent section number and Y is an alphabetical letter distinguishing</w:t>
      </w:r>
      <w:r>
        <w:t xml:space="preserve"> </w:t>
      </w:r>
      <w:r>
        <w:t xml:space="preserve">multiple sub-modules within the same section.</w:t>
      </w:r>
    </w:p>
    <w:p>
      <w:r>
        <w:pict>
          <v:rect style="width:0;height:1.5pt" o:hralign="center" o:hrstd="t" o:hr="t"/>
        </w:pict>
      </w:r>
    </w:p>
    <w:bookmarkEnd w:id="48"/>
    <w:bookmarkStart w:id="49" w:name="the-table-of-contents"/>
    <w:p>
      <w:pPr>
        <w:pStyle w:val="Heading2"/>
      </w:pPr>
      <w:r>
        <w:t xml:space="preserve">6.5 5. The Table of Contents</w:t>
      </w:r>
    </w:p>
    <w:p>
      <w:pPr>
        <w:pStyle w:val="FirstParagraph"/>
      </w:pPr>
      <w:r>
        <w:t xml:space="preserve">Every entry in the Table of Contents carries a one-line purpose</w:t>
      </w:r>
      <w:r>
        <w:t xml:space="preserve"> </w:t>
      </w:r>
      <w:r>
        <w:t xml:space="preserve">annotation in italics. This annotation is the Contributes field</w:t>
      </w:r>
      <w:r>
        <w:t xml:space="preserve"> </w:t>
      </w:r>
      <w:r>
        <w:t xml:space="preserve">stated even more briefly. Status indicators appear after each entry:</w:t>
      </w:r>
      <w:r>
        <w:t xml:space="preserve"> </w:t>
      </w:r>
      <w:r>
        <w:t xml:space="preserve">✓ for Implemented, ○ for Specified, and ◇ for Vision. Sub-modules</w:t>
      </w:r>
      <w:r>
        <w:t xml:space="preserve"> </w:t>
      </w:r>
      <w:r>
        <w:t xml:space="preserve">are indented one level below their parent section and marked with</w:t>
      </w:r>
      <w:r>
        <w:t xml:space="preserve"> </w:t>
      </w:r>
      <w:r>
        <w:t xml:space="preserve">the prefix symbol ⌐ to distinguish them visually from main-body</w:t>
      </w:r>
      <w:r>
        <w:t xml:space="preserve"> </w:t>
      </w:r>
      <w:r>
        <w:t xml:space="preserve">sections.</w:t>
      </w:r>
    </w:p>
    <w:p>
      <w:pPr>
        <w:pStyle w:val="BodyText"/>
      </w:pPr>
      <w:r>
        <w:t xml:space="preserve">Example Table of Contents entries:</w:t>
      </w:r>
      <w:r>
        <w:t xml:space="preserve"> </w:t>
      </w:r>
      <w:r>
        <w:t xml:space="preserve">Module 3: Architecture ………………………………………….. 45</w:t>
      </w:r>
      <w:r>
        <w:t xml:space="preserve"> </w:t>
      </w:r>
      <w:r>
        <w:t xml:space="preserve">§3.5 Artefact Families and Schema Design ✓</w:t>
      </w:r>
      <w:r>
        <w:t xml:space="preserve"> </w:t>
      </w:r>
      <w:r>
        <w:t xml:space="preserve">Seven canonical families and five schema design principles … 52</w:t>
      </w:r>
      <w:r>
        <w:t xml:space="preserve"> </w:t>
      </w:r>
      <w:r>
        <w:t xml:space="preserve">⌐ SM-3.5-A Canonical Artefact Schema Reference ✓</w:t>
      </w:r>
      <w:r>
        <w:t xml:space="preserve"> </w:t>
      </w:r>
      <w:r>
        <w:t xml:space="preserve">Complete field-level specifications for all families …….. 58</w:t>
      </w:r>
      <w:r>
        <w:t xml:space="preserve"> </w:t>
      </w:r>
      <w:r>
        <w:t xml:space="preserve">§3.6 Artefact Lifecycle, Validation, and Acceptance Gates ✓</w:t>
      </w:r>
      <w:r>
        <w:t xml:space="preserve"> </w:t>
      </w:r>
      <w:r>
        <w:t xml:space="preserve">From provisional generation through validated publication ….. 65</w:t>
      </w:r>
    </w:p>
    <w:p>
      <w:r>
        <w:pict>
          <v:rect style="width:0;height:1.5pt" o:hralign="center" o:hrstd="t" o:hr="t"/>
        </w:pict>
      </w:r>
    </w:p>
    <w:bookmarkEnd w:id="49"/>
    <w:bookmarkStart w:id="53" w:name="worked-example"/>
    <w:p>
      <w:pPr>
        <w:pStyle w:val="Heading2"/>
      </w:pPr>
      <w:r>
        <w:t xml:space="preserve">6.6 6. Worked Example</w:t>
      </w:r>
    </w:p>
    <w:p>
      <w:pPr>
        <w:pStyle w:val="FirstParagraph"/>
      </w:pPr>
      <w:r>
        <w:rPr>
          <w:b/>
          <w:bCs/>
        </w:rPr>
        <w:t xml:space="preserve">Hypothetical query:</w:t>
      </w:r>
      <w:r>
        <w:t xml:space="preserve"> </w:t>
      </w:r>
      <w:r>
        <w:t xml:space="preserve">“I need to understand what fields the</w:t>
      </w:r>
      <w:r>
        <w:t xml:space="preserve"> </w:t>
      </w:r>
      <w:r>
        <w:t xml:space="preserve">SignalsPack artefact carries and how its schema is validated.”</w:t>
      </w:r>
    </w:p>
    <w:p>
      <w:pPr>
        <w:pStyle w:val="BodyText"/>
      </w:pPr>
      <w:r>
        <w:t xml:space="preserve">The agent consults the Table of Contents and identifies two candidates:</w:t>
      </w:r>
      <w:r>
        <w:t xml:space="preserve"> </w:t>
      </w:r>
      <w:r>
        <w:t xml:space="preserve">§3.5 (Artefact Families and Schema Design) and SM-3.5-A (Canonical</w:t>
      </w:r>
      <w:r>
        <w:t xml:space="preserve"> </w:t>
      </w:r>
      <w:r>
        <w:t xml:space="preserve">Artefact Schema Reference).</w:t>
      </w:r>
    </w:p>
    <w:p>
      <w:pPr>
        <w:pStyle w:val="BodyText"/>
      </w:pPr>
      <w:r>
        <w:t xml:space="preserve">The agent reads the Node Declaration for §3.5: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§3.5 Artefact Families and Schema Design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Implemented</w:t>
                  </w:r>
                </w:p>
              </w:tc>
            </w:tr>
            <w:tr>
              <w:tc>
                <w:tcPr/>
                <w:p>
                  <w:pPr>
                    <w:pStyle w:val="Compact"/>
                  </w:pPr>
                  <w:r>
                    <w:rPr>
                      <w:b/>
                      <w:bCs/>
                    </w:rPr>
                    <w:t xml:space="preserve">Assumes</w:t>
                  </w:r>
                </w:p>
              </w:tc>
              <w:tc>
                <w:tcPr/>
                <w:p>
                  <w:pPr>
                    <w:pStyle w:val="Compact"/>
                  </w:pPr>
                  <w:r>
                    <w:t xml:space="preserve">§3.4 (The Thin-Waist Artefact Exchange)</w:t>
                  </w:r>
                </w:p>
              </w:tc>
            </w:tr>
            <w:tr>
              <w:tc>
                <w:tcPr/>
                <w:p>
                  <w:pPr>
                    <w:pStyle w:val="Compact"/>
                  </w:pPr>
                  <w:r>
                    <w:rPr>
                      <w:b/>
                      <w:bCs/>
                    </w:rPr>
                    <w:t xml:space="preserve">Contributes</w:t>
                  </w:r>
                </w:p>
              </w:tc>
              <w:tc>
                <w:tcPr/>
                <w:p>
                  <w:pPr>
                    <w:pStyle w:val="Compact"/>
                  </w:pPr>
                  <w:r>
                    <w:t xml:space="preserve">Defines the seven canonical artefact families and establishes the five schema design principles governing their structure</w:t>
                  </w:r>
                </w:p>
              </w:tc>
            </w:tr>
            <w:tr>
              <w:tc>
                <w:tcPr/>
                <w:p>
                  <w:pPr>
                    <w:pStyle w:val="Compact"/>
                  </w:pPr>
                  <w:r>
                    <w:rPr>
                      <w:b/>
                      <w:bCs/>
                    </w:rPr>
                    <w:t xml:space="preserve">Skip condition</w:t>
                  </w:r>
                </w:p>
              </w:tc>
              <w:tc>
                <w:tcPr/>
                <w:p>
                  <w:pPr>
                    <w:pStyle w:val="Compact"/>
                  </w:pPr>
                  <w:r>
                    <w:t xml:space="preserve">Skip if reader already knows the seven artefact family names, their primary producers and consumers, and the meaning of schema version stability</w:t>
                  </w:r>
                </w:p>
              </w:tc>
            </w:tr>
            <w:tr>
              <w:tc>
                <w:tcPr/>
                <w:p>
                  <w:pPr>
                    <w:pStyle w:val="Compact"/>
                  </w:pPr>
                  <w:r>
                    <w:rPr>
                      <w:b/>
                      <w:bCs/>
                    </w:rPr>
                    <w:t xml:space="preserve">Passes to</w:t>
                  </w:r>
                </w:p>
              </w:tc>
              <w:tc>
                <w:tcPr/>
                <w:p>
                  <w:pPr>
                    <w:pStyle w:val="Compact"/>
                  </w:pPr>
                  <w:r>
                    <w:t xml:space="preserve">§3.6, SM-3.5-A, Module 6</w:t>
                  </w:r>
                </w:p>
              </w:tc>
            </w:tr>
            <w:tr>
              <w:tc>
                <w:tcPr/>
                <w:p>
                  <w:pPr>
                    <w:pStyle w:val="Compact"/>
                  </w:pPr>
                  <w:r>
                    <w:rPr>
                      <w:b/>
                      <w:bCs/>
                    </w:rPr>
                    <w:t xml:space="preserve">Sub-Modules here</w:t>
                  </w:r>
                </w:p>
              </w:tc>
              <w:tc>
                <w:tcPr/>
                <w:p>
                  <w:pPr>
                    <w:pStyle w:val="Compact"/>
                  </w:pPr>
                  <w:r>
                    <w:t xml:space="preserve">SM-3.5-A: Canonical Artefact Schema Reference</w:t>
                  </w:r>
                </w:p>
              </w:tc>
            </w:tr>
          </w:tbl>
          <w:p/>
        </w:tc>
      </w:tr>
    </w:tbl>
    <w:p>
      <w:pPr>
        <w:pStyle w:val="BodyText"/>
      </w:pPr>
      <w:r>
        <w:t xml:space="preserve">The skip condition is not met because the query requires specific</w:t>
      </w:r>
      <w:r>
        <w:t xml:space="preserve"> </w:t>
      </w:r>
      <w:r>
        <w:t xml:space="preserve">field-level knowledge (SignalsPack schema and validation), which the</w:t>
      </w:r>
      <w:r>
        <w:t xml:space="preserve"> </w:t>
      </w:r>
      <w:r>
        <w:t xml:space="preserve">skip condition does not cover. The agent processes §3.5 in full.</w:t>
      </w:r>
    </w:p>
    <w:p>
      <w:pPr>
        <w:pStyle w:val="BodyText"/>
      </w:pPr>
      <w:r>
        <w:t xml:space="preserve">The agent then reads the Node Declaration for SM-3.5-A: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SM-3.5-A: Canonical Artefact Schema Reference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Implemented</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Complete field-level specifications for all seven artefact families including column names, data types, units, and validation rules</w:t>
                  </w:r>
                </w:p>
              </w:tc>
            </w:tr>
            <w:tr>
              <w:tc>
                <w:tcPr/>
                <w:p>
                  <w:pPr>
                    <w:pStyle w:val="Compact"/>
                  </w:pPr>
                  <w:r>
                    <w:rPr>
                      <w:b/>
                      <w:bCs/>
                    </w:rPr>
                    <w:t xml:space="preserve">Skip condition</w:t>
                  </w:r>
                </w:p>
              </w:tc>
              <w:tc>
                <w:tcPr/>
                <w:p>
                  <w:pPr>
                    <w:pStyle w:val="Compact"/>
                  </w:pPr>
                  <w:r>
                    <w:t xml:space="preserve">Skip if only the conceptual definition of artefact families is needed; process in full if implementing the framework or verifying schema compliance</w:t>
                  </w:r>
                </w:p>
              </w:tc>
            </w:tr>
            <w:tr>
              <w:tc>
                <w:tcPr/>
                <w:p>
                  <w:pPr>
                    <w:pStyle w:val="Compact"/>
                  </w:pPr>
                  <w:r>
                    <w:rPr>
                      <w:b/>
                      <w:bCs/>
                    </w:rPr>
                    <w:t xml:space="preserve">Passes to</w:t>
                  </w:r>
                </w:p>
              </w:tc>
              <w:tc>
                <w:tcPr/>
                <w:p>
                  <w:pPr>
                    <w:pStyle w:val="Compact"/>
                  </w:pPr>
                  <w:r>
                    <w:t xml:space="preserve">Module 6 §6.4 (implementation uses these schemas directly)</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query requires the SignalsPack field-level specification and its</w:t>
      </w:r>
      <w:r>
        <w:t xml:space="preserve"> </w:t>
      </w:r>
      <w:r>
        <w:t xml:space="preserve">validation rules. The skip condition for SM-3.5-A is not met. The</w:t>
      </w:r>
      <w:r>
        <w:t xml:space="preserve"> </w:t>
      </w:r>
      <w:r>
        <w:t xml:space="preserve">agent processes SM-3.5-A in full and retrieves the SignalsPack schema</w:t>
      </w:r>
      <w:r>
        <w:t xml:space="preserve"> </w:t>
      </w:r>
      <w:r>
        <w:t xml:space="preserve">fields and their validation rules from the table within it.</w:t>
      </w:r>
    </w:p>
    <w:p>
      <w:pPr>
        <w:pStyle w:val="BodyText"/>
      </w:pPr>
      <w:r>
        <w:t xml:space="preserve">The agent does not need to process §3.6, Module 4, or Module 5 to</w:t>
      </w:r>
      <w:r>
        <w:t xml:space="preserve"> </w:t>
      </w:r>
      <w:r>
        <w:t xml:space="preserve">answer this query.</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important.png" id="52"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This Navigation Guide is itself governed by a Node Declaration.</w:t>
            </w:r>
            <w:r>
              <w:t xml:space="preserve"> </w:t>
            </w:r>
            <w:r>
              <w:t xml:space="preserve">It has no skip condition: it should be read by all users before</w:t>
            </w:r>
            <w:r>
              <w:t xml:space="preserve"> </w:t>
            </w:r>
            <w:r>
              <w:t xml:space="preserve">engaging with the manuscript’s main body.</w:t>
            </w:r>
          </w:p>
          <w:p/>
        </w:tc>
      </w:tr>
    </w:tbl>
    <w:bookmarkEnd w:id="53"/>
    <w:bookmarkStart w:id="58" w:name="framework-map"/>
    <w:p>
      <w:pPr>
        <w:pStyle w:val="Heading2"/>
      </w:pPr>
      <w:r>
        <w:t xml:space="preserve">Framework Map</w:t>
      </w:r>
    </w:p>
    <w:p>
      <w:pPr>
        <w:pStyle w:val="FirstParagraph"/>
      </w:pPr>
      <w:r>
        <w:t xml:space="preserve">The following diagram shows the dependency</w:t>
      </w:r>
      <w:r>
        <w:t xml:space="preserve"> </w:t>
      </w:r>
      <w:r>
        <w:t xml:space="preserve">relationships between modules. Arrows indicate</w:t>
      </w:r>
      <w:r>
        <w:t xml:space="preserve"> </w:t>
      </w:r>
      <w:r>
        <w:t xml:space="preserve">prerequisite reading direction.</w:t>
      </w:r>
    </w:p>
    <w:tbl>
      <w:tblPr>
        <w:tblStyle w:val="Table"/>
        <w:tblW w:type="pct" w:w="5000"/>
        <w:tblLayout w:type="fixed"/>
        <w:tblLook w:firstRow="0" w:lastRow="0" w:firstColumn="0" w:lastColumn="0" w:noHBand="0" w:noVBand="0" w:val="0000"/>
      </w:tblPr>
      <w:tblGrid>
        <w:gridCol w:w="7920"/>
      </w:tblGrid>
      <w:tr>
        <w:tc>
          <w:tcPr/>
          <w:bookmarkStart w:id="57" w:name="fig-module-map"/>
          <w:p>
            <w:pPr>
              <w:pStyle w:val="Compact"/>
              <w:jc w:val="center"/>
            </w:pPr>
            <w:r>
              <w:drawing>
                <wp:inline>
                  <wp:extent cx="5334000" cy="2947736"/>
                  <wp:effectExtent b="0" l="0" r="0" t="0"/>
                  <wp:docPr descr="" title="" id="55" name="Picture"/>
                  <a:graphic>
                    <a:graphicData uri="http://schemas.openxmlformats.org/drawingml/2006/picture">
                      <pic:pic>
                        <pic:nvPicPr>
                          <pic:cNvPr descr="front-matter/../assets/figures/diagram2-module-map.png" id="56" name="Picture"/>
                          <pic:cNvPicPr>
                            <a:picLocks noChangeArrowheads="1" noChangeAspect="1"/>
                          </pic:cNvPicPr>
                        </pic:nvPicPr>
                        <pic:blipFill>
                          <a:blip r:embed="rId54"/>
                          <a:stretch>
                            <a:fillRect/>
                          </a:stretch>
                        </pic:blipFill>
                        <pic:spPr bwMode="auto">
                          <a:xfrm>
                            <a:off x="0" y="0"/>
                            <a:ext cx="5334000" cy="2947736"/>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Figure N.1: Module dependency map — prerequisite</w:t>
            </w:r>
            <w:r>
              <w:t xml:space="preserve"> </w:t>
            </w:r>
            <w:r>
              <w:t xml:space="preserve">reading paths across Modules 0 through 7.</w:t>
            </w:r>
          </w:p>
          <w:bookmarkEnd w:id="57"/>
        </w:tc>
      </w:tr>
    </w:tbl>
    <w:bookmarkEnd w:id="58"/>
    <w:bookmarkEnd w:id="59"/>
    <w:bookmarkStart w:id="62" w:name="why-this-framework-exists"/>
    <w:p>
      <w:pPr>
        <w:pStyle w:val="Heading1"/>
      </w:pPr>
      <w:r>
        <w:t xml:space="preserve">7. Why This Framework Exists</w:t>
      </w:r>
    </w:p>
    <w:p>
      <w:pPr>
        <w:pStyle w:val="FirstParagraph"/>
      </w:pPr>
      <w:r>
        <w:t xml:space="preserve">This cluster addresses a foundational question:</w:t>
      </w:r>
      <w:r>
        <w:t xml:space="preserve"> </w:t>
      </w:r>
      <w:r>
        <w:t xml:space="preserve">why do conventional analytical approaches fail</w:t>
      </w:r>
      <w:r>
        <w:t xml:space="preserve"> </w:t>
      </w:r>
      <w:r>
        <w:t xml:space="preserve">for long-horizon infrastructure decisions, and</w:t>
      </w:r>
      <w:r>
        <w:t xml:space="preserve"> </w:t>
      </w:r>
      <w:r>
        <w:t xml:space="preserve">what conditions make a different framework</w:t>
      </w:r>
      <w:r>
        <w:t xml:space="preserve"> </w:t>
      </w:r>
      <w:r>
        <w:t xml:space="preserve">necessary?</w:t>
      </w:r>
    </w:p>
    <w:p>
      <w:pPr>
        <w:pStyle w:val="BodyText"/>
      </w:pPr>
      <w:r>
        <w:t xml:space="preserve">The sections here establish the intellectual</w:t>
      </w:r>
      <w:r>
        <w:t xml:space="preserve"> </w:t>
      </w:r>
      <w:r>
        <w:t xml:space="preserve">terrain — the philosophical roots of decision</w:t>
      </w:r>
      <w:r>
        <w:t xml:space="preserve"> </w:t>
      </w:r>
      <w:r>
        <w:t xml:space="preserve">analysis under deep uncertainty, the seven</w:t>
      </w:r>
      <w:r>
        <w:t xml:space="preserve"> </w:t>
      </w:r>
      <w:r>
        <w:t xml:space="preserve">requirements that any defensible decision</w:t>
      </w:r>
      <w:r>
        <w:t xml:space="preserve"> </w:t>
      </w:r>
      <w:r>
        <w:t xml:space="preserve">support environment must satisfy, and the</w:t>
      </w:r>
      <w:r>
        <w:t xml:space="preserve"> </w:t>
      </w:r>
      <w:r>
        <w:t xml:space="preserve">formal mathematical foundations that underpin</w:t>
      </w:r>
      <w:r>
        <w:t xml:space="preserve"> </w:t>
      </w:r>
      <w:r>
        <w:t xml:space="preserve">the evaluative standards of regret, robustness,</w:t>
      </w:r>
      <w:r>
        <w:t xml:space="preserve"> </w:t>
      </w:r>
      <w:r>
        <w:t xml:space="preserve">and satisficing used throughout the framework.</w:t>
      </w:r>
    </w:p>
    <w:p>
      <w:pPr>
        <w:pStyle w:val="BodyText"/>
      </w:pPr>
      <w:r>
        <w:t xml:space="preserve">Readers already fluent in DMDU methodology</w:t>
      </w:r>
      <w:r>
        <w:t xml:space="preserve"> </w:t>
      </w:r>
      <w:r>
        <w:t xml:space="preserve">can read the</w:t>
      </w:r>
      <w:r>
        <w:t xml:space="preserve"> </w:t>
      </w:r>
      <w:hyperlink r:id="rId60">
        <w:r>
          <w:rPr>
            <w:rStyle w:val="Hyperlink"/>
          </w:rPr>
          <w:t xml:space="preserve">seven requirements</w:t>
        </w:r>
      </w:hyperlink>
      <w:r>
        <w:t xml:space="preserve"> </w:t>
      </w:r>
      <w:r>
        <w:t xml:space="preserve">and</w:t>
      </w:r>
      <w:r>
        <w:t xml:space="preserve"> </w:t>
      </w:r>
      <w:hyperlink r:id="rId61">
        <w:r>
          <w:rPr>
            <w:rStyle w:val="Hyperlink"/>
          </w:rPr>
          <w:t xml:space="preserve">mathematical notation</w:t>
        </w:r>
      </w:hyperlink>
      <w:r>
        <w:t xml:space="preserve"> </w:t>
      </w:r>
      <w:r>
        <w:t xml:space="preserve">and proceed directly to Module 3.</w:t>
      </w:r>
    </w:p>
    <w:p>
      <w:r>
        <w:pict>
          <v:rect style="width:0;height:1.5pt" o:hralign="center" o:hrstd="t" o:hr="t"/>
        </w:pict>
      </w:r>
    </w:p>
    <w:bookmarkEnd w:id="62"/>
    <w:bookmarkStart w:id="73" w:name="module-0-orientation"/>
    <w:p>
      <w:pPr>
        <w:pStyle w:val="Heading1"/>
      </w:pPr>
      <w:r>
        <w:t xml:space="preserve">8. Module 0: Orientation</w:t>
      </w:r>
    </w:p>
    <w:p>
      <w:pPr>
        <w:pStyle w:val="FirstParagraph"/>
      </w:pPr>
      <w:r>
        <w:t xml:space="preserve">The Framework at a Glance</w:t>
      </w:r>
    </w:p>
    <w:p>
      <w:pPr>
        <w:pStyle w:val="BodyText"/>
      </w:pPr>
      <w:r>
        <w:br/>
      </w:r>
    </w:p>
    <w:bookmarkStart w:id="63" w:name="X07528ec5c613cfde8f8ee1bb460f68b8f943238"/>
    <w:p>
      <w:pPr>
        <w:pStyle w:val="Heading2"/>
      </w:pPr>
      <w:r>
        <w:t xml:space="preserve">8.1 §0.1 The Architectural Wrong and Its Correction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§0.1 The Architectural Wrong and Its Correction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Context Declaration and Preamble</w:t>
                  </w:r>
                </w:p>
              </w:tc>
            </w:tr>
            <w:tr>
              <w:tc>
                <w:tcPr/>
                <w:p>
                  <w:pPr>
                    <w:pStyle w:val="Compact"/>
                  </w:pPr>
                  <w:r>
                    <w:rPr>
                      <w:b/>
                      <w:bCs/>
                    </w:rPr>
                    <w:t xml:space="preserve">Contributes</w:t>
                  </w:r>
                </w:p>
              </w:tc>
              <w:tc>
                <w:tcPr/>
                <w:p>
                  <w:pPr>
                    <w:pStyle w:val="Compact"/>
                  </w:pPr>
                  <w:r>
                    <w:t xml:space="preserve">Establishes the diagnostic of what is wrong with how planning analysis is currently organised, and states the reversal that the framework proposes</w:t>
                  </w:r>
                </w:p>
              </w:tc>
            </w:tr>
            <w:tr>
              <w:tc>
                <w:tcPr/>
                <w:p>
                  <w:pPr>
                    <w:pStyle w:val="Compact"/>
                  </w:pPr>
                  <w:r>
                    <w:rPr>
                      <w:b/>
                      <w:bCs/>
                    </w:rPr>
                    <w:t xml:space="preserve">Skip condition</w:t>
                  </w:r>
                </w:p>
              </w:tc>
              <w:tc>
                <w:tcPr/>
                <w:p>
                  <w:pPr>
                    <w:pStyle w:val="Compact"/>
                  </w:pPr>
                  <w:r>
                    <w:t xml:space="preserve">Skip if reader already accepts the model-centred/decision-centred contrast and wants the architecture directly; proceed to §0.4</w:t>
                  </w:r>
                </w:p>
              </w:tc>
            </w:tr>
            <w:tr>
              <w:tc>
                <w:tcPr/>
                <w:p>
                  <w:pPr>
                    <w:pStyle w:val="Compact"/>
                  </w:pPr>
                  <w:r>
                    <w:rPr>
                      <w:b/>
                      <w:bCs/>
                    </w:rPr>
                    <w:t xml:space="preserve">Passes to</w:t>
                  </w:r>
                </w:p>
              </w:tc>
              <w:tc>
                <w:tcPr/>
                <w:p>
                  <w:pPr>
                    <w:pStyle w:val="Compact"/>
                  </w:pPr>
                  <w:r>
                    <w:t xml:space="preserve">§0.2, §0.3, Module 1</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Planning analysis has an architectural problem, not a computational one. The problem is not that models are too simple, too slow, or poorly calibrated. Many of the models brought to bear on complex infrastructure decisions are technically sophisticated by any reasonable standard. The problem is that they are organised around the wrong object. They are organised around the system rather than the decision, and that reversal of priority produces a characteristic failure whose consequences are visible in the very planning contexts where the analytical investment is largest.</w:t>
      </w:r>
    </w:p>
    <w:p>
      <w:pPr>
        <w:pStyle w:val="BodyText"/>
      </w:pPr>
      <w:r>
        <w:t xml:space="preserve">The model-centred logic is easy to understand and in many settings entirely appropriate. One model is assembled, its boundaries are drawn according to the physical or technical extent of the system being studied, its objective is specified, and its outputs flow in one direction toward a recommendation. The boundary is the fence line of the facility, the perimeter of the network, the scope of the sector. These choices feel natural because they follow the contours of the physical world. When decisions are short-horizon, tightly bounded, and made in stable environments, this logic works well. The model is adequate because the problem is tractable within a boundary the physical system conveniently provides.</w:t>
      </w:r>
    </w:p>
    <w:p>
      <w:pPr>
        <w:pStyle w:val="BodyText"/>
      </w:pPr>
      <w:r>
        <w:t xml:space="preserve">The failure arrives when decisions are long-horizon, when their consequences propagate across scales that do not coincide with the physical system’s boundary, and when the futures that determine whether a choice was wise cannot be agreed upon in advance. At this point the model-centred logic produces a specific and predictable error: the model optimises within its declared boundary while the consequences that most matter to the decision lie outside it. A site-level techno-economic assessment of an electrification pathway can be internally coherent and technically rigorous while remaining blind to the regional grid constraints that will determine whether the pathway is actually feasible. The model solves the problem it was given. The problem it was given is not the decision being made.</w:t>
      </w:r>
    </w:p>
    <w:p>
      <w:pPr>
        <w:pStyle w:val="BodyText"/>
      </w:pPr>
      <w:r>
        <w:t xml:space="preserve">This is not merely an academic diagnosis. In the Edendale proof of concept documented in Module 6, the electrification pathway was evaluated against a structured ensemble of 64 futures spanning plausible combinations of grid headroom, regional demand growth, hydro year conditions, biomass supply, and carbon price trajectory. Twenty-three of those 64 futures produced GXP hosting capacity exceedances that generated regional infrastructure costs entirely invisible from within the site boundary. Thirty-six percent of a carefully constructed plausible future set revealed a constraint that site-level analysis structurally cannot see. That result is not a flaw in the site model. It is a flaw in the logic that organises analytical work around the physical system rather than around the decision the analysis is meant to inform.</w:t>
      </w:r>
    </w:p>
    <w:p>
      <w:pPr>
        <w:pStyle w:val="BodyText"/>
      </w:pPr>
      <w:r>
        <w:t xml:space="preserve">The architectural wrong can be stated precisely. In conventional practice, the boundary of the analysis is set by the physical system first, and the decision is then framed as a query to whatever the model within that boundary can answer. This arrangement guarantees that any decision-relevant consequence lying outside the physical boundary will be invisible. It also guarantees that the analysis will find an answer, because every model answers something. The answer will be precise, internally consistent, and answerable in the terms the model was built to provide. It may not be the answer to the question that matters.</w:t>
      </w:r>
    </w:p>
    <w:p>
      <w:pPr>
        <w:pStyle w:val="BodyText"/>
      </w:pPr>
      <w:r>
        <w:t xml:space="preserve">The response this framework proposes is a reversal. The decision is articulated first: what is being chosen, by whom, with consequences at which scales, and under which dimensions of uncertainty. The boundary is then drawn around what must remain visible for that comparison to be valid. Physical parameters, engineering constraints, and process detail enter the architecture as required by the decision, not as prior constraints on what the decision can address. Decision-centred modelling is the term used throughout this manuscript for an analytical approach organised on this basis.</w:t>
      </w:r>
    </w:p>
    <w:p>
      <w:pPr>
        <w:pStyle w:val="BodyText"/>
      </w:pPr>
      <w:r>
        <w:t xml:space="preserve">The reversal carries a memorable formulation, introduced here and maintained throughout the manuscript as the framework’s central commitment: the decision makes the boundary; the artefact makes the connection. Section §0.3 develops this principle fully. What follows immediately in §0.2 is its grounding in the specific analytical landscape of New Zealand process heat decarbonisation, where the gap between what current practice provides and what the decision requires is not hypothetical but measurable.</w:t>
      </w:r>
    </w:p>
    <w:bookmarkEnd w:id="63"/>
    <w:bookmarkStart w:id="64" w:name="the-gap-this-framework-fills"/>
    <w:p>
      <w:pPr>
        <w:pStyle w:val="Heading2"/>
      </w:pPr>
      <w:r>
        <w:t xml:space="preserve">8.2 §0.2 The Gap This Framework Fills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§0.2 The Gap This Framework Fills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w:t>
                  </w:r>
                </w:p>
              </w:tc>
            </w:tr>
            <w:tr>
              <w:tc>
                <w:tcPr/>
                <w:p>
                  <w:pPr>
                    <w:pStyle w:val="Compact"/>
                  </w:pPr>
                  <w:r>
                    <w:rPr>
                      <w:b/>
                      <w:bCs/>
                    </w:rPr>
                    <w:t xml:space="preserve">Contributes</w:t>
                  </w:r>
                </w:p>
              </w:tc>
              <w:tc>
                <w:tcPr/>
                <w:p>
                  <w:pPr>
                    <w:pStyle w:val="Compact"/>
                  </w:pPr>
                  <w:r>
                    <w:t xml:space="preserve">Translates the abstract architectural wrong into a specific, empirically grounded gap in the analytical landscape for New Zealand process heat decarbonisation</w:t>
                  </w:r>
                </w:p>
              </w:tc>
            </w:tr>
            <w:tr>
              <w:tc>
                <w:tcPr/>
                <w:p>
                  <w:pPr>
                    <w:pStyle w:val="Compact"/>
                  </w:pPr>
                  <w:r>
                    <w:rPr>
                      <w:b/>
                      <w:bCs/>
                    </w:rPr>
                    <w:t xml:space="preserve">Skip condition</w:t>
                  </w:r>
                </w:p>
              </w:tc>
              <w:tc>
                <w:tcPr/>
                <w:p>
                  <w:pPr>
                    <w:pStyle w:val="Compact"/>
                  </w:pPr>
                  <w:r>
                    <w:t xml:space="preserve">Skip if reader is already familiar with the NZ process heat analytical landscape; proceed to §0.3</w:t>
                  </w:r>
                </w:p>
              </w:tc>
            </w:tr>
            <w:tr>
              <w:tc>
                <w:tcPr/>
                <w:p>
                  <w:pPr>
                    <w:pStyle w:val="Compact"/>
                  </w:pPr>
                  <w:r>
                    <w:rPr>
                      <w:b/>
                      <w:bCs/>
                    </w:rPr>
                    <w:t xml:space="preserve">Passes to</w:t>
                  </w:r>
                </w:p>
              </w:tc>
              <w:tc>
                <w:tcPr/>
                <w:p>
                  <w:pPr>
                    <w:pStyle w:val="Compact"/>
                  </w:pPr>
                  <w:r>
                    <w:t xml:space="preserve">§0.3, Module 5, Module 6 §6.9</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architectural wrong described in §0.1 is not a theoretical possibility. In the domain of industrial process heat decarbonisation, it is the standard condition. Two well-developed analytical traditions serve this domain, and each is powerful within its own scope. The gap between them is where the framework lives.</w:t>
      </w:r>
    </w:p>
    <w:p>
      <w:pPr>
        <w:pStyle w:val="BodyText"/>
      </w:pPr>
      <w:r>
        <w:t xml:space="preserve">The first tradition is national energy system modelling. TIMES-NZ, the New Zealand national energy model, provides economy-wide scenario analysis spanning primary resources to end-use demand. It produces electricity price trajectories, sectoral fuel demand projections, and national emissions pathways under different policy environments. These outputs are essential for policy design, investment programme development, and long-run emissions accounting. Their limitation, from the perspective of a decision-maker at a specific industrial facility, is spatial and temporal aggregation. National models represent site-level industrial demand as aggregate annual loads, smoothed across many facilities and many operating regimes. The operational heterogeneity of individual facilities, the timing of their heat demand through the day and the year, and the local infrastructure constraints that determine whether a specific pathway is feasible at a specific location are necessarily absent. National models are designed for the questions they answer, and those questions are not the questions a Southland dairy processor faces when committing to a 2035 pathway.</w:t>
      </w:r>
    </w:p>
    <w:p>
      <w:pPr>
        <w:pStyle w:val="BodyText"/>
      </w:pPr>
      <w:r>
        <w:t xml:space="preserve">The second tradition is site-level techno-economic assessment. Engineering and financial analysis at the facility level provides the operational realism and capital cost specificity that national models cannot offer. A site-level assessment can represent boiler configurations, steam distribution, maintenance schedules, and detailed cost decompositions with precision that a national model cannot approach. Its limitation is equally characteristic: it stops at the facility boundary. The regional electricity grid conditions that determine whether electrification is feasible, the biomass supply chain dynamics that determine whether the biomass pathway is viable at scale, and the carbon price trajectories that determine which pathway’s ETS exposure is smaller across different futures are all treated as background assumptions rather than as uncertain conditions to be evaluated systematically.</w:t>
      </w:r>
    </w:p>
    <w:p>
      <w:pPr>
        <w:pStyle w:val="BodyText"/>
      </w:pPr>
      <w:r>
        <w:t xml:space="preserve">Between these two levels there is no governed, auditable, reproducible analytical environment that connects site-level pathway choices to time-resolved regional infrastructure consequences, evaluates those consequences under deep uncertainty about grid conditions, resource supply, and policy trajectories, and compares the results across plausible futures in a form that is defensible to the multiple stakeholders who have a legitimate interest in the outcome.</w:t>
      </w:r>
    </w:p>
    <w:p>
      <w:pPr>
        <w:pStyle w:val="BodyText"/>
      </w:pPr>
      <w:r>
        <w:t xml:space="preserve">That gap is the gap this framework fills. The 23-of-64 finding stated in §0.1 is the gap made analytically visible: a constraint that is structurally invisible at the site level becomes visible the moment the site’s incremental electricity demand is evaluated against the regional grid system under structured uncertainty about headroom and competing demand. The framework does not produce that finding by adding a new model. It produces it by drawing the boundary of the analysis around the decision rather than around the facility, and by connecting site-level and regional-level analysis through a governed artefact exchange that preserves the contribution of each.</w:t>
      </w:r>
    </w:p>
    <w:p>
      <w:pPr>
        <w:pStyle w:val="BodyText"/>
      </w:pPr>
      <w:r>
        <w:t xml:space="preserve">The framework’s positioning relative to RETA, GIDI, and TIMES-NZ is complementary rather than competitive. The Regional Energy Transition Accelerator assessments identify decarbonisation clusters and regional infrastructure needs. The GIDI Fund co-investment programme supports capital allocation for transition projects. TIMES-NZ provides the national scenario context. The framework asks a question none of these currently addresses: under which of the plausible regional futures does a given site-level pathway remain both technically feasible and comparatively attractive, and what are the system-level consequences of incentive arrangements that may not align private investment logic with public infrastructure outcomes?</w:t>
      </w:r>
    </w:p>
    <w:bookmarkEnd w:id="64"/>
    <w:bookmarkStart w:id="65" w:name="the-decision-first-boundary-principle"/>
    <w:p>
      <w:pPr>
        <w:pStyle w:val="Heading2"/>
      </w:pPr>
      <w:r>
        <w:t xml:space="preserve">8.3 §0.3 The Decision-First Boundary Principle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§0.3 The Decision-First Boundary Principle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 §0.2</w:t>
                  </w:r>
                </w:p>
              </w:tc>
            </w:tr>
            <w:tr>
              <w:tc>
                <w:tcPr/>
                <w:p>
                  <w:pPr>
                    <w:pStyle w:val="Compact"/>
                  </w:pPr>
                  <w:r>
                    <w:rPr>
                      <w:b/>
                      <w:bCs/>
                    </w:rPr>
                    <w:t xml:space="preserve">Contributes</w:t>
                  </w:r>
                </w:p>
              </w:tc>
              <w:tc>
                <w:tcPr/>
                <w:p>
                  <w:pPr>
                    <w:pStyle w:val="Compact"/>
                  </w:pPr>
                  <w:r>
                    <w:t xml:space="preserve">States the framework’s foundational commitment in full, with its motto, its clarification regarding physical realism, and its three principal implications for architectural design</w:t>
                  </w:r>
                </w:p>
              </w:tc>
            </w:tr>
            <w:tr>
              <w:tc>
                <w:tcPr/>
                <w:p>
                  <w:pPr>
                    <w:pStyle w:val="Compact"/>
                  </w:pPr>
                  <w:r>
                    <w:rPr>
                      <w:b/>
                      <w:bCs/>
                    </w:rPr>
                    <w:t xml:space="preserve">Skip condition</w:t>
                  </w:r>
                </w:p>
              </w:tc>
              <w:tc>
                <w:tcPr/>
                <w:p>
                  <w:pPr>
                    <w:pStyle w:val="Compact"/>
                  </w:pPr>
                  <w:r>
                    <w:t xml:space="preserve">Skip only if principle is already thoroughly known from the Context Declaration; this section develops the three architectural implications that the Context Declaration states but does not elaborate</w:t>
                  </w:r>
                </w:p>
              </w:tc>
            </w:tr>
            <w:tr>
              <w:tc>
                <w:tcPr/>
                <w:p>
                  <w:pPr>
                    <w:pStyle w:val="Compact"/>
                  </w:pPr>
                  <w:r>
                    <w:rPr>
                      <w:b/>
                      <w:bCs/>
                    </w:rPr>
                    <w:t xml:space="preserve">Passes to</w:t>
                  </w:r>
                </w:p>
              </w:tc>
              <w:tc>
                <w:tcPr/>
                <w:p>
                  <w:pPr>
                    <w:pStyle w:val="Compact"/>
                  </w:pPr>
                  <w:r>
                    <w:t xml:space="preserve">§0.4, §0.5, Module 1, Module 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diagnostic of §0.1 and the empirical gap of §0.2 both point to the same source: the boundary of the analysis is being set by the wrong thing. Setting it by the physical system guarantees that any decision-relevant consequence outside that system will be invisible. The framework’s response is not to build larger models that encompass more physical territory. It is to set the boundary differently from the outset.</w:t>
      </w:r>
    </w:p>
    <w:p>
      <w:pPr>
        <w:pStyle w:val="BodyText"/>
      </w:pPr>
      <w:r>
        <w:t xml:space="preserve">The decision-first boundary principle is the foundational commitment of this framework. Stated precisely: analytical boundaries are drawn primarily by the decision context and the consequences that must remain visible for comparison, not by the physical extent of the system being studied. Physical parameters, engineering constraints, and process detail matter and are incorporated, but they do not determine the architecture. What determines the architecture is the decision: what is being chosen, by whom, with consequences at which scales, and under which dimensions of uncertainty.</w:t>
      </w:r>
    </w:p>
    <w:p>
      <w:pPr>
        <w:pStyle w:val="BodyText"/>
      </w:pPr>
      <w:r>
        <w:t xml:space="preserve">The framework’s central motto states this commitment in its most condensed form:</w:t>
      </w:r>
      <w:r>
        <w:t xml:space="preserve"> </w:t>
      </w:r>
      <w:r>
        <w:t xml:space="preserve">“The decision makes the boundary; the artefact makes the connection.”</w:t>
      </w:r>
      <w:r>
        <w:t xml:space="preserve"> </w:t>
      </w:r>
      <w:r>
        <w:t xml:space="preserve">The first clause names what governs scope. The second names the mechanism by which heterogeneous components operating at different scales can participate in a single coherent analytical chain without any one of them needing to encompass or reproduce the others. Section §0.5 develops the artefact mechanism fully. The present section is concerned with what it means for boundaries to be set by the decision.</w:t>
      </w:r>
    </w:p>
    <w:p>
      <w:pPr>
        <w:pStyle w:val="BodyText"/>
      </w:pPr>
      <w:r>
        <w:t xml:space="preserve">One clarification is essential and must not be passed over. The decision-first boundary principle does not mean physical realism is ignored or that engineering detail is treated as unimportant. It means physical detail is incorporated where it changes the decision, the comparison, or the interpretation of consequences across layers and futures. If the thermal dynamics of a boiler network affect whether a pathway’s peak electricity demand exceeds the regional grid’s hosting capacity, that detail belongs in the site module. If it does not affect that determination, it belongs behind the thin-waist interface as internal complexity the framework need not expose. The principle is discriminating rather than dismissive: it asks of every potential addition not whether it is physically real but whether it is decision-relevant.</w:t>
      </w:r>
    </w:p>
    <w:p>
      <w:pPr>
        <w:pStyle w:val="BodyText"/>
      </w:pPr>
      <w:r>
        <w:t xml:space="preserve">This clarification has a practical consequence that runs throughout the framework’s architecture: physical detail is added progressively, in the order that regret sensitivity diagnostics reveal to be most consequential for the decision being explored. The framework is self-directing in its development. At each stage, the scenario discovery analysis of the DMDU orchestration layer identifies which uncertain drivers most strongly determine pathway preference, and that identification reveals which simplification, once removed, would most change what the decision-maker should choose. Complexity is not added for its own sake. It is added where it matters.</w:t>
      </w:r>
    </w:p>
    <w:p>
      <w:pPr>
        <w:pStyle w:val="BodyText"/>
      </w:pPr>
      <w:r>
        <w:t xml:space="preserve">Three implications for architectural design follow from the decision-first boundary principle.</w:t>
      </w:r>
    </w:p>
    <w:p>
      <w:pPr>
        <w:pStyle w:val="BodyText"/>
      </w:pPr>
      <w:r>
        <w:t xml:space="preserve">The first is that heterogeneous analytical components can coexist within one framework. A site-level dispatch simulation, a regional network optimisation, and a national scenario model do not share a natural physical interface. What they share is a set of decision-relevant consequences that must be comparable across futures and module generations. The artefact — a structured, versioned, validated, and provenance-carrying output — is the form in which those consequences are materialised. Governed artefacts are what allow the site module and the regional module to exchange the consequences that matter without requiring either to understand the internal workings of the other.</w:t>
      </w:r>
    </w:p>
    <w:p>
      <w:pPr>
        <w:pStyle w:val="BodyText"/>
      </w:pPr>
      <w:r>
        <w:t xml:space="preserve">The second is that the framework grows toward the decision rather than toward physical completeness. This makes progressive refinement architecturally principled rather than an admission of incompleteness. A first-generation site module that uses proportional dispatch to represent operational scheduling is appropriate at the stage when the primary analytical question concerns grid interface consequences rather than optimal scheduling patterns. The framework adds scheduling-grade dispatch when the regret diagnostics show that the proportional approximation is materially changing the grid adequacy assessment. Not before.</w:t>
      </w:r>
    </w:p>
    <w:p>
      <w:pPr>
        <w:pStyle w:val="BodyText"/>
      </w:pPr>
      <w:r>
        <w:t xml:space="preserve">The third is that AI and ML methods can contribute without compromising governance. Because what matters at a module boundary is the governed artefact rather than how it was produced, a trained ML surrogate that emits a valid, schema-conforming SignalsPack is analytically equivalent to a full PyPSA network optimisation that emits the same artefact. The decision-first principle, by making the governed artefact the unit of exchange, makes AI-assisted analytical production tractable without making it ungovernable. Section §0.5 develops the thin-waist mechanism that makes this equivalence operationally concrete.</w:t>
      </w:r>
    </w:p>
    <w:bookmarkEnd w:id="65"/>
    <w:bookmarkStart w:id="70" w:name="the-seven-functional-layers"/>
    <w:p>
      <w:pPr>
        <w:pStyle w:val="Heading2"/>
      </w:pPr>
      <w:r>
        <w:t xml:space="preserve">8.4 §0.4 The Seven Functional Layers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§0.4 The Seven Functional Layers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§0.3</w:t>
                  </w:r>
                </w:p>
              </w:tc>
            </w:tr>
            <w:tr>
              <w:tc>
                <w:tcPr/>
                <w:p>
                  <w:pPr>
                    <w:pStyle w:val="Compact"/>
                  </w:pPr>
                  <w:r>
                    <w:rPr>
                      <w:b/>
                      <w:bCs/>
                    </w:rPr>
                    <w:t xml:space="preserve">Contributes</w:t>
                  </w:r>
                </w:p>
              </w:tc>
              <w:tc>
                <w:tcPr/>
                <w:p>
                  <w:pPr>
                    <w:pStyle w:val="Compact"/>
                  </w:pPr>
                  <w:r>
                    <w:t xml:space="preserve">Maps the full framework architecture — seven functional layers, each with a domain-agnostic description of its role, its document location, and what is analytically absent if that layer is missing</w:t>
                  </w:r>
                </w:p>
              </w:tc>
            </w:tr>
            <w:tr>
              <w:tc>
                <w:tcPr/>
                <w:p>
                  <w:pPr>
                    <w:pStyle w:val="Compact"/>
                  </w:pPr>
                  <w:r>
                    <w:rPr>
                      <w:b/>
                      <w:bCs/>
                    </w:rPr>
                    <w:t xml:space="preserve">Skip condition</w:t>
                  </w:r>
                </w:p>
              </w:tc>
              <w:tc>
                <w:tcPr/>
                <w:p>
                  <w:pPr>
                    <w:pStyle w:val="Compact"/>
                  </w:pPr>
                  <w:r>
                    <w:t xml:space="preserve">Do not skip — this is the primary structural map for navigating the manuscript and the framework</w:t>
                  </w:r>
                </w:p>
              </w:tc>
            </w:tr>
            <w:tr>
              <w:tc>
                <w:tcPr/>
                <w:p>
                  <w:pPr>
                    <w:pStyle w:val="Compact"/>
                  </w:pPr>
                  <w:r>
                    <w:rPr>
                      <w:b/>
                      <w:bCs/>
                    </w:rPr>
                    <w:t xml:space="preserve">Passes to</w:t>
                  </w:r>
                </w:p>
              </w:tc>
              <w:tc>
                <w:tcPr/>
                <w:p>
                  <w:pPr>
                    <w:pStyle w:val="Compact"/>
                  </w:pPr>
                  <w:r>
                    <w:t xml:space="preserve">All subsequent modules</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consists of seven functional layers. These are not sequential steps in an analysis but concurrent components of a system, each performing a distinct analytical role. They are described here at a level of generality appropriate to the architecture; the New Zealand process heat instantiation of each layer is developed in Modules 5 and 6. A reader working in a different domain, water infrastructure, regional transport, or land-use planning, should read these descriptions as generic specifications of what a decision-centred analytical environment requires, not as energy-specific designs.</w:t>
      </w:r>
    </w:p>
    <w:tbl>
      <w:tblPr>
        <w:tblStyle w:val="Table"/>
        <w:tblW w:type="pct" w:w="5000"/>
        <w:tblLayout w:type="fixed"/>
        <w:tblLook w:firstRow="0" w:lastRow="0" w:firstColumn="0" w:lastColumn="0" w:noHBand="0" w:noVBand="0" w:val="0000"/>
      </w:tblPr>
      <w:tblGrid>
        <w:gridCol w:w="7920"/>
      </w:tblGrid>
      <w:tr>
        <w:tc>
          <w:tcPr/>
          <w:bookmarkStart w:id="69" w:name="fig-architecture"/>
          <w:p>
            <w:pPr>
              <w:pStyle w:val="Compact"/>
              <w:jc w:val="center"/>
            </w:pPr>
            <w:r>
              <w:drawing>
                <wp:inline>
                  <wp:extent cx="5334000" cy="3852333"/>
                  <wp:effectExtent b="0" l="0" r="0" t="0"/>
                  <wp:docPr descr="" title="" id="67" name="Picture"/>
                  <a:graphic>
                    <a:graphicData uri="http://schemas.openxmlformats.org/drawingml/2006/picture">
                      <pic:pic>
                        <pic:nvPicPr>
                          <pic:cNvPr descr="manuscript/../assets/figures/diagram1-architecture-stack.png" id="68" name="Picture"/>
                          <pic:cNvPicPr>
                            <a:picLocks noChangeArrowheads="1" noChangeAspect="1"/>
                          </pic:cNvPicPr>
                        </pic:nvPicPr>
                        <pic:blipFill>
                          <a:blip r:embed="rId66"/>
                          <a:stretch>
                            <a:fillRect/>
                          </a:stretch>
                        </pic:blipFill>
                        <pic:spPr bwMode="auto">
                          <a:xfrm>
                            <a:off x="0" y="0"/>
                            <a:ext cx="5334000" cy="3852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8.1: Figure 0.1: Seven analytical layers of the</w:t>
            </w:r>
            <w:r>
              <w:t xml:space="preserve"> </w:t>
            </w:r>
            <w:r>
              <w:t xml:space="preserve">Decision-Centred Modelling framework — artefact</w:t>
            </w:r>
            <w:r>
              <w:t xml:space="preserve"> </w:t>
            </w:r>
            <w:r>
              <w:t xml:space="preserve">exchange across the governed backbone.</w:t>
            </w:r>
          </w:p>
          <w:bookmarkEnd w:id="69"/>
        </w:tc>
      </w:tr>
    </w:tbl>
    <w:p>
      <w:pPr>
        <w:pStyle w:val="BodyText"/>
      </w:pPr>
      <w:r>
        <w:t xml:space="preserve">Layer 1: The Decision Layer (Module 1) is the conceptual foundation. It asks what kinds of decisions the framework is designed to support, how alternatives and futures should be structured analytically, and what standards of comparison are appropriate when stable probability distributions over futures are unavailable. This layer establishes the decision-first boundary principle in full formal terms and articulates the evaluative standards, regret, robustness, and satisficing, that govern what must remain visible in the analytical environment. Without the Decision Layer, the other layers have no principled account of what they are generating consequences for or how those consequences should be compared.</w:t>
      </w:r>
    </w:p>
    <w:p>
      <w:pPr>
        <w:pStyle w:val="BodyText"/>
      </w:pPr>
      <w:r>
        <w:t xml:space="preserve">Layer 2: The Modelling Foundations Layer (Module 2) provides the analytical tools through which decision-relevant consequences are generated: system representation, optimisation, simulation, and surrogate emulation. It also establishes that the choice of tool is governed by decision relevance rather than by formal sophistication, and that future ensembles are selected by their consequence-centrality rather than their input-extremity. Without this layer, the architecture lacks the analytical machinery to generate the outcomes that the Decision Layer requires for comparison.</w:t>
      </w:r>
    </w:p>
    <w:p>
      <w:pPr>
        <w:pStyle w:val="BodyText"/>
      </w:pPr>
      <w:r>
        <w:t xml:space="preserve">Layer 3: The Architecture Layer (Module 3) is the structural core. It defines modular decomposition, the thin-waist principle, artefacts as governed analytical objects with their canonical families and schema requirements, and the analytical data backbone that makes the environment persistent, traceable, and extensible. Without the Architecture Layer, even a well-chosen combination of tools and decision standards produces results that cannot be compared across versions, traced to their analytical origins, or progressively enriched without destroying comparability.</w:t>
      </w:r>
    </w:p>
    <w:p>
      <w:pPr>
        <w:pStyle w:val="BodyText"/>
      </w:pPr>
      <w:r>
        <w:t xml:space="preserve">Layer 4: The Domain Translation Layer (Module 4) translates the general architecture into the specific domain of coupled energy systems and industrial process heat. It establishes the domain-specific vocabulary, module classes, and evaluation frames used in Modules 5 and 6. Without this layer, the architecture cannot be instantiated in the energy domain because the generic module contracts have not been translated into energy-specific interface specifications.</w:t>
      </w:r>
    </w:p>
    <w:p>
      <w:pPr>
        <w:pStyle w:val="BodyText"/>
      </w:pPr>
      <w:r>
        <w:t xml:space="preserve">Layer 5: The Facility Module (Module 6, Appendices III-B and III-C) is the site-level analytical component. Its role, expressed generically, is always the same regardless of domain: translate facility-level technology pathway choices into the time-resolved energy demand signals that cross the facility boundary, and produce the cost, emissions, and adequacy metrics that the evaluation layer requires for comparison. How that translation is accomplished internally, whether by rule-based dispatch, LP-based optimisation, or equation-based physical simulation, is the module’s own concern, provided it emits schema-conforming governed artefacts.</w:t>
      </w:r>
    </w:p>
    <w:p>
      <w:pPr>
        <w:pStyle w:val="BodyText"/>
      </w:pPr>
      <w:r>
        <w:t xml:space="preserve">Layer 6: The Regional Module (Module 6, Appendices III-C and III-F) provides the infrastructure-side and resource-side analytical context that makes facility-level pathway choices legible beyond the facility boundary. Its role is always the same: receive the facility’s interface artefacts, evaluate regional constraints under the future conditions specified in the FutureArtefact, and return a SignalsPack carrying the signals that the Facility Module and the evaluation layer require. Internal implementation may range from a stylised screening model to a full network optimisation to a trained ML surrogate.</w:t>
      </w:r>
    </w:p>
    <w:p>
      <w:pPr>
        <w:pStyle w:val="BodyText"/>
      </w:pPr>
      <w:r>
        <w:t xml:space="preserve">Layer 7: The DMDU Orchestration Layer (Module 6) coordinates all modules across a structured future ensemble, evaluating pathway alternatives under paired conditions to produce the regret, robustness, and threshold-violation metrics that constitute the decision-relevant output of the whole environment. It is also where adaptive triggers, signposts, and pathway revision logic live when the framework is deployed in a decision-monitoring context.</w:t>
      </w:r>
    </w:p>
    <w:p>
      <w:pPr>
        <w:pStyle w:val="BodyText"/>
      </w:pPr>
      <w:r>
        <w:t xml:space="preserve">Table 0.1 summarises the seven layers with their primary output artefact families and their skip conditions for readers navigating selectively.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Name</w:t>
            </w:r>
          </w:p>
        </w:tc>
        <w:tc>
          <w:tcPr/>
          <w:p>
            <w:pPr>
              <w:pStyle w:val="Compact"/>
            </w:pPr>
            <w:r>
              <w:t xml:space="preserve">Module</w:t>
            </w:r>
          </w:p>
        </w:tc>
        <w:tc>
          <w:tcPr/>
          <w:p>
            <w:pPr>
              <w:pStyle w:val="Compact"/>
            </w:pPr>
            <w:r>
              <w:t xml:space="preserve">Primary output artefact</w:t>
            </w:r>
          </w:p>
        </w:tc>
        <w:tc>
          <w:tcPr/>
          <w:p>
            <w:pPr>
              <w:pStyle w:val="Compact"/>
            </w:pPr>
            <w:r>
              <w:t xml:space="preserve">Skip condition</w:t>
            </w:r>
          </w:p>
        </w:tc>
      </w:tr>
      <w:tr>
        <w:tc>
          <w:tcPr/>
          <w:p>
            <w:pPr>
              <w:pStyle w:val="Compact"/>
            </w:pPr>
            <w:r>
              <w:t xml:space="preserve">1</w:t>
            </w:r>
          </w:p>
        </w:tc>
        <w:tc>
          <w:tcPr/>
          <w:p>
            <w:pPr>
              <w:pStyle w:val="Compact"/>
            </w:pPr>
            <w:r>
              <w:t xml:space="preserve">Decision Layer</w:t>
            </w:r>
          </w:p>
        </w:tc>
        <w:tc>
          <w:tcPr/>
          <w:p>
            <w:pPr>
              <w:pStyle w:val="Compact"/>
            </w:pPr>
            <w:r>
              <w:t xml:space="preserve">Module 1</w:t>
            </w:r>
          </w:p>
        </w:tc>
        <w:tc>
          <w:tcPr/>
          <w:p>
            <w:pPr>
              <w:pStyle w:val="Compact"/>
            </w:pPr>
            <w:r>
              <w:t xml:space="preserve">None (vocabulary only)</w:t>
            </w:r>
          </w:p>
        </w:tc>
        <w:tc>
          <w:tcPr/>
          <w:p>
            <w:pPr>
              <w:pStyle w:val="Compact"/>
            </w:pPr>
            <w:r>
              <w:t xml:space="preserve">Skip if DMDU evaluative standards already known</w:t>
            </w:r>
          </w:p>
        </w:tc>
      </w:tr>
      <w:tr>
        <w:tc>
          <w:tcPr/>
          <w:p>
            <w:pPr>
              <w:pStyle w:val="Compact"/>
            </w:pPr>
            <w:r>
              <w:t xml:space="preserve">2</w:t>
            </w:r>
          </w:p>
        </w:tc>
        <w:tc>
          <w:tcPr/>
          <w:p>
            <w:pPr>
              <w:pStyle w:val="Compact"/>
            </w:pPr>
            <w:r>
              <w:t xml:space="preserve">Modelling Foundations</w:t>
            </w:r>
          </w:p>
        </w:tc>
        <w:tc>
          <w:tcPr/>
          <w:p>
            <w:pPr>
              <w:pStyle w:val="Compact"/>
            </w:pPr>
            <w:r>
              <w:t xml:space="preserve">Module 2</w:t>
            </w:r>
          </w:p>
        </w:tc>
        <w:tc>
          <w:tcPr/>
          <w:p>
            <w:pPr>
              <w:pStyle w:val="Compact"/>
            </w:pPr>
            <w:r>
              <w:t xml:space="preserve">None (tool selection logic)</w:t>
            </w:r>
          </w:p>
        </w:tc>
        <w:tc>
          <w:tcPr/>
          <w:p>
            <w:pPr>
              <w:pStyle w:val="Compact"/>
            </w:pPr>
            <w:r>
              <w:t xml:space="preserve">Skip if representation and surrogate validation already known</w:t>
            </w:r>
          </w:p>
        </w:tc>
      </w:tr>
      <w:tr>
        <w:tc>
          <w:tcPr/>
          <w:p>
            <w:pPr>
              <w:pStyle w:val="Compact"/>
            </w:pPr>
            <w:r>
              <w:t xml:space="preserve">3</w:t>
            </w:r>
          </w:p>
        </w:tc>
        <w:tc>
          <w:tcPr/>
          <w:p>
            <w:pPr>
              <w:pStyle w:val="Compact"/>
            </w:pPr>
            <w:r>
              <w:t xml:space="preserve">Architecture</w:t>
            </w:r>
          </w:p>
        </w:tc>
        <w:tc>
          <w:tcPr/>
          <w:p>
            <w:pPr>
              <w:pStyle w:val="Compact"/>
            </w:pPr>
            <w:r>
              <w:t xml:space="preserve">Module 3</w:t>
            </w:r>
          </w:p>
        </w:tc>
        <w:tc>
          <w:tcPr/>
          <w:p>
            <w:pPr>
              <w:pStyle w:val="Compact"/>
            </w:pPr>
            <w:r>
              <w:t xml:space="preserve">All artefact families; backbone design</w:t>
            </w:r>
          </w:p>
        </w:tc>
        <w:tc>
          <w:tcPr/>
          <w:p>
            <w:pPr>
              <w:pStyle w:val="Compact"/>
            </w:pPr>
            <w:r>
              <w:t xml:space="preserve">Do not skip if implementing the framework</w:t>
            </w:r>
          </w:p>
        </w:tc>
      </w:tr>
      <w:tr>
        <w:tc>
          <w:tcPr/>
          <w:p>
            <w:pPr>
              <w:pStyle w:val="Compact"/>
            </w:pPr>
            <w:r>
              <w:t xml:space="preserve">4</w:t>
            </w:r>
          </w:p>
        </w:tc>
        <w:tc>
          <w:tcPr/>
          <w:p>
            <w:pPr>
              <w:pStyle w:val="Compact"/>
            </w:pPr>
            <w:r>
              <w:t xml:space="preserve">Domain Translation</w:t>
            </w:r>
          </w:p>
        </w:tc>
        <w:tc>
          <w:tcPr/>
          <w:p>
            <w:pPr>
              <w:pStyle w:val="Compact"/>
            </w:pPr>
            <w:r>
              <w:t xml:space="preserve">Module 4</w:t>
            </w:r>
          </w:p>
        </w:tc>
        <w:tc>
          <w:tcPr/>
          <w:p>
            <w:pPr>
              <w:pStyle w:val="Compact"/>
            </w:pPr>
            <w:r>
              <w:t xml:space="preserve">Domain-specific module contracts</w:t>
            </w:r>
          </w:p>
        </w:tc>
        <w:tc>
          <w:tcPr/>
          <w:p>
            <w:pPr>
              <w:pStyle w:val="Compact"/>
            </w:pPr>
            <w:r>
              <w:t xml:space="preserve">Skip if not working in the energy domain</w:t>
            </w:r>
          </w:p>
        </w:tc>
      </w:tr>
      <w:tr>
        <w:tc>
          <w:tcPr/>
          <w:p>
            <w:pPr>
              <w:pStyle w:val="Compact"/>
            </w:pPr>
            <w:r>
              <w:t xml:space="preserve">5</w:t>
            </w:r>
          </w:p>
        </w:tc>
        <w:tc>
          <w:tcPr/>
          <w:p>
            <w:pPr>
              <w:pStyle w:val="Compact"/>
            </w:pPr>
            <w:r>
              <w:t xml:space="preserve">Facility Module</w:t>
            </w:r>
          </w:p>
        </w:tc>
        <w:tc>
          <w:tcPr/>
          <w:p>
            <w:pPr>
              <w:pStyle w:val="Compact"/>
            </w:pPr>
            <w:r>
              <w:t xml:space="preserve">Module 6</w:t>
            </w:r>
          </w:p>
        </w:tc>
        <w:tc>
          <w:tcPr/>
          <w:p>
            <w:pPr>
              <w:pStyle w:val="Compact"/>
            </w:pPr>
            <w:r>
              <w:t xml:space="preserve">DemandPack, IncrementalElectricityPack, ResultArtefact</w:t>
            </w:r>
          </w:p>
        </w:tc>
        <w:tc>
          <w:tcPr/>
          <w:p>
            <w:pPr>
              <w:pStyle w:val="Compact"/>
            </w:pPr>
            <w:r>
              <w:t xml:space="preserve">Skip conceptual description if going directly to implementation</w:t>
            </w:r>
          </w:p>
        </w:tc>
      </w:tr>
      <w:tr>
        <w:tc>
          <w:tcPr/>
          <w:p>
            <w:pPr>
              <w:pStyle w:val="Compact"/>
            </w:pPr>
            <w:r>
              <w:t xml:space="preserve">6</w:t>
            </w:r>
          </w:p>
        </w:tc>
        <w:tc>
          <w:tcPr/>
          <w:p>
            <w:pPr>
              <w:pStyle w:val="Compact"/>
            </w:pPr>
            <w:r>
              <w:t xml:space="preserve">Regional Module</w:t>
            </w:r>
          </w:p>
        </w:tc>
        <w:tc>
          <w:tcPr/>
          <w:p>
            <w:pPr>
              <w:pStyle w:val="Compact"/>
            </w:pPr>
            <w:r>
              <w:t xml:space="preserve">Module 6</w:t>
            </w:r>
          </w:p>
        </w:tc>
        <w:tc>
          <w:tcPr/>
          <w:p>
            <w:pPr>
              <w:pStyle w:val="Compact"/>
            </w:pPr>
            <w:r>
              <w:t xml:space="preserve">SignalsPack</w:t>
            </w:r>
          </w:p>
        </w:tc>
        <w:tc>
          <w:tcPr/>
          <w:p>
            <w:pPr>
              <w:pStyle w:val="Compact"/>
            </w:pPr>
            <w:r>
              <w:t xml:space="preserve">Skip conceptual description if going directly to implementation</w:t>
            </w:r>
          </w:p>
        </w:tc>
      </w:tr>
      <w:tr>
        <w:tc>
          <w:tcPr/>
          <w:p>
            <w:pPr>
              <w:pStyle w:val="Compact"/>
            </w:pPr>
            <w:r>
              <w:t xml:space="preserve">7</w:t>
            </w:r>
          </w:p>
        </w:tc>
        <w:tc>
          <w:tcPr/>
          <w:p>
            <w:pPr>
              <w:pStyle w:val="Compact"/>
            </w:pPr>
            <w:r>
              <w:t xml:space="preserve">DMDU Orchestration</w:t>
            </w:r>
          </w:p>
        </w:tc>
        <w:tc>
          <w:tcPr/>
          <w:p>
            <w:pPr>
              <w:pStyle w:val="Compact"/>
            </w:pPr>
            <w:r>
              <w:t xml:space="preserve">Module 6</w:t>
            </w:r>
          </w:p>
        </w:tc>
        <w:tc>
          <w:tcPr/>
          <w:p>
            <w:pPr>
              <w:pStyle w:val="Compact"/>
            </w:pPr>
            <w:r>
              <w:t xml:space="preserve">FutureArtefact, ValidationArtefact, DecisionSummaryArtefact</w:t>
            </w:r>
          </w:p>
        </w:tc>
        <w:tc>
          <w:tcPr/>
          <w:p>
            <w:pPr>
              <w:pStyle w:val="Compact"/>
            </w:pPr>
            <w:r>
              <w:t xml:space="preserve">Do not skip</w:t>
            </w:r>
          </w:p>
        </w:tc>
      </w:tr>
    </w:tbl>
    <w:bookmarkEnd w:id="70"/>
    <w:bookmarkStart w:id="71" w:name="the-thin-waist-principle"/>
    <w:p>
      <w:pPr>
        <w:pStyle w:val="Heading2"/>
      </w:pPr>
      <w:r>
        <w:t xml:space="preserve">8.5 §0.5 The Thin-Waist Principle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§0.5 The Thin-Waist Principle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§0.3, §0.4</w:t>
                  </w:r>
                </w:p>
              </w:tc>
            </w:tr>
            <w:tr>
              <w:tc>
                <w:tcPr/>
                <w:p>
                  <w:pPr>
                    <w:pStyle w:val="Compact"/>
                  </w:pPr>
                  <w:r>
                    <w:rPr>
                      <w:b/>
                      <w:bCs/>
                    </w:rPr>
                    <w:t xml:space="preserve">Contributes</w:t>
                  </w:r>
                </w:p>
              </w:tc>
              <w:tc>
                <w:tcPr/>
                <w:p>
                  <w:pPr>
                    <w:pStyle w:val="Compact"/>
                  </w:pPr>
                  <w:r>
                    <w:t xml:space="preserve">Develops the thin-waist principle as the architectural mechanism that makes the decision-first boundary logic operationally feasible across heterogeneous components</w:t>
                  </w:r>
                </w:p>
              </w:tc>
            </w:tr>
            <w:tr>
              <w:tc>
                <w:tcPr/>
                <w:p>
                  <w:pPr>
                    <w:pStyle w:val="Compact"/>
                  </w:pPr>
                  <w:r>
                    <w:rPr>
                      <w:b/>
                      <w:bCs/>
                    </w:rPr>
                    <w:t xml:space="preserve">Skip condition</w:t>
                  </w:r>
                </w:p>
              </w:tc>
              <w:tc>
                <w:tcPr/>
                <w:p>
                  <w:pPr>
                    <w:pStyle w:val="Compact"/>
                  </w:pPr>
                  <w:r>
                    <w:t xml:space="preserve">Skip if reader already understands modular decomposition with stable interfaces from software architecture or network design; proceed to Module 3 §3.4 for full architectural treatment</w:t>
                  </w:r>
                </w:p>
              </w:tc>
            </w:tr>
            <w:tr>
              <w:tc>
                <w:tcPr/>
                <w:p>
                  <w:pPr>
                    <w:pStyle w:val="Compact"/>
                  </w:pPr>
                  <w:r>
                    <w:rPr>
                      <w:b/>
                      <w:bCs/>
                    </w:rPr>
                    <w:t xml:space="preserve">Passes to</w:t>
                  </w:r>
                </w:p>
              </w:tc>
              <w:tc>
                <w:tcPr/>
                <w:p>
                  <w:pPr>
                    <w:pStyle w:val="Compact"/>
                  </w:pPr>
                  <w:r>
                    <w:t xml:space="preserve">Module 3,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decision-first boundary principle establishes what governs the scope of the analysis. It does not, by itself, explain how components operating at different scales and using different analytical methods can participate in one coherent chain without each one needing to encompass or reproduce the others. That question is answered by the thin-waist principle.</w:t>
      </w:r>
    </w:p>
    <w:p>
      <w:pPr>
        <w:pStyle w:val="BodyText"/>
      </w:pPr>
      <w:r>
        <w:t xml:space="preserve">A thin waist is a narrow, stable, and interpretable layer through which different analytical components exchange information, such that each component on either side of the waist may evolve freely provided it continues to satisfy the exchange specification. The term is drawn from the architecture of the internet, where the Internet Protocol serves as the thin waist between the diversity of physical network technologies below and the diversity of applications above. Neither side needs to know how the other works internally. Both sides need only to know what crosses the boundary and in what form.</w:t>
      </w:r>
    </w:p>
    <w:p>
      <w:pPr>
        <w:pStyle w:val="BodyText"/>
      </w:pPr>
      <w:r>
        <w:t xml:space="preserve">The internet analogy is useful but the present application extends it in one important direction. The IEA Project BlueSky initiative has advanced the argument that standardised data exchange interfaces between heterogeneous modelling components are the enabling condition for open, reusable, and composable energy system analysis. That argument is architecturally aligned with the thin-waist principle. What the present framework adds is artefact governance: the schema conformance requirements, provenance declaration obligations, validation gating logic, and append-only lineage tracking that make modelling contributions not only interoperable but auditable. Interoperability without governance allows tools to talk to each other. Interoperability with governance allows the conversation to be trusted.</w:t>
      </w:r>
    </w:p>
    <w:p>
      <w:pPr>
        <w:pStyle w:val="BodyText"/>
      </w:pPr>
      <w:r>
        <w:t xml:space="preserve">In this framework, the thin waist consists of the canonical artefact families and their schema specifications. What crosses a module boundary is always a governed artefact. The artefact carries everything the receiving module needs to know and nothing more. What happens inside a module to produce or consume those artefacts is entirely that module’s internal concern.</w:t>
      </w:r>
    </w:p>
    <w:p>
      <w:pPr>
        <w:pStyle w:val="BodyText"/>
      </w:pPr>
      <w:r>
        <w:t xml:space="preserve">This design principle has three consequences for the framework that are worth naming explicitly here.</w:t>
      </w:r>
    </w:p>
    <w:p>
      <w:pPr>
        <w:pStyle w:val="BodyText"/>
      </w:pPr>
      <w:r>
        <w:t xml:space="preserve">The first is internal freedom with external stability. Each module can be improved, replaced, or upgraded internally without requiring changes to any other module, provided it continues to emit schema-conforming artefacts. The Facility Module can evolve from rule-based proportional dispatch to scheduling-grade LP optimisation to OpenModelica-based thermal network simulation across development phases. None of those transitions requires rebuilding the regional module, the backbone, or the evaluation layer. The interface is stable; the implementation is free.</w:t>
      </w:r>
    </w:p>
    <w:p>
      <w:pPr>
        <w:pStyle w:val="BodyText"/>
      </w:pPr>
      <w:r>
        <w:t xml:space="preserve">The second is AI and ML integration without governance loss. Because what matters at a module boundary is the governed artefact rather than how it was produced, AI and ML methods can implement module internals without compromising governance requirements. A trained ML surrogate that emits a valid, schema-conforming SignalsPack is analytically equivalent to a full PyPSA network optimisation that emits the same artefact, provided both have been validated and their provenance is declared. The thin waist is what makes AI-assisted analytical production trustworthy rather than merely convenient.</w:t>
      </w:r>
    </w:p>
    <w:p>
      <w:pPr>
        <w:pStyle w:val="BodyText"/>
      </w:pPr>
      <w:r>
        <w:t xml:space="preserve">The third is progressive enrichment without comparability loss. Because artefact schemas are versioned and the backbone is append-only, improvements to module implementations can be deployed without invalidating existing analytical history. A DemandPack produced under a first-generation synthetic construction methodology can be compared with one produced under a higher-fidelity measured-data approach because both conform to the same schema contract and both carry their provenance. The framework can be progressively enriched precisely because the boundaries of comparison are governed.</w:t>
      </w:r>
    </w:p>
    <w:bookmarkEnd w:id="71"/>
    <w:bookmarkStart w:id="72" w:name="current-state-of-the-framework"/>
    <w:p>
      <w:pPr>
        <w:pStyle w:val="Heading2"/>
      </w:pPr>
      <w:r>
        <w:t xml:space="preserve">8.6 §0.6 Current State of the Framework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§0.6 Current State of the Framework</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 through §0.5</w:t>
                  </w:r>
                </w:p>
              </w:tc>
            </w:tr>
            <w:tr>
              <w:tc>
                <w:tcPr/>
                <w:p>
                  <w:pPr>
                    <w:pStyle w:val="Compact"/>
                  </w:pPr>
                  <w:r>
                    <w:rPr>
                      <w:b/>
                      <w:bCs/>
                    </w:rPr>
                    <w:t xml:space="preserve">Contributes</w:t>
                  </w:r>
                </w:p>
              </w:tc>
              <w:tc>
                <w:tcPr/>
                <w:p>
                  <w:pPr>
                    <w:pStyle w:val="Compact"/>
                  </w:pPr>
                  <w:r>
                    <w:t xml:space="preserve">Honest declaration of current capability distinguishing what has been implemented, what has been specified for the next phase, and what remains a longer-range vision</w:t>
                  </w:r>
                </w:p>
              </w:tc>
            </w:tr>
            <w:tr>
              <w:tc>
                <w:tcPr/>
                <w:p>
                  <w:pPr>
                    <w:pStyle w:val="Compact"/>
                  </w:pPr>
                  <w:r>
                    <w:rPr>
                      <w:b/>
                      <w:bCs/>
                    </w:rPr>
                    <w:t xml:space="preserve">Skip condition</w:t>
                  </w:r>
                </w:p>
              </w:tc>
              <w:tc>
                <w:tcPr/>
                <w:p>
                  <w:pPr>
                    <w:pStyle w:val="Compact"/>
                  </w:pPr>
                  <w:r>
                    <w:t xml:space="preserve">Skip if reader wants conceptual foundations first; return here before engaging with Module 6</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is not complete. Stating that plainly, and being specific about what it means, is itself a methodological commitment rather than a caveat. The progressive-refinement philosophy that runs throughout this manuscript holds that a bounded, honest, auditable starting point that reveals its own next steps is more analytically valuable than a comprehensive but opaque system. The following table is the framework’s account of its own current state.</w:t>
      </w:r>
    </w:p>
    <w:p>
      <w:pPr>
        <w:pStyle w:val="BodyText"/>
      </w:pPr>
      <w:r>
        <w:t xml:space="preserve">The distinction between Implemented, Specified, and Vision is not a ranking of importance. PyPSA regional module development, which is currently Specified rather than Implemented, may be more consequential for decision quality than some components that are already Implemented. The categorisation reflects the current state of the codebase and the manuscript, not the importance of each component to the framework’s eventual capability. Every Specified component has a full design documented in the relevant module or sub-module. Every Vision component has been identified as technically feasible and architecturally compatible with the existing structure; it has not yet been specified in implementation-ready detail.</w:t>
      </w:r>
    </w:p>
    <w:p>
      <w:pPr>
        <w:pStyle w:val="BodyText"/>
      </w:pPr>
      <w:r>
        <w:t xml:space="preserve">Table 0.2: Current implementation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Documented in</w:t>
            </w:r>
          </w:p>
        </w:tc>
      </w:tr>
      <w:tr>
        <w:tc>
          <w:tcPr/>
          <w:p>
            <w:pPr>
              <w:pStyle w:val="Compact"/>
            </w:pPr>
            <w:r>
              <w:t xml:space="preserve">DemandPack construction (synthetic, RETA-calibrated)</w:t>
            </w:r>
          </w:p>
        </w:tc>
        <w:tc>
          <w:tcPr/>
          <w:p>
            <w:pPr>
              <w:pStyle w:val="Compact"/>
            </w:pPr>
            <w:r>
              <w:t xml:space="preserve">✓ Implemented</w:t>
            </w:r>
          </w:p>
        </w:tc>
        <w:tc>
          <w:tcPr/>
          <w:p>
            <w:pPr>
              <w:pStyle w:val="Compact"/>
            </w:pPr>
            <w:r>
              <w:t xml:space="preserve">Module 6, SM-6.3-B</w:t>
            </w:r>
          </w:p>
        </w:tc>
      </w:tr>
      <w:tr>
        <w:tc>
          <w:tcPr/>
          <w:p>
            <w:pPr>
              <w:pStyle w:val="Compact"/>
            </w:pPr>
            <w:r>
              <w:t xml:space="preserve">Proportional and optimal-subset dispatch</w:t>
            </w:r>
          </w:p>
        </w:tc>
        <w:tc>
          <w:tcPr/>
          <w:p>
            <w:pPr>
              <w:pStyle w:val="Compact"/>
            </w:pPr>
            <w:r>
              <w:t xml:space="preserve">✓ Implemented</w:t>
            </w:r>
          </w:p>
        </w:tc>
        <w:tc>
          <w:tcPr/>
          <w:p>
            <w:pPr>
              <w:pStyle w:val="Compact"/>
            </w:pPr>
            <w:r>
              <w:t xml:space="preserve">Module 6, SM-6.4-C</w:t>
            </w:r>
          </w:p>
        </w:tc>
      </w:tr>
      <w:tr>
        <w:tc>
          <w:tcPr/>
          <w:p>
            <w:pPr>
              <w:pStyle w:val="Compact"/>
            </w:pPr>
            <w:r>
              <w:t xml:space="preserve">SignalsPack generator (Edendale GXP, schema v0.1.0)</w:t>
            </w:r>
          </w:p>
        </w:tc>
        <w:tc>
          <w:tcPr/>
          <w:p>
            <w:pPr>
              <w:pStyle w:val="Compact"/>
            </w:pPr>
            <w:r>
              <w:t xml:space="preserve">✓ Implemented</w:t>
            </w:r>
          </w:p>
        </w:tc>
        <w:tc>
          <w:tcPr/>
          <w:p>
            <w:pPr>
              <w:pStyle w:val="Compact"/>
            </w:pPr>
            <w:r>
              <w:t xml:space="preserve">Module 6, SM-6.5-D</w:t>
            </w:r>
          </w:p>
        </w:tc>
      </w:tr>
      <w:tr>
        <w:tc>
          <w:tcPr/>
          <w:p>
            <w:pPr>
              <w:pStyle w:val="Compact"/>
            </w:pPr>
            <w:r>
              <w:t xml:space="preserve">GXP screening module (stylised)</w:t>
            </w:r>
          </w:p>
        </w:tc>
        <w:tc>
          <w:tcPr/>
          <w:p>
            <w:pPr>
              <w:pStyle w:val="Compact"/>
            </w:pPr>
            <w:r>
              <w:t xml:space="preserve">✓ Implemented</w:t>
            </w:r>
          </w:p>
        </w:tc>
        <w:tc>
          <w:tcPr/>
          <w:p>
            <w:pPr>
              <w:pStyle w:val="Compact"/>
            </w:pPr>
            <w:r>
              <w:t xml:space="preserve">Module 6</w:t>
            </w:r>
          </w:p>
        </w:tc>
      </w:tr>
      <w:tr>
        <w:tc>
          <w:tcPr/>
          <w:p>
            <w:pPr>
              <w:pStyle w:val="Compact"/>
            </w:pPr>
            <w:r>
              <w:t xml:space="preserve">Grid RDM evaluation (21 to 100 futures)</w:t>
            </w:r>
          </w:p>
        </w:tc>
        <w:tc>
          <w:tcPr/>
          <w:p>
            <w:pPr>
              <w:pStyle w:val="Compact"/>
            </w:pPr>
            <w:r>
              <w:t xml:space="preserve">✓ Implemented</w:t>
            </w:r>
          </w:p>
        </w:tc>
        <w:tc>
          <w:tcPr/>
          <w:p>
            <w:pPr>
              <w:pStyle w:val="Compact"/>
            </w:pPr>
            <w:r>
              <w:t xml:space="preserve">Module 6, SM-6.2-A</w:t>
            </w:r>
          </w:p>
        </w:tc>
      </w:tr>
      <w:tr>
        <w:tc>
          <w:tcPr/>
          <w:p>
            <w:pPr>
              <w:pStyle w:val="Compact"/>
            </w:pPr>
            <w:r>
              <w:t xml:space="preserve">Site decision robustness overlay</w:t>
            </w:r>
          </w:p>
        </w:tc>
        <w:tc>
          <w:tcPr/>
          <w:p>
            <w:pPr>
              <w:pStyle w:val="Compact"/>
            </w:pPr>
            <w:r>
              <w:t xml:space="preserve">✓ Implemented</w:t>
            </w:r>
          </w:p>
        </w:tc>
        <w:tc>
          <w:tcPr/>
          <w:p>
            <w:pPr>
              <w:pStyle w:val="Compact"/>
            </w:pPr>
            <w:r>
              <w:t xml:space="preserve">Module 6</w:t>
            </w:r>
          </w:p>
        </w:tc>
      </w:tr>
      <w:tr>
        <w:tc>
          <w:tcPr/>
          <w:p>
            <w:pPr>
              <w:pStyle w:val="Compact"/>
            </w:pPr>
            <w:r>
              <w:t xml:space="preserve">Pathway comparison (2035_EB vs 2035_BB)</w:t>
            </w:r>
          </w:p>
        </w:tc>
        <w:tc>
          <w:tcPr/>
          <w:p>
            <w:pPr>
              <w:pStyle w:val="Compact"/>
            </w:pPr>
            <w:r>
              <w:t xml:space="preserve">✓ Implemented</w:t>
            </w:r>
          </w:p>
        </w:tc>
        <w:tc>
          <w:tcPr/>
          <w:p>
            <w:pPr>
              <w:pStyle w:val="Compact"/>
            </w:pPr>
            <w:r>
              <w:t xml:space="preserve">Module 6</w:t>
            </w:r>
          </w:p>
        </w:tc>
      </w:tr>
      <w:tr>
        <w:tc>
          <w:tcPr/>
          <w:p>
            <w:pPr>
              <w:pStyle w:val="Compact"/>
            </w:pPr>
            <w:r>
              <w:t xml:space="preserve">DuckDB and Parquet analytical backbone</w:t>
            </w:r>
          </w:p>
        </w:tc>
        <w:tc>
          <w:tcPr/>
          <w:p>
            <w:pPr>
              <w:pStyle w:val="Compact"/>
            </w:pPr>
            <w:r>
              <w:t xml:space="preserve">○ Specified</w:t>
            </w:r>
          </w:p>
        </w:tc>
        <w:tc>
          <w:tcPr/>
          <w:p>
            <w:pPr>
              <w:pStyle w:val="Compact"/>
            </w:pPr>
            <w:r>
              <w:t xml:space="preserve">Module 3, SM-3.7-A</w:t>
            </w:r>
          </w:p>
        </w:tc>
      </w:tr>
      <w:tr>
        <w:tc>
          <w:tcPr/>
          <w:p>
            <w:pPr>
              <w:pStyle w:val="Compact"/>
            </w:pPr>
            <w:r>
              <w:t xml:space="preserve">PyPSA regional electricity module</w:t>
            </w:r>
          </w:p>
        </w:tc>
        <w:tc>
          <w:tcPr/>
          <w:p>
            <w:pPr>
              <w:pStyle w:val="Compact"/>
            </w:pPr>
            <w:r>
              <w:t xml:space="preserve">○ Specified</w:t>
            </w:r>
          </w:p>
        </w:tc>
        <w:tc>
          <w:tcPr/>
          <w:p>
            <w:pPr>
              <w:pStyle w:val="Compact"/>
            </w:pPr>
            <w:r>
              <w:t xml:space="preserve">Module 6, SM-6.6-E</w:t>
            </w:r>
          </w:p>
        </w:tc>
      </w:tr>
      <w:tr>
        <w:tc>
          <w:tcPr/>
          <w:p>
            <w:pPr>
              <w:pStyle w:val="Compact"/>
            </w:pPr>
            <w:r>
              <w:t xml:space="preserve">OpenModelica site truth model</w:t>
            </w:r>
          </w:p>
        </w:tc>
        <w:tc>
          <w:tcPr/>
          <w:p>
            <w:pPr>
              <w:pStyle w:val="Compact"/>
            </w:pPr>
            <w:r>
              <w:t xml:space="preserve">○ Specified</w:t>
            </w:r>
          </w:p>
        </w:tc>
        <w:tc>
          <w:tcPr/>
          <w:p>
            <w:pPr>
              <w:pStyle w:val="Compact"/>
            </w:pPr>
            <w:r>
              <w:t xml:space="preserve">SM-6.4-C</w:t>
            </w:r>
          </w:p>
        </w:tc>
      </w:tr>
      <w:tr>
        <w:tc>
          <w:tcPr/>
          <w:p>
            <w:pPr>
              <w:pStyle w:val="Compact"/>
            </w:pPr>
            <w:r>
              <w:t xml:space="preserve">Surrogate-accelerated ensemble</w:t>
            </w:r>
          </w:p>
        </w:tc>
        <w:tc>
          <w:tcPr/>
          <w:p>
            <w:pPr>
              <w:pStyle w:val="Compact"/>
            </w:pPr>
            <w:r>
              <w:t xml:space="preserve">○ Specified</w:t>
            </w:r>
          </w:p>
        </w:tc>
        <w:tc>
          <w:tcPr/>
          <w:p>
            <w:pPr>
              <w:pStyle w:val="Compact"/>
            </w:pPr>
            <w:r>
              <w:t xml:space="preserve">Module 2, SM-2.3-A</w:t>
            </w:r>
          </w:p>
        </w:tc>
      </w:tr>
      <w:tr>
        <w:tc>
          <w:tcPr/>
          <w:p>
            <w:pPr>
              <w:pStyle w:val="Compact"/>
            </w:pPr>
            <w:r>
              <w:t xml:space="preserve">TIMES-NZ scenario coupling</w:t>
            </w:r>
          </w:p>
        </w:tc>
        <w:tc>
          <w:tcPr/>
          <w:p>
            <w:pPr>
              <w:pStyle w:val="Compact"/>
            </w:pPr>
            <w:r>
              <w:t xml:space="preserve">◇ Vision</w:t>
            </w:r>
          </w:p>
        </w:tc>
        <w:tc>
          <w:tcPr/>
          <w:p>
            <w:pPr>
              <w:pStyle w:val="Compact"/>
            </w:pPr>
            <w:r>
              <w:t xml:space="preserve">Module 7</w:t>
            </w:r>
          </w:p>
        </w:tc>
      </w:tr>
      <w:tr>
        <w:tc>
          <w:tcPr/>
          <w:p>
            <w:pPr>
              <w:pStyle w:val="Compact"/>
            </w:pPr>
            <w:r>
              <w:t xml:space="preserve">Corporate-scale multi-site deployment</w:t>
            </w:r>
          </w:p>
        </w:tc>
        <w:tc>
          <w:tcPr/>
          <w:p>
            <w:pPr>
              <w:pStyle w:val="Compact"/>
            </w:pPr>
            <w:r>
              <w:t xml:space="preserve">◇ Vision</w:t>
            </w:r>
          </w:p>
        </w:tc>
        <w:tc>
          <w:tcPr/>
          <w:p>
            <w:pPr>
              <w:pStyle w:val="Compact"/>
            </w:pPr>
            <w:r>
              <w:t xml:space="preserve">Module 7</w:t>
            </w:r>
          </w:p>
        </w:tc>
      </w:tr>
      <w:tr>
        <w:tc>
          <w:tcPr/>
          <w:p>
            <w:pPr>
              <w:pStyle w:val="Compact"/>
            </w:pPr>
            <w:r>
              <w:t xml:space="preserve">Multi-domain extension</w:t>
            </w:r>
          </w:p>
        </w:tc>
        <w:tc>
          <w:tcPr/>
          <w:p>
            <w:pPr>
              <w:pStyle w:val="Compact"/>
            </w:pPr>
            <w:r>
              <w:t xml:space="preserve">◇ Vision</w:t>
            </w:r>
          </w:p>
        </w:tc>
        <w:tc>
          <w:tcPr/>
          <w:p>
            <w:pPr>
              <w:pStyle w:val="Compact"/>
            </w:pPr>
            <w:r>
              <w:t xml:space="preserve">Module 7</w:t>
            </w:r>
          </w:p>
        </w:tc>
      </w:tr>
      <w:tr>
        <w:tc>
          <w:tcPr/>
          <w:p>
            <w:pPr>
              <w:pStyle w:val="Compact"/>
            </w:pPr>
            <w:r>
              <w:t xml:space="preserve">Natural-language query interface</w:t>
            </w:r>
          </w:p>
        </w:tc>
        <w:tc>
          <w:tcPr/>
          <w:p>
            <w:pPr>
              <w:pStyle w:val="Compact"/>
            </w:pPr>
            <w:r>
              <w:t xml:space="preserve">◇ Vision</w:t>
            </w:r>
          </w:p>
        </w:tc>
        <w:tc>
          <w:tcPr/>
          <w:p>
            <w:pPr>
              <w:pStyle w:val="Compact"/>
            </w:pPr>
            <w:r>
              <w:t xml:space="preserve">Module 7</w:t>
            </w:r>
          </w:p>
        </w:tc>
      </w:tr>
    </w:tbl>
    <w:p>
      <w:r>
        <w:pict>
          <v:rect style="width:0;height:1.5pt" o:hralign="center" o:hrstd="t" o:hr="t"/>
        </w:pict>
      </w:r>
    </w:p>
    <w:bookmarkEnd w:id="72"/>
    <w:bookmarkEnd w:id="73"/>
    <w:bookmarkStart w:id="91" w:name="module-1-foundations"/>
    <w:p>
      <w:pPr>
        <w:pStyle w:val="Heading1"/>
      </w:pPr>
      <w:r>
        <w:t xml:space="preserve">9. Module 1: Foundations</w:t>
      </w:r>
    </w:p>
    <w:p>
      <w:pPr>
        <w:pStyle w:val="FirstParagraph"/>
      </w:pPr>
      <w:r>
        <w:t xml:space="preserve">The Decision Problem and Its Requirements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1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Establishes the conceptual vocabulary and evaluative standards that govern all subsequent modules</w:t>
                  </w:r>
                </w:p>
              </w:tc>
            </w:tr>
            <w:tr>
              <w:tc>
                <w:tcPr/>
                <w:p>
                  <w:pPr>
                    <w:pStyle w:val="Compact"/>
                  </w:pPr>
                  <w:r>
                    <w:rPr>
                      <w:b/>
                      <w:bCs/>
                    </w:rPr>
                    <w:t xml:space="preserve">Assumes</w:t>
                  </w:r>
                </w:p>
              </w:tc>
              <w:tc>
                <w:tcPr/>
                <w:p>
                  <w:pPr>
                    <w:pStyle w:val="Compact"/>
                  </w:pPr>
                  <w:r>
                    <w:t xml:space="preserve">Module 0</w:t>
                  </w:r>
                </w:p>
              </w:tc>
            </w:tr>
            <w:tr>
              <w:tc>
                <w:tcPr/>
                <w:p>
                  <w:pPr>
                    <w:pStyle w:val="Compact"/>
                  </w:pPr>
                  <w:r>
                    <w:rPr>
                      <w:b/>
                      <w:bCs/>
                    </w:rPr>
                    <w:t xml:space="preserve">Contributes</w:t>
                  </w:r>
                </w:p>
              </w:tc>
              <w:tc>
                <w:tcPr/>
                <w:p>
                  <w:pPr>
                    <w:pStyle w:val="Compact"/>
                  </w:pPr>
                  <w:r>
                    <w:t xml:space="preserve">The five-feature problem class; the failure modes of conventional tools; deep uncertainty as a distinct condition; the four-element decision vocabulary; regret, robustness, and satisficing as evaluative standards; the seven requirements that any analytical system must satisfy</w:t>
                  </w:r>
                </w:p>
              </w:tc>
            </w:tr>
            <w:tr>
              <w:tc>
                <w:tcPr/>
                <w:p>
                  <w:pPr>
                    <w:pStyle w:val="Compact"/>
                  </w:pPr>
                  <w:r>
                    <w:rPr>
                      <w:b/>
                      <w:bCs/>
                    </w:rPr>
                    <w:t xml:space="preserve">Passes to</w:t>
                  </w:r>
                </w:p>
              </w:tc>
              <w:tc>
                <w:tcPr/>
                <w:p>
                  <w:pPr>
                    <w:pStyle w:val="Compact"/>
                  </w:pPr>
                  <w:r>
                    <w:t xml:space="preserve">Module 2 (tools to generate consequences); Module 3 (architecture that satisfies the requirements)</w:t>
                  </w:r>
                </w:p>
              </w:tc>
            </w:tr>
            <w:tr>
              <w:tc>
                <w:tcPr/>
                <w:p>
                  <w:pPr>
                    <w:pStyle w:val="Compact"/>
                  </w:pPr>
                  <w:r>
                    <w:rPr>
                      <w:b/>
                      <w:bCs/>
                    </w:rPr>
                    <w:t xml:space="preserve">Can be read independently</w:t>
                  </w:r>
                </w:p>
              </w:tc>
              <w:tc>
                <w:tcPr/>
                <w:p>
                  <w:pPr>
                    <w:pStyle w:val="Compact"/>
                  </w:pPr>
                  <w:r>
                    <w:t xml:space="preserve">Yes, after Module 0</w:t>
                  </w:r>
                </w:p>
              </w:tc>
            </w:tr>
            <w:tr>
              <w:tc>
                <w:tcPr/>
                <w:p>
                  <w:pPr>
                    <w:pStyle w:val="Compact"/>
                  </w:pPr>
                  <w:r>
                    <w:rPr>
                      <w:b/>
                      <w:bCs/>
                    </w:rPr>
                    <w:t xml:space="preserve">Sub-Modules</w:t>
                  </w:r>
                </w:p>
              </w:tc>
              <w:tc>
                <w:tcPr/>
                <w:p>
                  <w:pPr>
                    <w:pStyle w:val="Compact"/>
                  </w:pPr>
                  <w:r>
                    <w:t xml:space="preserve">SM-1.1-A (Philosophical Lineage); SM-1.4-A (Decision Theory Extended); SM-1.7-A (Requirements-to-Architecture Mapping)</w:t>
                  </w:r>
                </w:p>
              </w:tc>
            </w:tr>
          </w:tbl>
          <w:p/>
        </w:tc>
      </w:tr>
    </w:tbl>
    <w:bookmarkStart w:id="78" w:name="what-kind-of-problem-is-this"/>
    <w:p>
      <w:pPr>
        <w:pStyle w:val="Heading2"/>
      </w:pPr>
      <w:r>
        <w:t xml:space="preserve">9.1 §1.1 What Kind of Problem Is This?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§1.1 What Kind of Problem Is This?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0</w:t>
                  </w:r>
                </w:p>
              </w:tc>
            </w:tr>
            <w:tr>
              <w:tc>
                <w:tcPr/>
                <w:p>
                  <w:pPr>
                    <w:pStyle w:val="Compact"/>
                  </w:pPr>
                  <w:r>
                    <w:rPr>
                      <w:b/>
                      <w:bCs/>
                    </w:rPr>
                    <w:t xml:space="preserve">Contributes</w:t>
                  </w:r>
                </w:p>
              </w:tc>
              <w:tc>
                <w:tcPr/>
                <w:p>
                  <w:pPr>
                    <w:pStyle w:val="Compact"/>
                  </w:pPr>
                  <w:r>
                    <w:t xml:space="preserve">Identifies the five structural features that define the problem class this framework addresses, and explains why each feature, individually and in combination, makes conventional analysis insufficient</w:t>
                  </w:r>
                </w:p>
              </w:tc>
            </w:tr>
            <w:tr>
              <w:tc>
                <w:tcPr/>
                <w:p>
                  <w:pPr>
                    <w:pStyle w:val="Compact"/>
                  </w:pPr>
                  <w:r>
                    <w:rPr>
                      <w:b/>
                      <w:bCs/>
                    </w:rPr>
                    <w:t xml:space="preserve">Skip condition</w:t>
                  </w:r>
                </w:p>
              </w:tc>
              <w:tc>
                <w:tcPr/>
                <w:p>
                  <w:pPr>
                    <w:pStyle w:val="Compact"/>
                  </w:pPr>
                  <w:r>
                    <w:t xml:space="preserve">Skip if reader already accepts the five-feature problem class and wants the evaluative standards directly; proceed to §1.5</w:t>
                  </w:r>
                </w:p>
              </w:tc>
            </w:tr>
            <w:tr>
              <w:tc>
                <w:tcPr/>
                <w:p>
                  <w:pPr>
                    <w:pStyle w:val="Compact"/>
                  </w:pPr>
                  <w:r>
                    <w:rPr>
                      <w:b/>
                      <w:bCs/>
                    </w:rPr>
                    <w:t xml:space="preserve">Passes to</w:t>
                  </w:r>
                </w:p>
              </w:tc>
              <w:tc>
                <w:tcPr/>
                <w:p>
                  <w:pPr>
                    <w:pStyle w:val="Compact"/>
                  </w:pPr>
                  <w:r>
                    <w:t xml:space="preserve">§1.2, §1.3, §1.4</w:t>
                  </w:r>
                </w:p>
              </w:tc>
            </w:tr>
            <w:tr>
              <w:tc>
                <w:tcPr/>
                <w:p>
                  <w:pPr>
                    <w:pStyle w:val="Compact"/>
                  </w:pPr>
                  <w:r>
                    <w:rPr>
                      <w:b/>
                      <w:bCs/>
                    </w:rPr>
                    <w:t xml:space="preserve">Sub-Modules here</w:t>
                  </w:r>
                </w:p>
              </w:tc>
              <w:tc>
                <w:tcPr/>
                <w:p>
                  <w:pPr>
                    <w:pStyle w:val="Compact"/>
                  </w:pPr>
                  <w:r>
                    <w:t xml:space="preserve">SM-1.1-A: Philosophical Lineage of Deep Uncertainty</w:t>
                  </w:r>
                </w:p>
              </w:tc>
            </w:tr>
          </w:tbl>
          <w:p/>
        </w:tc>
      </w:tr>
    </w:tbl>
    <w:p>
      <w:pPr>
        <w:pStyle w:val="BodyText"/>
      </w:pPr>
      <w:r>
        <w:t xml:space="preserve">Many planning problems that appear, on the surface, to be well-posed technical decisions are in fact something more difficult: long-horizon commitments made under conditions of deep uncertainty, propagating consequences across scales and actors that no single model naturally encompasses. The framework developed in this manuscript was designed for that problem class. Before developing the tools, the architecture, or the proof of concept, it is necessary to be precise about what that problem class consists of and why it resists conventional analytical treatment.</w:t>
      </w:r>
    </w:p>
    <w:p>
      <w:pPr>
        <w:pStyle w:val="BodyText"/>
      </w:pPr>
      <w:r>
        <w:t xml:space="preserve">The decisions of interest here are characterised by five structural features. These features are not separately exotic; each appears routinely in infrastructure planning, corporate investment, and policy design. Their combination is what creates the distinctive difficulty.</w:t>
      </w:r>
    </w:p>
    <w:p>
      <w:pPr>
        <w:pStyle w:val="BodyText"/>
      </w:pPr>
      <w:r>
        <w:t xml:space="preserve">The first feature is durable commitments. A facility that installs a new boiler fleet, a region that reinforces a transmission corridor, or a government that enacts a fuel phase-out schedule is not making a reversible choice. The consequences persist for years or decades. Assets depreciate slowly; infrastructure is expensive to decommission; institutional arrangements once established become the terrain on which future choices are made. The analytical challenge created by durable commitments is not simply uncertainty about parameter values. It is the foreclosure of future option sets. A commitment made under one set of assumptions may widen or narrow what is possible later in ways that the original analysis did not and often cannot fully anticipate.</w:t>
      </w:r>
    </w:p>
    <w:p>
      <w:pPr>
        <w:pStyle w:val="BodyText"/>
      </w:pPr>
      <w:r>
        <w:t xml:space="preserve">The second feature is cross-scale interaction. A site-level investment decision depends on regional grid infrastructure that the site operator does not control. A regional strategy depends on the aggregate of many facility-level choices made by operators who have no formal coordination mechanism. A private investment may create system-level consequences borne by actors with no formal role in the original decision. The decision-first boundary principle introduced in §0.3 is the direct response to this feature: if the consequences that determine whether a choice was wise lie outside the physical boundary of the system being studied, then the boundary must be drawn differently. Cross-scale interaction is the feature that most directly requires the multi-layer environment the framework provides.</w:t>
      </w:r>
    </w:p>
    <w:p>
      <w:pPr>
        <w:pStyle w:val="BodyText"/>
      </w:pPr>
      <w:r>
        <w:t xml:space="preserve">The third feature is incomplete and uneven knowledge. Some relevant uncertainties concern future prices, technology costs, or resource availability. Others concern behaviour, institutional responses, and the credibility of the model’s own assumptions. In many important planning settings, stable probability distributions over these uncertainties are either unavailable or contested. Stakeholders may disagree not about the values of known parameters but about which mechanisms matter, which futures deserve analytical weight, and which objectives are operative. This is what Section §1.3 will call deep uncertainty: a condition in which the usual tools of probabilistic reasoning apply only partially, if at all.</w:t>
      </w:r>
    </w:p>
    <w:p>
      <w:pPr>
        <w:pStyle w:val="BodyText"/>
      </w:pPr>
      <w:r>
        <w:t xml:space="preserve">The fourth feature is plural objectives. Infrastructure decisions are rarely evaluated against one criterion alone. Cost, emissions, reliability, resilience, timing, fairness, and institutional practicality are all potentially relevant. These criteria do not reduce to one another without loss of important information. A pathway that minimises capital cost may increase exposure to carbon price volatility. One that achieves the fastest emissions reduction may depend on infrastructure whose development timeline is genuinely uncertain. The analytical environment must be able to represent multiple criteria without forcing their premature collapse into a single metric.</w:t>
      </w:r>
    </w:p>
    <w:p>
      <w:pPr>
        <w:pStyle w:val="BodyText"/>
      </w:pPr>
      <w:r>
        <w:t xml:space="preserve">The fifth feature is multiple actors with overlapping but distinct responsibilities. A facility operator, a network planner, a fuel supplier, a regulator, a regional authority, and a policy-maker each approach the same pathway decision from a different position, with different objectives, different time horizons, and different exposure to the consequences of different outcomes. Even where one actor holds formal decision authority, the choice is embedded in a wider field of dependency, constraint, and response. An analytical environment designed for one actor’s perspective may produce findings that are legitimate within that perspective while being systematically misleading from another’s.</w:t>
      </w:r>
    </w:p>
    <w:p>
      <w:pPr>
        <w:pStyle w:val="BodyText"/>
      </w:pPr>
      <w:r>
        <w:t xml:space="preserve">These five features are present simultaneously in the Edendale decision problem documented in Module 6. The decision involves a multi-decade asset commitment at a specific facility. The commitment’s feasibility depends on regional electricity grid conditions the facility does not control. The futures that determine whether the chosen pathway was wise span grid headroom, biomass supply, carbon pricing, and regulatory stringency, none of which can be assigned stable probabilities. The relevant comparison involves cost, emissions, reliability, and systemic infrastructure consequences simultaneously. And the decision is observed differently by the site operator, the regional network planner, the national energy regulator, and the communities whose regional economy is at stake. Module 5 develops the New Zealand specifics; what matters here is that these five features are not idiosyncrasies of the Edendale case. They are the characteristic texture of consequential infrastructure decisions in the early twenty-first century.</w:t>
      </w:r>
    </w:p>
    <w:p>
      <w:pPr>
        <w:pStyle w:val="BodyText"/>
      </w:pPr>
      <w:r>
        <w:t xml:space="preserve">The philosophical lineage of the analytical stance required by this problem class, from Knight’s distinction between risk and uncertainty through bounded rationality, wicked problems, and the DMDU tradition, is developed in Sub-Module SM-1.1-A. The present section has established the problem class. Section §1.2 diagnoses why the tools most commonly brought to bear on it are insufficient.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SM-1.1-A</w:t>
            </w:r>
          </w:p>
        </w:tc>
      </w:tr>
      <w:tr>
        <w:trPr>
          <w:cantSplit/>
        </w:trPr>
        <w:tc>
          <w:tcPr>
            <w:tcMar>
              <w:top w:w="108" w:type="dxa"/>
              <w:bottom w:w="108" w:type="dxa"/>
            </w:tcMar>
          </w:tcPr>
          <w:p>
            <w:pPr>
              <w:pStyle w:val="BodyText"/>
            </w:pPr>
            <w:pPr>
              <w:spacing w:before="16" w:after="16"/>
            </w:pPr>
            <w:r>
              <w:rPr>
                <w:b/>
                <w:bCs/>
              </w:rPr>
              <w:t xml:space="preserve">Philosophical Lineage of Deep Uncertainty</w:t>
            </w:r>
            <w:r>
              <w:t xml:space="preserve"> </w:t>
            </w:r>
            <w:r>
              <w:t xml:space="preserve">is covered in</w:t>
            </w:r>
            <w:r>
              <w:t xml:space="preserve"> </w:t>
            </w:r>
            <w:hyperlink r:id="rId77">
              <w:r>
                <w:rPr>
                  <w:rStyle w:val="Hyperlink"/>
                </w:rPr>
                <w:t xml:space="preserve">SM-1.1-A</w:t>
              </w:r>
            </w:hyperlink>
            <w:r>
              <w:t xml:space="preserve">.</w:t>
            </w:r>
            <w:r>
              <w:t xml:space="preserve"> </w:t>
            </w:r>
            <w:r>
              <w:t xml:space="preserve">Skip if reader accepts the deep-uncertainty stance without</w:t>
            </w:r>
            <w:r>
              <w:t xml:space="preserve"> </w:t>
            </w:r>
            <w:r>
              <w:t xml:space="preserve">needing the intellectual genealogy.</w:t>
            </w:r>
          </w:p>
          <w:p/>
        </w:tc>
      </w:tr>
    </w:tbl>
    <w:bookmarkEnd w:id="78"/>
    <w:bookmarkStart w:id="79" w:name="why-conventional-tools-fall-short"/>
    <w:p>
      <w:pPr>
        <w:pStyle w:val="Heading2"/>
      </w:pPr>
      <w:r>
        <w:t xml:space="preserve">9.2 §1.2 Why Conventional Tools Fall Short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§1.2 Why Conventional Tools Fall Short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w:t>
                  </w:r>
                </w:p>
              </w:tc>
            </w:tr>
            <w:tr>
              <w:tc>
                <w:tcPr/>
                <w:p>
                  <w:pPr>
                    <w:pStyle w:val="Compact"/>
                  </w:pPr>
                  <w:r>
                    <w:rPr>
                      <w:b/>
                      <w:bCs/>
                    </w:rPr>
                    <w:t xml:space="preserve">Contributes</w:t>
                  </w:r>
                </w:p>
              </w:tc>
              <w:tc>
                <w:tcPr/>
                <w:p>
                  <w:pPr>
                    <w:pStyle w:val="Compact"/>
                  </w:pPr>
                  <w:r>
                    <w:t xml:space="preserve">Diagnoses the specific failure modes of forecasting and optimisation in the five-feature problem class, and identifies the boundary-drawing problem as the common root</w:t>
                  </w:r>
                </w:p>
              </w:tc>
            </w:tr>
            <w:tr>
              <w:tc>
                <w:tcPr/>
                <w:p>
                  <w:pPr>
                    <w:pStyle w:val="Compact"/>
                  </w:pPr>
                  <w:r>
                    <w:rPr>
                      <w:b/>
                      <w:bCs/>
                    </w:rPr>
                    <w:t xml:space="preserve">Skip condition</w:t>
                  </w:r>
                </w:p>
              </w:tc>
              <w:tc>
                <w:tcPr/>
                <w:p>
                  <w:pPr>
                    <w:pStyle w:val="Compact"/>
                  </w:pPr>
                  <w:r>
                    <w:t xml:space="preserve">Skip if reader already accepts that forecasting and optimisation are insufficient for long-horizon multi-layer decisions</w:t>
                  </w:r>
                </w:p>
              </w:tc>
            </w:tr>
            <w:tr>
              <w:tc>
                <w:tcPr/>
                <w:p>
                  <w:pPr>
                    <w:pStyle w:val="Compact"/>
                  </w:pPr>
                  <w:r>
                    <w:rPr>
                      <w:b/>
                      <w:bCs/>
                    </w:rPr>
                    <w:t xml:space="preserve">Passes to</w:t>
                  </w:r>
                </w:p>
              </w:tc>
              <w:tc>
                <w:tcPr/>
                <w:p>
                  <w:pPr>
                    <w:pStyle w:val="Compact"/>
                  </w:pPr>
                  <w:r>
                    <w:t xml:space="preserve">§1.3, §1.4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Forecasting and optimisation are the analytical traditions most commonly applied to the problem class described in §1.1. Both traditions are mature, well-developed, and in many settings genuinely powerful. The argument here is not that they should be abandoned but that they are insufficient on their own, and that their insufficiency has a common structural source.</w:t>
      </w:r>
    </w:p>
    <w:p>
      <w:pPr>
        <w:pStyle w:val="BodyText"/>
      </w:pPr>
      <w:r>
        <w:t xml:space="preserve">Forecasting is appealing because planning appears to require orientation toward the future. A facility operator deciding whether to commit capital to an electrification pathway needs some account of what electricity prices, grid conditions, and carbon price trajectories will be over the asset’s lifetime. National and regional energy forecasts, scenario analyses, and market outlooks serve a legitimate and important function in providing that orientation. The problem arises when forecasting is treated as settling the question of which pathway to choose rather than as one input to a wider analytical process. Forecasts are not observations of the future; they are structured constructions based on modelling choices, institutional expectations, and inherited assumptions about what matters. They narrow some uncertainties while leaving others untouched, and the uncertainties they leave untouched are often precisely those that matter most to a long-horizon commitment. More fundamentally, a forecast draws its boundary around the domain it was designed to represent, and that boundary is rarely set by the structure of the decision that will ultimately be informed by the forecast. The boundary of a national electricity demand forecast is the national electricity sector. The boundary of a decision about whether to electrify a specific industrial process is the set of consequences that matter for that decision, which may or may not coincide with the forecast’s scope.</w:t>
      </w:r>
    </w:p>
    <w:p>
      <w:pPr>
        <w:pStyle w:val="BodyText"/>
      </w:pPr>
      <w:r>
        <w:t xml:space="preserve">Optimisation introduces a different kind of confidence. Once a system has been represented mathematically, an objective function specified, and constraints declared, optimisation can recover the best achievable outcome in a disciplined, reproducible way. In many operational settings this is exactly the right tool: a dispatch scheduler, a network flow optimiser, or a capacity expansion model is solving a genuine optimisation problem in the relevant sense. The problem arises when the scope of what has been optimised is confused with the scope of what has been decided. An optimal solution is optimal within a given formulation, and the formulation embeds boundary choices, objective specifications, data assumptions, and future projections that are not themselves optimised. A site-level energy cost minimisation finds the minimum cost solution within the site boundary; it does not find the pathway that minimises regret across the set of plausible futures that determine whether the chosen pathway remains attractive in fifteen years. To solve a model well is not the same as to have framed the decision well.</w:t>
      </w:r>
    </w:p>
    <w:p>
      <w:pPr>
        <w:pStyle w:val="BodyText"/>
      </w:pPr>
      <w:r>
        <w:t xml:space="preserve">The common root of both failure modes is the boundary-drawing problem. Forecasting draws its boundary around a tractable domain defined by the data available and the model structure chosen. Optimisation draws its boundary around a tractable formulation defined by the variables and constraints that can be handled computationally. Neither draws its boundary around the decision: around the question of which consequences must remain visible, which futures must be tested, and which comparisons must be preserved for the choice at hand. The result is that both traditions produce results that are legitimate within their declared scope and potentially misleading outside it.</w:t>
      </w:r>
    </w:p>
    <w:p>
      <w:pPr>
        <w:pStyle w:val="BodyText"/>
      </w:pPr>
      <w:r>
        <w:t xml:space="preserve">The response is not to abandon forecasting or optimisation. Both remain essential and will appear throughout this manuscript and the proof of concept. The response is to embed them within a broader analytical architecture that is organised around the decision rather than around the tractability of the model. Forecasts become inputs to ensemble design rather than final answers. Optimisation becomes a consequence-generation mechanism operating inside individual modules rather than the decision process itself. The decision-first boundary principle governs what the architecture encompasses; forecasting and optimisation contribute to what happens within it. Section §1.3 now introduces the third dimension of the insufficiency argument: the specific character of deep uncertainty and why it requires not only different tools but a fundamentally different evaluative stance.</w:t>
      </w:r>
    </w:p>
    <w:bookmarkEnd w:id="79"/>
    <w:bookmarkStart w:id="80" w:name="Xc1035ea8d7815e37b1cc8922e9d1be7445caa0d"/>
    <w:p>
      <w:pPr>
        <w:pStyle w:val="Heading2"/>
      </w:pPr>
      <w:r>
        <w:t xml:space="preserve">9.3 §1.3 Deep Uncertainty and the Case for Exploration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§1.3 Deep Uncertainty and the Case for Exploration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§1.2</w:t>
                  </w:r>
                </w:p>
              </w:tc>
            </w:tr>
            <w:tr>
              <w:tc>
                <w:tcPr/>
                <w:p>
                  <w:pPr>
                    <w:pStyle w:val="Compact"/>
                  </w:pPr>
                  <w:r>
                    <w:rPr>
                      <w:b/>
                      <w:bCs/>
                    </w:rPr>
                    <w:t xml:space="preserve">Contributes</w:t>
                  </w:r>
                </w:p>
              </w:tc>
              <w:tc>
                <w:tcPr/>
                <w:p>
                  <w:pPr>
                    <w:pStyle w:val="Compact"/>
                  </w:pPr>
                  <w:r>
                    <w:t xml:space="preserve">Introduces deep uncertainty as a qualitatively distinct condition from calculable risk and makes the case for decision exploration as the appropriate analytical response</w:t>
                  </w:r>
                </w:p>
              </w:tc>
            </w:tr>
            <w:tr>
              <w:tc>
                <w:tcPr/>
                <w:p>
                  <w:pPr>
                    <w:pStyle w:val="Compact"/>
                  </w:pPr>
                  <w:r>
                    <w:rPr>
                      <w:b/>
                      <w:bCs/>
                    </w:rPr>
                    <w:t xml:space="preserve">Skip condition</w:t>
                  </w:r>
                </w:p>
              </w:tc>
              <w:tc>
                <w:tcPr/>
                <w:p>
                  <w:pPr>
                    <w:pStyle w:val="Compact"/>
                  </w:pPr>
                  <w:r>
                    <w:t xml:space="preserve">Skip if reader is already familiar with the risk/deep-uncertainty distinction and the DMDU tradition</w:t>
                  </w:r>
                </w:p>
              </w:tc>
            </w:tr>
            <w:tr>
              <w:tc>
                <w:tcPr/>
                <w:p>
                  <w:pPr>
                    <w:pStyle w:val="Compact"/>
                  </w:pPr>
                  <w:r>
                    <w:rPr>
                      <w:b/>
                      <w:bCs/>
                    </w:rPr>
                    <w:t xml:space="preserve">Passes to</w:t>
                  </w:r>
                </w:p>
              </w:tc>
              <w:tc>
                <w:tcPr/>
                <w:p>
                  <w:pPr>
                    <w:pStyle w:val="Compact"/>
                  </w:pPr>
                  <w:r>
                    <w:t xml:space="preserve">§1.4, §1.5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limits of forecasting and optimisation identified in §1.2 become most acute when uncertainty itself is deeper than calculable risk. Some planning problems involve uncertainty that is well-characterised: outcomes are variable but the structure of the situation is stable enough that probabilities can be assigned, distributions can be estimated, and expected-value calculations can meaningfully guide choice. Many operational decisions, and a significant proportion of near-term investment decisions, fall into this category. The framework acknowledges this. For well-characterised uncertainty, the tools of probabilistic analysis remain appropriate and are used within individual modules wherever the uncertainty they address is amenable to probabilistic treatment.</w:t>
      </w:r>
    </w:p>
    <w:p>
      <w:pPr>
        <w:pStyle w:val="BodyText"/>
      </w:pPr>
      <w:r>
        <w:t xml:space="preserve">The problem class of §1.1 frequently involves something different. The difficulty is not only that parameter values are imprecise. It is that the structure of the decision situation is itself uncertain or contested: which mechanisms matter most, which consequences are decision-relevant, which futures deserve analytical weight, and what criteria are operative. Knight’s distinction between risk and uncertainty, introduced in Sub-Module SM-1.1-A, captures this difference: risk permits probability assignment because the relevant structure is known; uncertainty, in Knight’s sense, does not because the structure itself is indeterminate or disputed. Deep uncertainty, as the term is used in this framework and in the DMDU literature, refers to conditions in which stakeholders cannot agree on the appropriate models, the probability distributions of key parameters, or the metrics by which outcomes should be judged. It is structural indeterminacy, not merely parameter noise.</w:t>
      </w:r>
    </w:p>
    <w:p>
      <w:pPr>
        <w:pStyle w:val="BodyText"/>
      </w:pPr>
      <w:r>
        <w:t xml:space="preserve">Deep uncertainty changes what good analysis looks like. If uncertainty can be treated as risk, then expected-value reasoning is often the appropriate standard: identify the probability-weighted average outcome and choose the strategy that maximises it. The formal foundations of this reasoning, from the von Neumann-Morgenstern expected utility theorem through Savage’s subjective probability extension, are powerful and well-understood; they are treated technically in Sub-Module SM-1.4-A. Their limitation under deep uncertainty is that expected-value reasoning compresses the ensemble of futures into one summary measure, and that summary measure may obscure precisely the features that matter most to a long-horizon commitment: threshold violations, tail risks, rank reversals in pathway preference under different conditions, and futures under which a currently preferred strategy becomes seriously problematic. A strategy with a favourable expected value may still be unattractive if it carries intolerable downside exposure or performs badly in futures that are not individually the most likely but are among the most consequential.</w:t>
      </w:r>
    </w:p>
    <w:p>
      <w:pPr>
        <w:pStyle w:val="BodyText"/>
      </w:pPr>
      <w:r>
        <w:t xml:space="preserve">The appropriate analytical response to deep uncertainty is not to assign probabilities anyway and proceed as if the uncertainty were manageable. It is to reorient the analysis from optimising under one presumed future to exploring how decisions behave across a wide range of plausible futures. This reorientation defines the DMDU research programme. RDM, developed at RAND by Lempert, Popper, and Bankes, evaluates alternatives across large ensembles of futures using regret, satisficing frequency, and vulnerability diagnostics rather than expected-value optimisation. The broader DMDU community, represented in the work of Walker, Marchau, Kwakkel, and Haasnoot, has extended this reorientation into Dynamic Adaptive Policy Pathways, which combines ensemble evaluation with adaptive management logic by specifying the monitoring indicators and trigger conditions that should prompt pathway revision. These methods share a foundational commitment: where probabilities are contested or structurally unavailable, the analytical task is not to assign them anyway but to characterise how decisions perform across the range of conditions that cannot be given stable probability weights.</w:t>
      </w:r>
    </w:p>
    <w:p>
      <w:pPr>
        <w:pStyle w:val="BodyText"/>
      </w:pPr>
      <w:r>
        <w:t xml:space="preserve">The contribution of the present framework to this tradition is not a new decision method. It is a modular architectural logic within which DMDU-style exploration can be conducted across multiple scales simultaneously, governed by explicit artefacts and persistent analytical memory. The framework takes the evaluative standards and ensemble logic of RDM and DMDU and provides them with the structural support they need to operate credibly in a multi-layer planning context. The evaluative standards, regret, robustness, and satisficing, are developed in §1.5. What §1.4 establishes first is the formal vocabulary of the decision problem that those standards will be applied to.</w:t>
      </w:r>
    </w:p>
    <w:bookmarkEnd w:id="80"/>
    <w:bookmarkStart w:id="84" w:name="thinking-clearly-about-decisions"/>
    <w:p>
      <w:pPr>
        <w:pStyle w:val="Heading2"/>
      </w:pPr>
      <w:r>
        <w:t xml:space="preserve">9.4 §1.4 Thinking Clearly About Decisions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§1.4 Thinking Clearly About Decisions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§1.2, §1.3</w:t>
                  </w:r>
                </w:p>
              </w:tc>
            </w:tr>
            <w:tr>
              <w:tc>
                <w:tcPr/>
                <w:p>
                  <w:pPr>
                    <w:pStyle w:val="Compact"/>
                  </w:pPr>
                  <w:r>
                    <w:rPr>
                      <w:b/>
                      <w:bCs/>
                    </w:rPr>
                    <w:t xml:space="preserve">Contributes</w:t>
                  </w:r>
                </w:p>
              </w:tc>
              <w:tc>
                <w:tcPr/>
                <w:p>
                  <w:pPr>
                    <w:pStyle w:val="Compact"/>
                  </w:pPr>
                  <w:r>
                    <w:t xml:space="preserve">Establishes the four-element formal vocabulary of decision problems and connects each element to the decision-first boundary principle</w:t>
                  </w:r>
                </w:p>
              </w:tc>
            </w:tr>
            <w:tr>
              <w:tc>
                <w:tcPr/>
                <w:p>
                  <w:pPr>
                    <w:pStyle w:val="Compact"/>
                  </w:pPr>
                  <w:r>
                    <w:rPr>
                      <w:b/>
                      <w:bCs/>
                    </w:rPr>
                    <w:t xml:space="preserve">Skip condition</w:t>
                  </w:r>
                </w:p>
              </w:tc>
              <w:tc>
                <w:tcPr/>
                <w:p>
                  <w:pPr>
                    <w:pStyle w:val="Compact"/>
                  </w:pPr>
                  <w:r>
                    <w:t xml:space="preserve">Skip if reader knows the alternatives/futures/outcomes/constraints vocabulary; proceed to §1.5</w:t>
                  </w:r>
                </w:p>
              </w:tc>
            </w:tr>
            <w:tr>
              <w:tc>
                <w:tcPr/>
                <w:p>
                  <w:pPr>
                    <w:pStyle w:val="Compact"/>
                  </w:pPr>
                  <w:r>
                    <w:rPr>
                      <w:b/>
                      <w:bCs/>
                    </w:rPr>
                    <w:t xml:space="preserve">Passes to</w:t>
                  </w:r>
                </w:p>
              </w:tc>
              <w:tc>
                <w:tcPr/>
                <w:p>
                  <w:pPr>
                    <w:pStyle w:val="Compact"/>
                  </w:pPr>
                  <w:r>
                    <w:t xml:space="preserve">§1.5, §1.6, §1.7</w:t>
                  </w:r>
                </w:p>
              </w:tc>
            </w:tr>
            <w:tr>
              <w:tc>
                <w:tcPr/>
                <w:p>
                  <w:pPr>
                    <w:pStyle w:val="Compact"/>
                  </w:pPr>
                  <w:r>
                    <w:rPr>
                      <w:b/>
                      <w:bCs/>
                    </w:rPr>
                    <w:t xml:space="preserve">Sub-Modules here</w:t>
                  </w:r>
                </w:p>
              </w:tc>
              <w:tc>
                <w:tcPr/>
                <w:p>
                  <w:pPr>
                    <w:pStyle w:val="Compact"/>
                  </w:pPr>
                  <w:r>
                    <w:t xml:space="preserve">SM-1.4-A: Decision Theory, Extended Technical Treatment</w:t>
                  </w:r>
                </w:p>
              </w:tc>
            </w:tr>
          </w:tbl>
          <w:p/>
        </w:tc>
      </w:tr>
    </w:tbl>
    <w:p>
      <w:pPr>
        <w:pStyle w:val="BodyText"/>
      </w:pPr>
      <w:r>
        <w:t xml:space="preserve">Good analysis requires a shared vocabulary. The terms most commonly used in planning and modelling, option, scenario, result, trade-off, risk, uncertainty, objective, have acquired enough different meanings in different traditions that their use without explicit definition can obscure more than it reveals. This section establishes the four elements that structure every decision problem addressed by this framework, connects each to the decision-first boundary principle, and introduces the formal notation used in the evaluative standards of §1.5.</w:t>
      </w:r>
    </w:p>
    <w:p>
      <w:pPr>
        <w:pStyle w:val="BodyText"/>
      </w:pPr>
      <w:r>
        <w:t xml:space="preserve">An alternative is a course of action that can be chosen from among a set of possibilities. Alternatives are under the decision-maker’s control, at least in principle. In the Edendale context, the primary alternatives are the 2035_EB electrification pathway and the 2035_BB biomass pathway. An alternative need not be a binary choice: it may be a staged commitment, a conditional investment, or a sequencing decision. What it must be is clearly defined, because comparison requires alternatives to be distinguished from each other and from external conditions. A vague or unstable alternative set makes all subsequent analysis appear precise while resting on a poorly specified foundation.</w:t>
      </w:r>
    </w:p>
    <w:p>
      <w:pPr>
        <w:pStyle w:val="BodyText"/>
      </w:pPr>
      <w:r>
        <w:t xml:space="preserve">A future is a structured representation of external conditions that affect decision outcomes but are not under the decision-maker’s control. Futures are not privileged forecasts. They are organised characterisations of plausible external states against which alternatives are tested. In this framework, futures are materialised as FutureArtefacts: governed objects carrying the specific values of the uncertain driver dimensions, the five dimensions in the Edendale ensemble being GXP headroom, regional demand growth, hydro year class, biomass availability, and ETS carbon price. The design of the future ensemble, including which conditions to vary, over what ranges, and with what selection logic, is governed by the decision-first principle: the futures that earn a place in the ensemble are those that are decision-critical in the outcome space, not those that are merely extreme in the input space. One operational consequence of this definition deserves explicit statement here: competing pathway alternatives must be evaluated under identical external conditions if the comparison is to be valid. This is the paired-futures requirement, which is enforced through the FutureArtefact schema and is the primary mechanism through which comparability across alternatives is guaranteed.</w:t>
      </w:r>
    </w:p>
    <w:p>
      <w:pPr>
        <w:pStyle w:val="BodyText"/>
      </w:pPr>
      <w:r>
        <w:t xml:space="preserve">An outcome is the consequence that results when a chosen alternative interacts with a given future. Formally, if</w:t>
      </w:r>
      <w:r>
        <w:t xml:space="preserve"> </w:t>
      </w:r>
      <m:oMath>
        <m:r>
          <m:t>a</m:t>
        </m:r>
        <m:r>
          <m:rPr>
            <m:sty m:val="p"/>
          </m:rPr>
          <m:t>∈</m:t>
        </m:r>
        <m:r>
          <m:rPr>
            <m:scr m:val="script"/>
            <m:sty m:val="p"/>
          </m:rPr>
          <m:t>A</m:t>
        </m:r>
      </m:oMath>
      <w:r>
        <w:t xml:space="preserve"> </w:t>
      </w:r>
      <w:r>
        <w:t xml:space="preserve">denotes an alternative and</w:t>
      </w:r>
      <w:r>
        <w:t xml:space="preserve"> </w:t>
      </w:r>
      <m:oMath>
        <m:r>
          <m:t>ω</m:t>
        </m:r>
        <m:r>
          <m:rPr>
            <m:sty m:val="p"/>
          </m:rPr>
          <m:t>∈</m:t>
        </m:r>
        <m:r>
          <m:rPr>
            <m:sty m:val="p"/>
          </m:rPr>
          <m:t>Ω</m:t>
        </m:r>
      </m:oMath>
      <w:r>
        <w:t xml:space="preserve"> </w:t>
      </w:r>
      <w:r>
        <w:t xml:space="preserve">denotes a future, then</w:t>
      </w:r>
      <w:r>
        <w:t xml:space="preserve"> </w:t>
      </w:r>
      <m:oMath>
        <m:r>
          <m:t>Z</m:t>
        </m:r>
        <m:r>
          <m:rPr>
            <m:sty m:val="p"/>
          </m:rPr>
          <m:t>(</m:t>
        </m:r>
        <m:r>
          <m:t>a</m:t>
        </m:r>
        <m:r>
          <m:rPr>
            <m:sty m:val="p"/>
          </m:rPr>
          <m:t>,</m:t>
        </m:r>
        <m:r>
          <m:t>ω</m:t>
        </m:r>
        <m:r>
          <m:rPr>
            <m:sty m:val="p"/>
          </m:rPr>
          <m:t>)</m:t>
        </m:r>
      </m:oMath>
      <w:r>
        <w:t xml:space="preserve"> </w:t>
      </w:r>
      <w:r>
        <w:t xml:space="preserve">denotes the consequence of choosing</w:t>
      </w:r>
      <w:r>
        <w:t xml:space="preserve"> </w:t>
      </w:r>
      <m:oMath>
        <m:r>
          <m:t>a</m:t>
        </m:r>
      </m:oMath>
      <w:r>
        <w:t xml:space="preserve"> </w:t>
      </w:r>
      <w:r>
        <w:t xml:space="preserve">under</w:t>
      </w:r>
      <w:r>
        <w:t xml:space="preserve"> </w:t>
      </w:r>
      <m:oMath>
        <m:r>
          <m:t>ω</m:t>
        </m:r>
      </m:oMath>
      <w:r>
        <w:t xml:space="preserve">. This notation makes explicit what is often left implicit: outcomes are conditional. They are not properties of alternatives alone. The electrification pathway does not have a cost; it has a cost under each possible combination of electricity price trajectory, grid reinforcement timeline, and carbon price regime that is realised. This conditionality is what makes the evaluative standards of §1.5 necessary and the paired-futures requirement architectural rather than merely procedural.</w:t>
      </w:r>
    </w:p>
    <w:p>
      <w:pPr>
        <w:pStyle w:val="BodyText"/>
      </w:pPr>
      <w:r>
        <w:t xml:space="preserve">A constraint is what is feasible, admissible, or acceptable. Some constraints are physical: capacity limits, thermodynamic relationships, or resource availabilities. Others are financial, institutional, legal, environmental, or social. The decision-first boundary principle implies that constraints are declared as part of the decision frame, not discovered as byproducts of the optimisation. A grid hosting capacity limit is a constraint that becomes visible in the analysis because the decision frame includes regional grid consequences; it would be absent from the analysis if the boundary were drawn around the site alone. Social and community constraints, the expectations of the Southland regional economy about what a major employer’s transition strategy should look like, are constraints in the same sense: they are relevant to the decision even though they are not physical, and an analytical environment that treats only physical constraints as real produces a systematically incomplete account of the decision space.</w:t>
      </w:r>
    </w:p>
    <w:p>
      <w:pPr>
        <w:pStyle w:val="BodyText"/>
      </w:pPr>
      <w:r>
        <w:t xml:space="preserve">The four elements, alternatives, futures, outcomes, and constraints, define the decision problem’s formal structure. They also determine what the analytical environment must be built to make visible. The boundary of each module in the framework is governed by this structure: it encompasses exactly what is needed to produce the alternatives, expose the futures, compute the outcomes, and enforce the constraints that are relevant to its role in the decision chain. Nothing more is required; nothing less is sufficient. The extended formal treatment of decision theory, including expected utility axioms, classical decision rules, and the formal specification of regret and robustness metrics, is in Sub-Module SM-1.4-A.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tip.png" id="8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SM-1.4-A</w:t>
            </w:r>
          </w:p>
        </w:tc>
      </w:tr>
      <w:tr>
        <w:trPr>
          <w:cantSplit/>
        </w:trPr>
        <w:tc>
          <w:tcPr>
            <w:tcMar>
              <w:top w:w="108" w:type="dxa"/>
              <w:bottom w:w="108" w:type="dxa"/>
            </w:tcMar>
          </w:tcPr>
          <w:p>
            <w:pPr>
              <w:pStyle w:val="BodyText"/>
            </w:pPr>
            <w:pPr>
              <w:spacing w:before="16" w:after="16"/>
            </w:pPr>
            <w:r>
              <w:rPr>
                <w:b/>
                <w:bCs/>
              </w:rPr>
              <w:t xml:space="preserve">Decision Theory: Extended Technical Treatment</w:t>
            </w:r>
            <w:r>
              <w:t xml:space="preserve"> </w:t>
            </w:r>
            <w:r>
              <w:t xml:space="preserve">is in</w:t>
            </w:r>
            <w:r>
              <w:t xml:space="preserve"> </w:t>
            </w:r>
            <w:hyperlink r:id="rId83">
              <w:r>
                <w:rPr>
                  <w:rStyle w:val="Hyperlink"/>
                </w:rPr>
                <w:t xml:space="preserve">SM-1.4-A</w:t>
              </w:r>
            </w:hyperlink>
            <w:r>
              <w:t xml:space="preserve">.</w:t>
            </w:r>
            <w:r>
              <w:t xml:space="preserve"> </w:t>
            </w:r>
            <w:r>
              <w:t xml:space="preserve">Skip if formal decision theory is already known.</w:t>
            </w:r>
          </w:p>
          <w:p/>
        </w:tc>
      </w:tr>
    </w:tbl>
    <w:bookmarkEnd w:id="84"/>
    <w:bookmarkStart w:id="85" w:name="regret-robustness-and-satisficing"/>
    <w:p>
      <w:pPr>
        <w:pStyle w:val="Heading2"/>
      </w:pPr>
      <w:r>
        <w:t xml:space="preserve">9.5 §1.5 Regret, Robustness, and Satisficing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§1.5 Regret, Robustness, and Satisficing</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§1.3, §1.4</w:t>
                  </w:r>
                </w:p>
              </w:tc>
            </w:tr>
            <w:tr>
              <w:tc>
                <w:tcPr/>
                <w:p>
                  <w:pPr>
                    <w:pStyle w:val="Compact"/>
                  </w:pPr>
                  <w:r>
                    <w:rPr>
                      <w:b/>
                      <w:bCs/>
                    </w:rPr>
                    <w:t xml:space="preserve">Contributes</w:t>
                  </w:r>
                </w:p>
              </w:tc>
              <w:tc>
                <w:tcPr/>
                <w:p>
                  <w:pPr>
                    <w:pStyle w:val="Compact"/>
                  </w:pPr>
                  <w:r>
                    <w:t xml:space="preserve">Develops the three primary evaluative standards of the framework and explains why they are appropriate for long-horizon decisions under deep uncertainty</w:t>
                  </w:r>
                </w:p>
              </w:tc>
            </w:tr>
            <w:tr>
              <w:tc>
                <w:tcPr/>
                <w:p>
                  <w:pPr>
                    <w:pStyle w:val="Compact"/>
                  </w:pPr>
                  <w:r>
                    <w:rPr>
                      <w:b/>
                      <w:bCs/>
                    </w:rPr>
                    <w:t xml:space="preserve">Skip condition</w:t>
                  </w:r>
                </w:p>
              </w:tc>
              <w:tc>
                <w:tcPr/>
                <w:p>
                  <w:pPr>
                    <w:pStyle w:val="Compact"/>
                  </w:pPr>
                  <w:r>
                    <w:t xml:space="preserve">Skip if reader knows regret, robustness, and satisficing from prior DMDU literature; consult SM-1.4-A for formal definitions</w:t>
                  </w:r>
                </w:p>
              </w:tc>
            </w:tr>
            <w:tr>
              <w:tc>
                <w:tcPr/>
                <w:p>
                  <w:pPr>
                    <w:pStyle w:val="Compact"/>
                  </w:pPr>
                  <w:r>
                    <w:rPr>
                      <w:b/>
                      <w:bCs/>
                    </w:rPr>
                    <w:t xml:space="preserve">Passes to</w:t>
                  </w:r>
                </w:p>
              </w:tc>
              <w:tc>
                <w:tcPr/>
                <w:p>
                  <w:pPr>
                    <w:pStyle w:val="Compact"/>
                  </w:pPr>
                  <w:r>
                    <w:t xml:space="preserve">§1.6, §1.7, Module 3,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When probability distributions over futures are contested or unavailable, expected-value reasoning cannot serve as the primary evaluative standard. Three alternative standards replace it in this framework. They are not competing standards but complementary perspectives on the same fundamental question: how does this choice behave across the futures I cannot control?</w:t>
      </w:r>
    </w:p>
    <w:p>
      <w:pPr>
        <w:pStyle w:val="BodyText"/>
      </w:pPr>
      <w:r>
        <w:t xml:space="preserve">Regret measures the cost of choosing an option that later proves inferior under the realised future. Formally, as established in SM-1.4-A, the regret of alternative</w:t>
      </w:r>
      <w:r>
        <w:t xml:space="preserve"> </w:t>
      </w:r>
      <m:oMath>
        <m:r>
          <m:t>a</m:t>
        </m:r>
      </m:oMath>
      <w:r>
        <w:t xml:space="preserve"> </w:t>
      </w:r>
      <w:r>
        <w:t xml:space="preserve">under future</w:t>
      </w:r>
      <w:r>
        <w:t xml:space="preserve"> </w:t>
      </w:r>
      <m:oMath>
        <m:r>
          <m:t>ω</m:t>
        </m:r>
      </m:oMath>
      <w:r>
        <w:t xml:space="preserve"> </w:t>
      </w:r>
      <w:r>
        <w:t xml:space="preserve">is the difference between what the best available alternative would have achieved under that future and what</w:t>
      </w:r>
      <w:r>
        <w:t xml:space="preserve"> </w:t>
      </w:r>
      <m:oMath>
        <m:r>
          <m:t>a</m:t>
        </m:r>
      </m:oMath>
      <w:r>
        <w:t xml:space="preserve"> </w:t>
      </w:r>
      <w:r>
        <w:t xml:space="preserve">actually achieves:</w:t>
      </w:r>
      <w:r>
        <w:t xml:space="preserve"> </w:t>
      </w:r>
      <m:oMath>
        <m:r>
          <m:t>r</m:t>
        </m:r>
        <m:r>
          <m:rPr>
            <m:sty m:val="p"/>
          </m:rPr>
          <m:t>(</m:t>
        </m:r>
        <m:r>
          <m:t>a</m:t>
        </m:r>
        <m:r>
          <m:rPr>
            <m:sty m:val="p"/>
          </m:rPr>
          <m:t>,</m:t>
        </m:r>
        <m:r>
          <m:t>ω</m:t>
        </m:r>
        <m:r>
          <m:rPr>
            <m:sty m:val="p"/>
          </m:rPr>
          <m:t>)</m:t>
        </m:r>
        <m:r>
          <m:rPr>
            <m:sty m:val="p"/>
          </m:rPr>
          <m:t>=</m:t>
        </m:r>
        <m:sSup>
          <m:e>
            <m:r>
              <m:t>Z</m:t>
            </m:r>
          </m:e>
          <m:sup>
            <m:r>
              <m:rPr>
                <m:sty m:val="p"/>
              </m:rPr>
              <m:t>*</m:t>
            </m:r>
          </m:sup>
        </m:sSup>
        <m:r>
          <m:rPr>
            <m:sty m:val="p"/>
          </m:rPr>
          <m:t>(</m:t>
        </m:r>
        <m:r>
          <m:t>ω</m:t>
        </m:r>
        <m:r>
          <m:rPr>
            <m:sty m:val="p"/>
          </m:rPr>
          <m:t>)</m:t>
        </m:r>
        <m:r>
          <m:rPr>
            <m:sty m:val="p"/>
          </m:rPr>
          <m:t>−</m:t>
        </m:r>
        <m:r>
          <m:t>Z</m:t>
        </m:r>
        <m:r>
          <m:rPr>
            <m:sty m:val="p"/>
          </m:rPr>
          <m:t>(</m:t>
        </m:r>
        <m:r>
          <m:t>a</m:t>
        </m:r>
        <m:r>
          <m:rPr>
            <m:sty m:val="p"/>
          </m:rPr>
          <m:t>,</m:t>
        </m:r>
        <m:r>
          <m:t>ω</m:t>
        </m:r>
        <m:r>
          <m:rPr>
            <m:sty m:val="p"/>
          </m:rPr>
          <m:t>)</m:t>
        </m:r>
      </m:oMath>
      <w:r>
        <w:t xml:space="preserve">. Regret is future-specific and comparative. It does not ask whether an outcome is good in isolation; it asks whether it is avoidably poor relative to the alternatives that were available when the choice was made. This comparative structure is what makes regret especially appropriate for long-horizon decisions: a decision-maker who has committed to an electrification pathway in 2025 and finds in 2035 that a biomass pathway would have been substantially cheaper under the conditions that actually materialised has experienced a regrettable outcome in this precise sense, regardless of whether the electrification pathway performed adequately in absolute terms. The regret metric makes that experience analytically visible and attributable to specific future conditions.</w:t>
      </w:r>
    </w:p>
    <w:p>
      <w:pPr>
        <w:pStyle w:val="BodyText"/>
      </w:pPr>
      <w:r>
        <w:t xml:space="preserve">The connection between regret and the paired-futures design requirement is direct. Regret is computed relative to the best alternative under the same future. This comparison is only valid if both alternatives have been evaluated under identical external conditions. The FutureArtefact schema and the paired-futures enforcement logic of Module 6 exist precisely to guarantee this validity. A regret comparison between pathways evaluated under different futures is not a regret comparison; it is a confounded comparison whose results cannot be interpreted.</w:t>
      </w:r>
    </w:p>
    <w:p>
      <w:pPr>
        <w:pStyle w:val="BodyText"/>
      </w:pPr>
      <w:r>
        <w:t xml:space="preserve">Robustness asks how consistently an alternative performs across a set of plausible futures. A robust strategy need not be the best under any single future. Its value lies in avoiding large failures across many futures and remaining acceptable across a wide range of conditions that the decision-maker cannot control or predict. Robustness is measured through multiple metrics depending on what aspect of cross-future performance matters most: the satisficing rate (what fraction of futures does the alternative satisfy declared thresholds?), the maximum regret (what is the worst avoidable loss?), or the P90 regret (what is the regret exceeded by only 10 percent of futures?). The choice among these measures embeds normative commitments about whether the decision-maker is most concerned with consistency, with avoiding catastrophic failure, or with tail exposure, and the framework supports all three rather than forcing one.</w:t>
      </w:r>
    </w:p>
    <w:p>
      <w:pPr>
        <w:pStyle w:val="BodyText"/>
      </w:pPr>
      <w:r>
        <w:t xml:space="preserve">The DMDU tradition, represented in the work of Lempert, Popper, Bankes, Walker, Marchau, Kwakkel, and Haasnoot, has made robustness under deep uncertainty the organising standard of decision analysis precisely because robustness does not require probability distributions over futures. It requires only that futures be plausible and that their consequences for each alternative be computable. This is the condition that the FutureArtefact ensemble design of Module 6 is built to satisfy.</w:t>
      </w:r>
    </w:p>
    <w:p>
      <w:pPr>
        <w:pStyle w:val="BodyText"/>
      </w:pPr>
      <w:r>
        <w:t xml:space="preserve">Satisficing adds a threshold logic that is closer to how consequential decisions are actually made and evaluated in institutional settings. Rather than asking which alternative is optimal by some composite measure, satisficing asks which alternatives are good enough according to clearly stated thresholds across multiple dimensions. In the Edendale context, a pathway might be considered satisfactory if it keeps total system cost below a declared level across a sufficient fraction of the ensemble, maintains reliability above a minimum threshold, and produces net emissions below a regulatory target. No single metric aggregates these into one number; all of them must be satisfied. This multi-threshold logic is practically important because institutional decision processes frequently operate on pass/fail criteria in multiple dimensions simultaneously. The satisficing rate computed in the DecisionSummaryArtefact makes this logic analytically tractable and comparable across pathways.</w:t>
      </w:r>
    </w:p>
    <w:p>
      <w:pPr>
        <w:pStyle w:val="BodyText"/>
      </w:pPr>
      <w:r>
        <w:t xml:space="preserve">The three standards, regret, robustness, and satisficing, are used in combination throughout Module 6. Neither a strategy’s dominance frequency nor its satisficing rate nor its maximum regret tells the full story by itself. A strategy that wins in most futures but suffers catastrophically in a small number of plausible ones may be less attractive than one that is slightly worse on average but avoids large failures. A strategy that satisfies all thresholds in most futures but fails a critical reliability threshold in exactly the futures most associated with infrastructure constraint may be worse than its average metrics suggest. The combination of these three evaluative standards provides a more complete and honest account of pathway behaviour than any one alone.</w:t>
      </w:r>
    </w:p>
    <w:bookmarkEnd w:id="85"/>
    <w:bookmarkStart w:id="86" w:name="X65811602408c60cec220c8a9a982416bea76010"/>
    <w:p>
      <w:pPr>
        <w:pStyle w:val="Heading2"/>
      </w:pPr>
      <w:r>
        <w:t xml:space="preserve">9.6 §1.6 Multiple Objectives and Multiple Stakeholders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§1.6 Multiple Objectives and Multiple Stakeholders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§1.4, §1.5</w:t>
                  </w:r>
                </w:p>
              </w:tc>
            </w:tr>
            <w:tr>
              <w:tc>
                <w:tcPr/>
                <w:p>
                  <w:pPr>
                    <w:pStyle w:val="Compact"/>
                  </w:pPr>
                  <w:r>
                    <w:rPr>
                      <w:b/>
                      <w:bCs/>
                    </w:rPr>
                    <w:t xml:space="preserve">Contributes</w:t>
                  </w:r>
                </w:p>
              </w:tc>
              <w:tc>
                <w:tcPr/>
                <w:p>
                  <w:pPr>
                    <w:pStyle w:val="Compact"/>
                  </w:pPr>
                  <w:r>
                    <w:t xml:space="preserve">Establishes why the framework must support multiple evaluative frames without collapsing them into one objective, and how this connects to the architecture of multiple modules and perspectives</w:t>
                  </w:r>
                </w:p>
              </w:tc>
            </w:tr>
            <w:tr>
              <w:tc>
                <w:tcPr/>
                <w:p>
                  <w:pPr>
                    <w:pStyle w:val="Compact"/>
                  </w:pPr>
                  <w:r>
                    <w:rPr>
                      <w:b/>
                      <w:bCs/>
                    </w:rPr>
                    <w:t xml:space="preserve">Skip condition</w:t>
                  </w:r>
                </w:p>
              </w:tc>
              <w:tc>
                <w:tcPr/>
                <w:p>
                  <w:pPr>
                    <w:pStyle w:val="Compact"/>
                  </w:pPr>
                  <w:r>
                    <w:t xml:space="preserve">Skip if reader accepts multi-perspective evaluation as necessary; proceed to §1.7</w:t>
                  </w:r>
                </w:p>
              </w:tc>
            </w:tr>
            <w:tr>
              <w:tc>
                <w:tcPr/>
                <w:p>
                  <w:pPr>
                    <w:pStyle w:val="Compact"/>
                  </w:pPr>
                  <w:r>
                    <w:rPr>
                      <w:b/>
                      <w:bCs/>
                    </w:rPr>
                    <w:t xml:space="preserve">Passes to</w:t>
                  </w:r>
                </w:p>
              </w:tc>
              <w:tc>
                <w:tcPr/>
                <w:p>
                  <w:pPr>
                    <w:pStyle w:val="Compact"/>
                  </w:pPr>
                  <w:r>
                    <w:t xml:space="preserve">§1.7, Module 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evaluative standards of §1.5 assume that the decision can be characterised by a single outcome function</w:t>
      </w:r>
      <w:r>
        <w:t xml:space="preserve"> </w:t>
      </w:r>
      <m:oMath>
        <m:r>
          <m:t>Z</m:t>
        </m:r>
        <m:r>
          <m:rPr>
            <m:sty m:val="p"/>
          </m:rPr>
          <m:t>(</m:t>
        </m:r>
        <m:r>
          <m:t>a</m:t>
        </m:r>
        <m:r>
          <m:rPr>
            <m:sty m:val="p"/>
          </m:rPr>
          <m:t>,</m:t>
        </m:r>
        <m:r>
          <m:t>ω</m:t>
        </m:r>
        <m:r>
          <m:rPr>
            <m:sty m:val="p"/>
          </m:rPr>
          <m:t>)</m:t>
        </m:r>
      </m:oMath>
      <w:r>
        <w:t xml:space="preserve">. In many planning contexts, this assumption is a simplification that conceals rather than reveals what matters most. A transition pathway might need to be judged simultaneously against financial cost, greenhouse gas emissions, service reliability, regional employment effects, infrastructure stress on shared networks, and institutional practicality. These dimensions are not commensurate without a set of weights that is itself often contested. Collapsing them into one weighted composite produces a tractable optimisation problem, but the weights embedded in that composite may represent neither the decision-maker’s actual priorities nor a legitimate social consensus.</w:t>
      </w:r>
    </w:p>
    <w:p>
      <w:pPr>
        <w:pStyle w:val="BodyText"/>
      </w:pPr>
      <w:r>
        <w:t xml:space="preserve">Three approaches to multi-criteria decisions are relevant here. Scalarisation converts multiple criteria into one weighted objective and is tractable where the weights are meaningful and widely accepted. Its limitation is that the choice of weights is itself a decision with significant consequences for which alternatives appear favourable. Pareto reasoning preserves trade-off information by identifying the set of non-dominated alternatives, those for which no other alternative is strictly better on every criterion simultaneously. Its limitation under deep uncertainty is that the Pareto frontier computed under one future may change substantially under a different future, so preserving cross-objective trade-offs at one future does not guarantee cross-future comparability. Threshold-based multi-criteria comparison, which asks which alternatives satisfy stated bounds across all objectives across a sufficient fraction of the future ensemble, aligns most naturally with the satisficing and robustness standards of §1.5 and handles the cross-future comparability problem that Pareto reasoning alone does not address.</w:t>
      </w:r>
    </w:p>
    <w:p>
      <w:pPr>
        <w:pStyle w:val="BodyText"/>
      </w:pPr>
      <w:r>
        <w:t xml:space="preserve">The multi-criteria challenge is further complicated by the presence of multiple stakeholders. A site operator, a network planner, a fuel supplier, a regulator, and a regional community each approach the same decision from a different evaluative position. The site operator assesses private pathway cost. The network planner assesses system-level infrastructure stress and reinforcement cost. The regulator assesses emissions compliance and investment alignment with national targets. The regional community assesses employment, economic activity, and environmental consequences. These perspectives are not reconcilable by technical analysis alone; they embody different values and different exposures to the consequences of different outcomes.</w:t>
      </w:r>
    </w:p>
    <w:p>
      <w:pPr>
        <w:pStyle w:val="BodyText"/>
      </w:pPr>
      <w:r>
        <w:t xml:space="preserve">The decision-first boundary principle provides a specific architectural response to this challenge. Rather than forcing all perspectives into one objective function before the analysis begins, the framework allows different modules to report consequences from different perspectives, and the evaluation layer computes regret and robustness metrics from each perspective using the same underlying artefacts. In Module 6, the site-perspective assessment and the system-perspective assessment are both computed from the same ResultArtefacts and SignalsPacks, making the divergence between them analytically visible and attributable to specific cost components and future conditions. This is the system-level regret finding that Module 6 reports: the divergence between what appears privately rational and what is systemically optimal under infrastructure-constrained futures.</w:t>
      </w:r>
    </w:p>
    <w:p>
      <w:pPr>
        <w:pStyle w:val="BodyText"/>
      </w:pPr>
      <w:r>
        <w:t xml:space="preserve">Social and environmental consequences are first-class objects in this analytical environment, not qualitative footnotes appended to a financial analysis. The architecture is designed to accommodate regional employment modules, biodiversity impact modules, and community infrastructure stress modules following the same thin-waist artefact contract as the financial and electricity modules. These additions are specified as Vision components in Table 0.2. Their eventual incorporation is not an expansion of scope; it is a logical extension of the decision-first boundary principle to the full scope of what the decision is actually about.</w:t>
      </w:r>
    </w:p>
    <w:bookmarkEnd w:id="86"/>
    <w:bookmarkStart w:id="90" w:name="X2e0cd3529333c9ef10964edad07575d53026ab7"/>
    <w:p>
      <w:pPr>
        <w:pStyle w:val="Heading2"/>
      </w:pPr>
      <w:r>
        <w:t xml:space="preserve">9.7 §1.7 Seven Requirements Any Analytical System Must Meet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§1.7 Seven Requirements Any Analytical System Must Meet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through §1.6</w:t>
                  </w:r>
                </w:p>
              </w:tc>
            </w:tr>
            <w:tr>
              <w:tc>
                <w:tcPr/>
                <w:p>
                  <w:pPr>
                    <w:pStyle w:val="Compact"/>
                  </w:pPr>
                  <w:r>
                    <w:rPr>
                      <w:b/>
                      <w:bCs/>
                    </w:rPr>
                    <w:t xml:space="preserve">Contributes</w:t>
                  </w:r>
                </w:p>
              </w:tc>
              <w:tc>
                <w:tcPr/>
                <w:p>
                  <w:pPr>
                    <w:pStyle w:val="Compact"/>
                  </w:pPr>
                  <w:r>
                    <w:t xml:space="preserve">Derives the seven requirements that any analytical system must satisfy to support long-horizon planning under deep uncertainty, and presents them as the specification that Module 3’s architecture is designed to meet</w:t>
                  </w:r>
                </w:p>
              </w:tc>
            </w:tr>
            <w:tr>
              <w:tc>
                <w:tcPr/>
                <w:p>
                  <w:pPr>
                    <w:pStyle w:val="Compact"/>
                  </w:pPr>
                  <w:r>
                    <w:rPr>
                      <w:b/>
                      <w:bCs/>
                    </w:rPr>
                    <w:t xml:space="preserve">Skip condition</w:t>
                  </w:r>
                </w:p>
              </w:tc>
              <w:tc>
                <w:tcPr/>
                <w:p>
                  <w:pPr>
                    <w:pStyle w:val="Compact"/>
                  </w:pPr>
                  <w:r>
                    <w:t xml:space="preserve">Do not skip — this section is the bridge between the conceptual foundations and the architecture</w:t>
                  </w:r>
                </w:p>
              </w:tc>
            </w:tr>
            <w:tr>
              <w:tc>
                <w:tcPr/>
                <w:p>
                  <w:pPr>
                    <w:pStyle w:val="Compact"/>
                  </w:pPr>
                  <w:r>
                    <w:rPr>
                      <w:b/>
                      <w:bCs/>
                    </w:rPr>
                    <w:t xml:space="preserve">Passes to</w:t>
                  </w:r>
                </w:p>
              </w:tc>
              <w:tc>
                <w:tcPr/>
                <w:p>
                  <w:pPr>
                    <w:pStyle w:val="Compact"/>
                  </w:pPr>
                  <w:r>
                    <w:t xml:space="preserve">Module 2, Module 3</w:t>
                  </w:r>
                </w:p>
              </w:tc>
            </w:tr>
            <w:tr>
              <w:tc>
                <w:tcPr/>
                <w:p>
                  <w:pPr>
                    <w:pStyle w:val="Compact"/>
                  </w:pPr>
                  <w:r>
                    <w:rPr>
                      <w:b/>
                      <w:bCs/>
                    </w:rPr>
                    <w:t xml:space="preserve">Sub-Modules here</w:t>
                  </w:r>
                </w:p>
              </w:tc>
              <w:tc>
                <w:tcPr/>
                <w:p>
                  <w:pPr>
                    <w:pStyle w:val="Compact"/>
                  </w:pPr>
                  <w:r>
                    <w:t xml:space="preserve">SM-1.7-A: Requirements-to-Architecture Mapping Table</w:t>
                  </w:r>
                </w:p>
              </w:tc>
            </w:tr>
          </w:tbl>
          <w:p/>
        </w:tc>
      </w:tr>
    </w:tbl>
    <w:p>
      <w:pPr>
        <w:pStyle w:val="BodyText"/>
      </w:pPr>
      <w:r>
        <w:t xml:space="preserve">The analysis of §§1.1 through 1.6 produces a specific set of demands on any analytical system that claims to support long-horizon planning under deep uncertainty. These demands are not a wish list. They are logical consequences of taking the problem structure seriously, and they define the specification that the architecture of Module 3 is designed to satisfy. There are seven.</w:t>
      </w:r>
    </w:p>
    <w:p>
      <w:pPr>
        <w:pStyle w:val="BodyText"/>
      </w:pPr>
      <w:r>
        <w:t xml:space="preserve">Requirement 1: Explicitness of alternatives. The analytical system must represent the alternatives that matter to the decision in a form that is recognisable to the decision-maker. Alternatives must be declared, named, and configured in the analysis as distinct objects, not inferred from the interior of an optimisation. This requirement follows from the definition of the alternative in §1.4 and from the impossibility of computing regret without a clearly specified alternative set.</w:t>
      </w:r>
    </w:p>
    <w:p>
      <w:pPr>
        <w:pStyle w:val="BodyText"/>
      </w:pPr>
      <w:r>
        <w:t xml:space="preserve">Requirement 2: Explicitness of futures. The system must make clear under which external conditions alternatives are being evaluated. Futures must be structured, declared, and shared across alternatives through the paired-futures design. Hidden assumptions about which futures are being tested are a systematic source of incomparable results. This requirement follows from the definition of the future in §1.4 and from the paired-futures condition identified there.</w:t>
      </w:r>
    </w:p>
    <w:p>
      <w:pPr>
        <w:pStyle w:val="BodyText"/>
      </w:pPr>
      <w:r>
        <w:t xml:space="preserve">Requirement 3: Decision-relevant outcomes. The system must produce outputs that illuminate the decision rather than outputs that are merely byproducts of the model’s internal structure. Metrics must be tied to the decision frame: the cost, emissions, adequacy, regret, satisficing rate, and threshold-violation indicators that the decision-maker actually needs to distinguish between alternatives across futures. This requirement follows from the conditional definition of the outcome in §1.4 and from the multi-criteria evaluation standard of §1.6.</w:t>
      </w:r>
    </w:p>
    <w:p>
      <w:pPr>
        <w:pStyle w:val="BodyText"/>
      </w:pPr>
      <w:r>
        <w:t xml:space="preserve">Requirement 4: Visibility of constraints and boundaries. The system must make its analytical boundaries and the constraints it enforces legible rather than hidden. A result that appears robust within a declared boundary may be fragile outside it. Declaring the boundary is the operational expression of the decision-first principle: it allows the decision-maker to assess whether the boundary drawn is the boundary required by the decision. This requirement follows directly from §0.3 and §1.1.</w:t>
      </w:r>
    </w:p>
    <w:p>
      <w:pPr>
        <w:pStyle w:val="BodyText"/>
      </w:pPr>
      <w:r>
        <w:t xml:space="preserve">Requirement 5: Comparability across alternatives and futures. Results must be produced under conditions that support valid comparison. The paired-futures design ensures that differences in performance between alternatives are attributable to alternative characteristics rather than to different experimental conditions. Schema-governed artefact exchange ensures that metrics are measured consistently across module generations. This requirement follows from the evaluative standards of §1.5.</w:t>
      </w:r>
    </w:p>
    <w:p>
      <w:pPr>
        <w:pStyle w:val="BodyText"/>
      </w:pPr>
      <w:r>
        <w:t xml:space="preserve">Requirement 6: Traceability and revisability. The system must support ongoing learning, not only one round of comparison. It must be possible to identify which assumptions, data, modules, and interfaces produced a particular result, and to revise them without destroying the comparability of what came before. This requirement follows from the progressive-refinement philosophy of §0.3 and from the bounded rationality argument of Sub-Module SM-1.1-A.</w:t>
      </w:r>
    </w:p>
    <w:p>
      <w:pPr>
        <w:pStyle w:val="BodyText"/>
      </w:pPr>
      <w:r>
        <w:t xml:space="preserve">Requirement 7: Support for targeted refinement. The system should reveal not only which alternative is preferable under current knowledge, but also which uncertainties most determine that preference and which analytical investments would most improve decision quality. The regret sensitivity and scenario discovery diagnostics of the DMDU orchestration layer provide this service, making the ensemble analysis self-directing in its development logic.</w:t>
      </w:r>
    </w:p>
    <w:p>
      <w:pPr>
        <w:pStyle w:val="BodyText"/>
      </w:pPr>
      <w:r>
        <w:t xml:space="preserve">Table 1.1 summarises these requirements and their primary architectural implications. Module 3 develops each architectural response in full; Module 6 demonstrates them in the proof of concept.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Architectural implication</w:t>
            </w:r>
          </w:p>
        </w:tc>
      </w:tr>
      <w:tr>
        <w:tc>
          <w:tcPr/>
          <w:p>
            <w:pPr>
              <w:pStyle w:val="Compact"/>
            </w:pPr>
            <w:r>
              <w:t xml:space="preserve">1. Explicitness of alternatives</w:t>
            </w:r>
          </w:p>
        </w:tc>
        <w:tc>
          <w:tcPr/>
          <w:p>
            <w:pPr>
              <w:pStyle w:val="Compact"/>
            </w:pPr>
            <w:r>
              <w:t xml:space="preserve">Pathway variants declared and named in module configuration; each alternative is a separately identified entity in the backbone</w:t>
            </w:r>
          </w:p>
        </w:tc>
      </w:tr>
      <w:tr>
        <w:tc>
          <w:tcPr/>
          <w:p>
            <w:pPr>
              <w:pStyle w:val="Compact"/>
            </w:pPr>
            <w:r>
              <w:t xml:space="preserve">2. Explicitness of futures</w:t>
            </w:r>
          </w:p>
        </w:tc>
        <w:tc>
          <w:tcPr/>
          <w:p>
            <w:pPr>
              <w:pStyle w:val="Compact"/>
            </w:pPr>
            <w:r>
              <w:t xml:space="preserve">FutureArtefacts declare all uncertain drivers; alternatives evaluated under shared, paired futures; decision-critical futures selected by consequence</w:t>
            </w:r>
          </w:p>
        </w:tc>
      </w:tr>
      <w:tr>
        <w:tc>
          <w:tcPr/>
          <w:p>
            <w:pPr>
              <w:pStyle w:val="Compact"/>
            </w:pPr>
            <w:r>
              <w:t xml:space="preserve">3. Decision-relevant outcomes</w:t>
            </w:r>
          </w:p>
        </w:tc>
        <w:tc>
          <w:tcPr/>
          <w:p>
            <w:pPr>
              <w:pStyle w:val="Compact"/>
            </w:pPr>
            <w:r>
              <w:t xml:space="preserve">ResultArtefacts and DecisionSummaryArtefacts carry metrics tied to the decision frame, not model-internal variables</w:t>
            </w:r>
          </w:p>
        </w:tc>
      </w:tr>
      <w:tr>
        <w:tc>
          <w:tcPr/>
          <w:p>
            <w:pPr>
              <w:pStyle w:val="Compact"/>
            </w:pPr>
            <w:r>
              <w:t xml:space="preserve">4. Visibility of constraints and boundaries</w:t>
            </w:r>
          </w:p>
        </w:tc>
        <w:tc>
          <w:tcPr/>
          <w:p>
            <w:pPr>
              <w:pStyle w:val="Compact"/>
            </w:pPr>
            <w:r>
              <w:t xml:space="preserve">Module interface declarations state scope, perspective, and what is excluded; results cannot be overgeneralised beyond their declared boundary</w:t>
            </w:r>
          </w:p>
        </w:tc>
      </w:tr>
      <w:tr>
        <w:tc>
          <w:tcPr/>
          <w:p>
            <w:pPr>
              <w:pStyle w:val="Compact"/>
            </w:pPr>
            <w:r>
              <w:t xml:space="preserve">5. Comparability across alternatives and futures</w:t>
            </w:r>
          </w:p>
        </w:tc>
        <w:tc>
          <w:tcPr/>
          <w:p>
            <w:pPr>
              <w:pStyle w:val="Compact"/>
            </w:pPr>
            <w:r>
              <w:t xml:space="preserve">Paired-futures design and schema-governed artefact exchange enforce consistent measurement across pathways and versions</w:t>
            </w:r>
          </w:p>
        </w:tc>
      </w:tr>
      <w:tr>
        <w:tc>
          <w:tcPr/>
          <w:p>
            <w:pPr>
              <w:pStyle w:val="Compact"/>
            </w:pPr>
            <w:r>
              <w:t xml:space="preserve">6. Traceability and revisability</w:t>
            </w:r>
          </w:p>
        </w:tc>
        <w:tc>
          <w:tcPr/>
          <w:p>
            <w:pPr>
              <w:pStyle w:val="Compact"/>
            </w:pPr>
            <w:r>
              <w:t xml:space="preserve">Append-only backbone with lineage records, schema versioning, and SHA256 hash integrity</w:t>
            </w:r>
          </w:p>
        </w:tc>
      </w:tr>
      <w:tr>
        <w:tc>
          <w:tcPr/>
          <w:p>
            <w:pPr>
              <w:pStyle w:val="Compact"/>
            </w:pPr>
            <w:r>
              <w:t xml:space="preserve">7. Support for targeted refinement</w:t>
            </w:r>
          </w:p>
        </w:tc>
        <w:tc>
          <w:tcPr/>
          <w:p>
            <w:pPr>
              <w:pStyle w:val="Compact"/>
            </w:pPr>
            <w:r>
              <w:t xml:space="preserve">Regret sensitivity diagnostics and scenario discovery identify which uncertain drivers most strongly determine pathway preference</w:t>
            </w:r>
          </w:p>
        </w:tc>
      </w:tr>
    </w:tbl>
    <w:p>
      <w:pPr>
        <w:pStyle w:val="BodyText"/>
      </w:pPr>
      <w:r>
        <w:t xml:space="preserve">These seven requirements define what any analytical system must provide. Module 2 asks what tools are available to generate the consequences these requirements demand. Module 3 designs the architecture that organises those tools so that the requirements are not merely stated but demonstrably satisfied.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opt/quarto/share/formats/docx/tip.png" id="88"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SM-1.7-A</w:t>
            </w:r>
          </w:p>
        </w:tc>
      </w:tr>
      <w:tr>
        <w:trPr>
          <w:cantSplit/>
        </w:trPr>
        <w:tc>
          <w:tcPr>
            <w:tcMar>
              <w:top w:w="108" w:type="dxa"/>
              <w:bottom w:w="108" w:type="dxa"/>
            </w:tcMar>
          </w:tcPr>
          <w:p>
            <w:pPr>
              <w:pStyle w:val="BodyText"/>
            </w:pPr>
            <w:pPr>
              <w:spacing w:before="16" w:after="16"/>
            </w:pPr>
            <w:r>
              <w:rPr>
                <w:b/>
                <w:bCs/>
              </w:rPr>
              <w:t xml:space="preserve">Requirements-to-Architecture Mapping Table</w:t>
            </w:r>
            <w:r>
              <w:t xml:space="preserve"> </w:t>
            </w:r>
            <w:r>
              <w:t xml:space="preserve">is in</w:t>
            </w:r>
            <w:r>
              <w:t xml:space="preserve"> </w:t>
            </w:r>
            <w:hyperlink r:id="rId89">
              <w:r>
                <w:rPr>
                  <w:rStyle w:val="Hyperlink"/>
                </w:rPr>
                <w:t xml:space="preserve">SM-1.7-A</w:t>
              </w:r>
            </w:hyperlink>
            <w:r>
              <w:t xml:space="preserve">.</w:t>
            </w:r>
            <w:r>
              <w:t xml:space="preserve"> </w:t>
            </w:r>
            <w:r>
              <w:t xml:space="preserve">Skip for conceptual reading; use when verifying implementation.</w:t>
            </w:r>
          </w:p>
          <w:p/>
        </w:tc>
      </w:tr>
    </w:tbl>
    <w:bookmarkEnd w:id="90"/>
    <w:bookmarkEnd w:id="91"/>
    <w:bookmarkStart w:id="93" w:name="sub-module-1.1-a"/>
    <w:p>
      <w:pPr>
        <w:pStyle w:val="Heading1"/>
      </w:pPr>
      <w:r>
        <w:t xml:space="preserve">10. Sub-Module 1.1-A</w:t>
      </w:r>
    </w:p>
    <w:p>
      <w:pPr>
        <w:pStyle w:val="FirstParagraph"/>
      </w:pPr>
      <w:r>
        <w:t xml:space="preserve">Philosophical Lineage of Deep Uncertainty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SM-1.1-A: Philosophical Lineage of Deep Uncertainty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w:t>
                  </w:r>
                </w:p>
              </w:tc>
            </w:tr>
            <w:tr>
              <w:tc>
                <w:tcPr/>
                <w:p>
                  <w:pPr>
                    <w:pStyle w:val="Compact"/>
                  </w:pPr>
                  <w:r>
                    <w:rPr>
                      <w:b/>
                      <w:bCs/>
                    </w:rPr>
                    <w:t xml:space="preserve">Contributes</w:t>
                  </w:r>
                </w:p>
              </w:tc>
              <w:tc>
                <w:tcPr/>
                <w:p>
                  <w:pPr>
                    <w:pStyle w:val="Compact"/>
                  </w:pPr>
                  <w:r>
                    <w:t xml:space="preserve">Traces the intellectual genealogy of the deep-uncertainty stance from Knight through systems thinking, bounded rationality, and wicked problems to the DMDU tradition, and establishes the epistemological position of the framework</w:t>
                  </w:r>
                </w:p>
              </w:tc>
            </w:tr>
            <w:tr>
              <w:tc>
                <w:tcPr/>
                <w:p>
                  <w:pPr>
                    <w:pStyle w:val="Compact"/>
                  </w:pPr>
                  <w:r>
                    <w:rPr>
                      <w:b/>
                      <w:bCs/>
                    </w:rPr>
                    <w:t xml:space="preserve">Skip condition</w:t>
                  </w:r>
                </w:p>
              </w:tc>
              <w:tc>
                <w:tcPr/>
                <w:p>
                  <w:pPr>
                    <w:pStyle w:val="Compact"/>
                  </w:pPr>
                  <w:r>
                    <w:t xml:space="preserve">Skip if reader accepts the deep-uncertainty stance without needing the intellectual genealogy; return when engaging with the framework’s epistemological claims</w:t>
                  </w:r>
                </w:p>
              </w:tc>
            </w:tr>
            <w:tr>
              <w:tc>
                <w:tcPr/>
                <w:p>
                  <w:pPr>
                    <w:pStyle w:val="Compact"/>
                  </w:pPr>
                  <w:r>
                    <w:rPr>
                      <w:b/>
                      <w:bCs/>
                    </w:rPr>
                    <w:t xml:space="preserve">Passes to</w:t>
                  </w:r>
                </w:p>
              </w:tc>
              <w:tc>
                <w:tcPr/>
                <w:p>
                  <w:pPr>
                    <w:pStyle w:val="Compact"/>
                  </w:pPr>
                  <w:r>
                    <w:t xml:space="preserve">§1.3</w:t>
                  </w:r>
                </w:p>
              </w:tc>
            </w:tr>
            <w:tr>
              <w:tc>
                <w:tcPr/>
                <w:p>
                  <w:pPr>
                    <w:pStyle w:val="Compact"/>
                  </w:pPr>
                  <w:r>
                    <w:rPr>
                      <w:b/>
                      <w:bCs/>
                    </w:rPr>
                    <w:t xml:space="preserve">Sub-Modules here</w:t>
                  </w:r>
                </w:p>
              </w:tc>
              <w:tc>
                <w:tcPr/>
                <w:p>
                  <w:pPr>
                    <w:pStyle w:val="Compact"/>
                  </w:pPr>
                  <w:r>
                    <w:t xml:space="preserve">None</w:t>
                  </w:r>
                </w:p>
              </w:tc>
            </w:tr>
          </w:tbl>
          <w:p/>
        </w:tc>
      </w:tr>
    </w:tbl>
    <w:bookmarkStart w:id="92" w:name="Xf2eefb914940a0e0863d25e64537d25ca0000b2"/>
    <w:p>
      <w:pPr>
        <w:pStyle w:val="Heading2"/>
      </w:pPr>
      <w:r>
        <w:t xml:space="preserve">10.1 SM-1.1-A: Philosophical Lineage of Deep Uncertainty</w:t>
      </w:r>
    </w:p>
    <w:p>
      <w:pPr>
        <w:pStyle w:val="FirstParagraph"/>
      </w:pPr>
      <w:r>
        <w:t xml:space="preserve">The analytical stance of this framework, which treats deep uncertainty as a structural condition requiring a specific methodological response rather than a data deficiency to be overcome with better models, has a coherent intellectual genealogy. Tracing that genealogy is useful not for historical completeness but because it clarifies what the framework is claiming and what it is not.</w:t>
      </w:r>
    </w:p>
    <w:p>
      <w:pPr>
        <w:pStyle w:val="BodyText"/>
      </w:pPr>
      <w:r>
        <w:t xml:space="preserve">The foundational distinction belongs to Frank Knight, whose 1921 work Risk, Uncertainty and Profit drew a sharp line between risk, in which probabilities are assignable because the structure of the decision situation is known and stable, and uncertainty, in which the decision-maker cannot assign meaningful probabilities because the situation itself may be novel, evolving, or structurally ambiguous. Knight’s distinction was analytically inconvenient for subsequent economic theory, which generally treated all uncertainty as reducible to risk given sufficient information, and it was largely marginalised in formal decision theory for much of the twentieth century. It has returned with considerable force in the literature on complex infrastructure systems, where the conditions that make probability assignment defensible are routinely absent.</w:t>
      </w:r>
    </w:p>
    <w:p>
      <w:pPr>
        <w:pStyle w:val="BodyText"/>
      </w:pPr>
      <w:r>
        <w:t xml:space="preserve">The development of systems thinking in the mid-twentieth century added a second dimension. Norbert Wiener’s work on cybernetics and Jay Forrester’s development of system dynamics both emphasised that complex systems exhibit feedback, non-linearity, and emergent behaviour that make their future trajectories genuinely difficult to predict, not merely imprecisely estimated. The system is not a complicated mechanism with many parts whose behaviour adds up predictably; it is an interconnected set of feedback relationships whose dynamics can surprise even careful analysts. This insight matters for planning because it means that the difficulty of forecasting complex systems is not primarily a matter of insufficient data or computational power. It is a matter of fundamental structural indeterminacy.</w:t>
      </w:r>
    </w:p>
    <w:p>
      <w:pPr>
        <w:pStyle w:val="BodyText"/>
      </w:pPr>
      <w:r>
        <w:t xml:space="preserve">Herbert Simon’s concept of bounded rationality, introduced in Administrative Behavior (1947) and developed through subsequent decades, reoriented decision theory from the ideal of the fully-informed, perfectly-rational agent toward the reality of the agent who must act under cognitive limitations, time pressure, and imperfect information. Simon’s satisficing concept, the idea that decision-makers search for alternatives that are good enough rather than optimal, follows from bounded rationality and is directly relevant to the framework’s evaluative standards. The satisficing rate, one of the primary robustness metrics used in Module 6, is not a compromise on analytical rigour but an acknowledgement of a basic reality about how consequential decisions are actually made and evaluated.</w:t>
      </w:r>
    </w:p>
    <w:p>
      <w:pPr>
        <w:pStyle w:val="BodyText"/>
      </w:pPr>
      <w:r>
        <w:t xml:space="preserve">Rittel and Webber’s 1973 paper</w:t>
      </w:r>
      <w:r>
        <w:t xml:space="preserve"> </w:t>
      </w:r>
      <w:r>
        <w:t xml:space="preserve">“Dilemmas in a General Theory of Planning”</w:t>
      </w:r>
      <w:r>
        <w:t xml:space="preserve"> </w:t>
      </w:r>
      <w:r>
        <w:t xml:space="preserve">introduced the concept of wicked problems: design and planning problems that are ill-defined, that change in the process of being addressed, that have no definitive solution, and whose consequences cannot be fully foreseen. Wicked problems are not simply difficult problems; they are problems whose structure resists the kind of decomposition and formalisation that makes technical problem-solving tractable. The connection to the present framework is direct: the five-feature problem class identified in §1.1 has the characteristics of a wicked problem in Rittel and Webber’s sense. This does not mean it is analytically intractable. It means it requires a different kind of analytical environment, one organised around structured exploration rather than convergence to a solution.</w:t>
      </w:r>
    </w:p>
    <w:p>
      <w:pPr>
        <w:pStyle w:val="BodyText"/>
      </w:pPr>
      <w:r>
        <w:t xml:space="preserve">Karl Popper’s philosophy of science, and particularly his insistence on the provisional and corrigible character of all knowledge claims, provides the epistemological foundation for the framework’s commitment to traceability and revisability. A model is not a description of how the world is; it is a conjecture about how it works, held provisionally and always subject to refutation by evidence or by better-designed analysis. The framework’s governed artefact architecture, with its append-only backbone, explicit lineage, and validation gating, is the operational expression of this commitment: results are always traceable to the assumptions that produced them, and revision in light of better assumptions or better data is always possible without destroying what came before.</w:t>
      </w:r>
    </w:p>
    <w:p>
      <w:pPr>
        <w:pStyle w:val="BodyText"/>
      </w:pPr>
      <w:r>
        <w:t xml:space="preserve">The methodological response to deep uncertainty most directly relevant to the present framework is the Decision Making under Deep Uncertainty research programme. RDM, developed principally at RAND by Lempert, Popper, and Bankes, reoriented decision analysis away from identifying the optimal strategy under an assumed probability structure and toward identifying strategies that remain defensible across many plausible futures. The subsequent development of the DMDU community by Walker, Marchau, Kwakkel, and others extended this reorientation into practical methods including scenario discovery and Dynamic Adaptive Policy Pathways. Haasnoot and colleagues developed DAPP specifically for the adaptive management of long-horizon infrastructure under deep uncertainty, emphasising the role of monitoring and signposts in triggering pathway revisions.</w:t>
      </w:r>
    </w:p>
    <w:p>
      <w:pPr>
        <w:pStyle w:val="BodyText"/>
      </w:pPr>
      <w:r>
        <w:t xml:space="preserve">The epistemological position of the present framework is best described as post-positivist. It does not hold that models are neutral descriptions of a pre-given physical reality. It holds that models are analytical instruments designed for specific purposes, whose adequacy is measured by whether they serve those purposes credibly rather than by whether they perfectly reproduce the physical system. Under this view, the decision-first boundary principle is not a methodological convenience but a philosophical commitment: the model is designed for and evaluated by the decision it is meant to support, not by its fidelity to an independent physical truth.</w:t>
      </w:r>
    </w:p>
    <w:bookmarkEnd w:id="92"/>
    <w:bookmarkEnd w:id="93"/>
    <w:bookmarkStart w:id="95" w:name="sub-module-1.4-a"/>
    <w:p>
      <w:pPr>
        <w:pStyle w:val="Heading1"/>
      </w:pPr>
      <w:r>
        <w:t xml:space="preserve">11. Sub-Module 1.4-A</w:t>
      </w:r>
    </w:p>
    <w:p>
      <w:pPr>
        <w:pStyle w:val="FirstParagraph"/>
      </w:pPr>
      <w:r>
        <w:t xml:space="preserve">Decision Theory: Extended Technical Treatment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SM-1.4-A: Decision Theory, Extended Technical Treatment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§1.4</w:t>
                  </w:r>
                </w:p>
              </w:tc>
            </w:tr>
            <w:tr>
              <w:tc>
                <w:tcPr/>
                <w:p>
                  <w:pPr>
                    <w:pStyle w:val="Compact"/>
                  </w:pPr>
                  <w:r>
                    <w:rPr>
                      <w:b/>
                      <w:bCs/>
                    </w:rPr>
                    <w:t xml:space="preserve">Contributes</w:t>
                  </w:r>
                </w:p>
              </w:tc>
              <w:tc>
                <w:tcPr/>
                <w:p>
                  <w:pPr>
                    <w:pStyle w:val="Compact"/>
                  </w:pPr>
                  <w:r>
                    <w:t xml:space="preserve">Formal treatment of expected utility theory, classical decision rules, regret and robustness metrics, and value of information in a DMDU context</w:t>
                  </w:r>
                </w:p>
              </w:tc>
            </w:tr>
            <w:tr>
              <w:tc>
                <w:tcPr/>
                <w:p>
                  <w:pPr>
                    <w:pStyle w:val="Compact"/>
                  </w:pPr>
                  <w:r>
                    <w:rPr>
                      <w:b/>
                      <w:bCs/>
                    </w:rPr>
                    <w:t xml:space="preserve">Skip condition</w:t>
                  </w:r>
                </w:p>
              </w:tc>
              <w:tc>
                <w:tcPr/>
                <w:p>
                  <w:pPr>
                    <w:pStyle w:val="Compact"/>
                  </w:pPr>
                  <w:r>
                    <w:t xml:space="preserve">Skip if formal decision theory is already known; consult when the technical foundations of the evaluative standards in §1.5 are needed</w:t>
                  </w:r>
                </w:p>
              </w:tc>
            </w:tr>
            <w:tr>
              <w:tc>
                <w:tcPr/>
                <w:p>
                  <w:pPr>
                    <w:pStyle w:val="Compact"/>
                  </w:pPr>
                  <w:r>
                    <w:rPr>
                      <w:b/>
                      <w:bCs/>
                    </w:rPr>
                    <w:t xml:space="preserve">Passes to</w:t>
                  </w:r>
                </w:p>
              </w:tc>
              <w:tc>
                <w:tcPr/>
                <w:p>
                  <w:pPr>
                    <w:pStyle w:val="Compact"/>
                  </w:pPr>
                  <w:r>
                    <w:t xml:space="preserve">§1.5</w:t>
                  </w:r>
                </w:p>
              </w:tc>
            </w:tr>
            <w:tr>
              <w:tc>
                <w:tcPr/>
                <w:p>
                  <w:pPr>
                    <w:pStyle w:val="Compact"/>
                  </w:pPr>
                  <w:r>
                    <w:rPr>
                      <w:b/>
                      <w:bCs/>
                    </w:rPr>
                    <w:t xml:space="preserve">Sub-Modules here</w:t>
                  </w:r>
                </w:p>
              </w:tc>
              <w:tc>
                <w:tcPr/>
                <w:p>
                  <w:pPr>
                    <w:pStyle w:val="Compact"/>
                  </w:pPr>
                  <w:r>
                    <w:t xml:space="preserve">None</w:t>
                  </w:r>
                </w:p>
              </w:tc>
            </w:tr>
          </w:tbl>
          <w:p/>
        </w:tc>
      </w:tr>
    </w:tbl>
    <w:bookmarkStart w:id="94" w:name="X69635ae1c73923f9a6444193a28864d61fa98a8"/>
    <w:p>
      <w:pPr>
        <w:pStyle w:val="Heading2"/>
      </w:pPr>
      <w:r>
        <w:t xml:space="preserve">11.1 SM-1.4-A: Decision Theory, Extended Technical Treatment</w:t>
      </w:r>
    </w:p>
    <w:p>
      <w:pPr>
        <w:pStyle w:val="FirstParagraph"/>
      </w:pPr>
      <w:r>
        <w:t xml:space="preserve">Expected utility theory provides the dominant formal framework for decision under uncertainty in economics and in much of operations research. The foundational result, the von Neumann-Morgenstern theorem, establishes that if a decision-maker’s preferences over lotteries satisfy a small set of axioms, including completeness, transitivity, and the independence axiom, then those preferences can be represented by a utility function</w:t>
      </w:r>
      <w:r>
        <w:t xml:space="preserve"> </w:t>
      </w:r>
      <m:oMath>
        <m:r>
          <m:t>u</m:t>
        </m:r>
        <m:r>
          <m:rPr>
            <m:sty m:val="p"/>
          </m:rPr>
          <m:t>(</m:t>
        </m:r>
        <m:r>
          <m:rPr>
            <m:sty m:val="p"/>
          </m:rPr>
          <m:t>⋅</m:t>
        </m:r>
        <m:r>
          <m:rPr>
            <m:sty m:val="p"/>
          </m:rPr>
          <m:t>)</m:t>
        </m:r>
      </m:oMath>
      <w:r>
        <w:t xml:space="preserve"> </w:t>
      </w:r>
      <w:r>
        <w:t xml:space="preserve">such that the decision-maker prefers lottery</w:t>
      </w:r>
      <w:r>
        <w:t xml:space="preserve"> </w:t>
      </w:r>
      <m:oMath>
        <m:sSub>
          <m:e>
            <m:r>
              <m:t>L</m:t>
            </m:r>
          </m:e>
          <m:sub>
            <m:r>
              <m:t>1</m:t>
            </m:r>
          </m:sub>
        </m:sSub>
      </m:oMath>
      <w:r>
        <w:t xml:space="preserve"> </w:t>
      </w:r>
      <w:r>
        <w:t xml:space="preserve">to lottery</w:t>
      </w:r>
      <w:r>
        <w:t xml:space="preserve"> </w:t>
      </w:r>
      <m:oMath>
        <m:sSub>
          <m:e>
            <m:r>
              <m:t>L</m:t>
            </m:r>
          </m:e>
          <m:sub>
            <m:r>
              <m:t>2</m:t>
            </m:r>
          </m:sub>
        </m:sSub>
      </m:oMath>
      <w:r>
        <w:t xml:space="preserve"> </w:t>
      </w:r>
      <w:r>
        <w:t xml:space="preserve">if and only if the expected utility of</w:t>
      </w:r>
      <w:r>
        <w:t xml:space="preserve"> </w:t>
      </w:r>
      <m:oMath>
        <m:sSub>
          <m:e>
            <m:r>
              <m:t>L</m:t>
            </m:r>
          </m:e>
          <m:sub>
            <m:r>
              <m:t>1</m:t>
            </m:r>
          </m:sub>
        </m:sSub>
      </m:oMath>
      <w:r>
        <w:t xml:space="preserve"> </w:t>
      </w:r>
      <w:r>
        <w:t xml:space="preserve">exceeds that of</w:t>
      </w:r>
      <w:r>
        <w:t xml:space="preserve"> </w:t>
      </w:r>
      <m:oMath>
        <m:sSub>
          <m:e>
            <m:r>
              <m:t>L</m:t>
            </m:r>
          </m:e>
          <m:sub>
            <m:r>
              <m:t>2</m:t>
            </m:r>
          </m:sub>
        </m:sSub>
      </m:oMath>
      <w:r>
        <w:t xml:space="preserve">. The theorem is a representation result: it shows that rational preferences of a certain kind can be numerically represented, not that maximising expected utility is the only reasonable way to choose.</w:t>
      </w:r>
    </w:p>
    <w:p>
      <w:pPr>
        <w:pStyle w:val="BodyText"/>
      </w:pPr>
      <w:r>
        <w:t xml:space="preserve">Savage’s subjective expected utility extension allows the decision-maker to have personal probability beliefs over states of the world rather than requiring objective probabilities. Under Savage’s axioms, there exist both a subjective probability function</w:t>
      </w:r>
      <w:r>
        <w:t xml:space="preserve"> </w:t>
      </w:r>
      <m:oMath>
        <m:r>
          <m:t>π</m:t>
        </m:r>
      </m:oMath>
      <w:r>
        <w:t xml:space="preserve"> </w:t>
      </w:r>
      <w:r>
        <w:t xml:space="preserve">over states and a utility function</w:t>
      </w:r>
      <w:r>
        <w:t xml:space="preserve"> </w:t>
      </w:r>
      <m:oMath>
        <m:r>
          <m:t>u</m:t>
        </m:r>
      </m:oMath>
      <w:r>
        <w:t xml:space="preserve"> </w:t>
      </w:r>
      <w:r>
        <w:t xml:space="preserve">over outcomes such that the agent acts as if maximising the expectation</w:t>
      </w:r>
      <w:r>
        <w:t xml:space="preserve"> </w:t>
      </w:r>
      <m:oMath>
        <m:sSub>
          <m:e>
            <m:r>
              <m:rPr>
                <m:scr m:val="double-struck"/>
                <m:sty m:val="p"/>
              </m:rPr>
              <m:t>E</m:t>
            </m:r>
          </m:e>
          <m:sub>
            <m:r>
              <m:t>π</m:t>
            </m:r>
          </m:sub>
        </m:sSub>
        <m:r>
          <m:rPr>
            <m:sty m:val="p"/>
          </m:rPr>
          <m:t>[</m:t>
        </m:r>
        <m:r>
          <m:t>u</m:t>
        </m:r>
        <m:r>
          <m:rPr>
            <m:sty m:val="p"/>
          </m:rPr>
          <m:t>(</m:t>
        </m:r>
        <m:r>
          <m:t>Z</m:t>
        </m:r>
        <m:r>
          <m:rPr>
            <m:sty m:val="p"/>
          </m:rPr>
          <m:t>(</m:t>
        </m:r>
        <m:r>
          <m:t>a</m:t>
        </m:r>
        <m:r>
          <m:rPr>
            <m:sty m:val="p"/>
          </m:rPr>
          <m:t>,</m:t>
        </m:r>
        <m:r>
          <m:t>ω</m:t>
        </m:r>
        <m:r>
          <m:rPr>
            <m:sty m:val="p"/>
          </m:rPr>
          <m:t>)</m:t>
        </m:r>
        <m:r>
          <m:rPr>
            <m:sty m:val="p"/>
          </m:rPr>
          <m:t>)</m:t>
        </m:r>
        <m:r>
          <m:rPr>
            <m:sty m:val="p"/>
          </m:rPr>
          <m:t>]</m:t>
        </m:r>
      </m:oMath>
      <w:r>
        <w:t xml:space="preserve">. The elegance of this framework is considerable. Its limitation under deep uncertainty is equally considerable: Savage’s axioms include the sure-thing principle, which requires preference consistency across known and unknown states in ways that conflict with the behaviour observed in Ellsberg’s paradox and related experiments. When the structure of the decision situation is genuinely uncertain rather than merely statistically noisy, the axioms on which Savage’s framework rests may not be satisfied.</w:t>
      </w:r>
    </w:p>
    <w:p>
      <w:pPr>
        <w:pStyle w:val="BodyText"/>
      </w:pPr>
      <w:r>
        <w:t xml:space="preserve">The classical decision rules provide alternatives to expected utility for situations where probabilities are unavailable or unreliable. Maximin identifies the worst outcome for each alternative and selects the alternative whose worst case is best, representing extreme caution. Maximax identifies the best outcome for each alternative and selects the one with the highest possible upside, representing extreme optimism. The Hurwicz criterion interpolates between these by weighting best and worst outcomes by an optimism parameter</w:t>
      </w:r>
      <w:r>
        <w:t xml:space="preserve"> </w:t>
      </w:r>
      <m:oMath>
        <m:r>
          <m:t>α</m:t>
        </m:r>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r>
            <m:t>H</m:t>
          </m:r>
          <m:r>
            <m:rPr>
              <m:sty m:val="p"/>
            </m:rPr>
            <m:t>(</m:t>
          </m:r>
          <m:r>
            <m:t>a</m:t>
          </m:r>
          <m:r>
            <m:rPr>
              <m:sty m:val="p"/>
            </m:rPr>
            <m:t>)</m:t>
          </m:r>
          <m:r>
            <m:rPr>
              <m:sty m:val="p"/>
            </m:rPr>
            <m:t>=</m:t>
          </m:r>
          <m:r>
            <m:t>α</m:t>
          </m:r>
          <m:limLow>
            <m:e>
              <m:r>
                <m:rPr>
                  <m:sty m:val="p"/>
                </m:rPr>
                <m:t>max</m:t>
              </m:r>
            </m:e>
            <m:lim>
              <m:r>
                <m:t>ω</m:t>
              </m:r>
            </m:lim>
          </m:limLow>
          <m:r>
            <m:t>Z</m:t>
          </m:r>
          <m:r>
            <m:rPr>
              <m:sty m:val="p"/>
            </m:rPr>
            <m:t>(</m:t>
          </m:r>
          <m:r>
            <m:t>a</m:t>
          </m:r>
          <m:r>
            <m:rPr>
              <m:sty m:val="p"/>
            </m:rPr>
            <m:t>,</m:t>
          </m:r>
          <m:r>
            <m:t>ω</m:t>
          </m:r>
          <m:r>
            <m:rPr>
              <m:sty m:val="p"/>
            </m:rPr>
            <m:t>)</m:t>
          </m:r>
          <m:r>
            <m:rPr>
              <m:sty m:val="p"/>
            </m:rPr>
            <m:t>+</m:t>
          </m:r>
          <m:r>
            <m:rPr>
              <m:sty m:val="p"/>
            </m:rPr>
            <m:t>(</m:t>
          </m:r>
          <m:r>
            <m:t>1</m:t>
          </m:r>
          <m:r>
            <m:rPr>
              <m:sty m:val="p"/>
            </m:rPr>
            <m:t>−</m:t>
          </m:r>
          <m:r>
            <m:t>α</m:t>
          </m:r>
          <m:r>
            <m:rPr>
              <m:sty m:val="p"/>
            </m:rPr>
            <m:t>)</m:t>
          </m:r>
          <m:limLow>
            <m:e>
              <m:r>
                <m:rPr>
                  <m:sty m:val="p"/>
                </m:rPr>
                <m:t>min</m:t>
              </m:r>
            </m:e>
            <m:lim>
              <m:r>
                <m:t>ω</m:t>
              </m:r>
            </m:lim>
          </m:limLow>
          <m:r>
            <m:t>Z</m:t>
          </m:r>
          <m:r>
            <m:rPr>
              <m:sty m:val="p"/>
            </m:rPr>
            <m:t>(</m:t>
          </m:r>
          <m:r>
            <m:t>a</m:t>
          </m:r>
          <m:r>
            <m:rPr>
              <m:sty m:val="p"/>
            </m:rPr>
            <m:t>,</m:t>
          </m:r>
          <m:r>
            <m:t>ω</m:t>
          </m:r>
          <m:r>
            <m:rPr>
              <m:sty m:val="p"/>
            </m:rPr>
            <m:t>)</m:t>
          </m:r>
        </m:oMath>
      </m:oMathPara>
    </w:p>
    <w:p>
      <w:pPr>
        <w:pStyle w:val="FirstParagraph"/>
      </w:pPr>
      <w:r>
        <w:t xml:space="preserve">The Laplace criterion treats all futures as equally likely and selects the alternative with the highest average outcome.</w:t>
      </w:r>
    </w:p>
    <w:p>
      <w:pPr>
        <w:pStyle w:val="BodyText"/>
      </w:pPr>
      <w:r>
        <w:t xml:space="preserve">Minimax regret deserves extended treatment because it is the conceptual ancestor of the regret metrics used throughout this framework. Let</w:t>
      </w:r>
      <w:r>
        <w:t xml:space="preserve"> </w:t>
      </w:r>
      <m:oMath>
        <m:sSup>
          <m:e>
            <m:r>
              <m:t>Z</m:t>
            </m:r>
          </m:e>
          <m:sup>
            <m:r>
              <m:rPr>
                <m:sty m:val="p"/>
              </m:rPr>
              <m:t>*</m:t>
            </m:r>
          </m:sup>
        </m:sSup>
        <m:r>
          <m:rPr>
            <m:sty m:val="p"/>
          </m:rPr>
          <m:t>(</m:t>
        </m:r>
        <m:r>
          <m:t>ω</m:t>
        </m:r>
        <m:r>
          <m:rPr>
            <m:sty m:val="p"/>
          </m:rPr>
          <m:t>)</m:t>
        </m:r>
        <m:r>
          <m:rPr>
            <m:sty m:val="p"/>
          </m:rPr>
          <m:t>=</m:t>
        </m:r>
        <m:sSub>
          <m:e>
            <m:r>
              <m:rPr>
                <m:sty m:val="p"/>
              </m:rPr>
              <m:t>max</m:t>
            </m:r>
          </m:e>
          <m:sub>
            <m:sSup>
              <m:e>
                <m:r>
                  <m:t>a</m:t>
                </m:r>
              </m:e>
              <m:sup>
                <m:r>
                  <m:rPr>
                    <m:sty m:val="p"/>
                  </m:rPr>
                  <m:t>′</m:t>
                </m:r>
              </m:sup>
            </m:sSup>
          </m:sub>
        </m:sSub>
        <m:r>
          <m:t>Z</m:t>
        </m:r>
        <m:r>
          <m:rPr>
            <m:sty m:val="p"/>
          </m:rPr>
          <m:t>(</m:t>
        </m:r>
        <m:sSup>
          <m:e>
            <m:r>
              <m:t>a</m:t>
            </m:r>
          </m:e>
          <m:sup>
            <m:r>
              <m:rPr>
                <m:sty m:val="p"/>
              </m:rPr>
              <m:t>′</m:t>
            </m:r>
          </m:sup>
        </m:sSup>
        <m:r>
          <m:rPr>
            <m:sty m:val="p"/>
          </m:rPr>
          <m:t>,</m:t>
        </m:r>
        <m:r>
          <m:t>ω</m:t>
        </m:r>
        <m:r>
          <m:rPr>
            <m:sty m:val="p"/>
          </m:rPr>
          <m:t>)</m:t>
        </m:r>
      </m:oMath>
      <w:r>
        <w:t xml:space="preserve"> </w:t>
      </w:r>
      <w:r>
        <w:t xml:space="preserve">denote the best achievable outcome under future</w:t>
      </w:r>
      <w:r>
        <w:t xml:space="preserve"> </w:t>
      </w:r>
      <m:oMath>
        <m:r>
          <m:t>ω</m:t>
        </m:r>
      </m:oMath>
      <w:r>
        <w:t xml:space="preserve">. The regret of choosing alternative</w:t>
      </w:r>
      <w:r>
        <w:t xml:space="preserve"> </w:t>
      </w:r>
      <m:oMath>
        <m:r>
          <m:t>a</m:t>
        </m:r>
      </m:oMath>
      <w:r>
        <w:t xml:space="preserve"> </w:t>
      </w:r>
      <w:r>
        <w:t xml:space="preserve">under future</w:t>
      </w:r>
      <w:r>
        <w:t xml:space="preserve"> </w:t>
      </w:r>
      <m:oMath>
        <m:r>
          <m:t>ω</m:t>
        </m:r>
      </m:oMath>
      <w:r>
        <w:t xml:space="preserve"> </w:t>
      </w:r>
      <w:r>
        <w:t xml:space="preserve">is:</w:t>
      </w:r>
    </w:p>
    <w:p>
      <w:pPr>
        <w:pStyle w:val="BodyText"/>
      </w:pPr>
      <m:oMathPara>
        <m:oMathParaPr>
          <m:jc m:val="center"/>
        </m:oMathParaPr>
        <m:oMath>
          <m:r>
            <m:t>r</m:t>
          </m:r>
          <m:r>
            <m:rPr>
              <m:sty m:val="p"/>
            </m:rPr>
            <m:t>(</m:t>
          </m:r>
          <m:r>
            <m:t>a</m:t>
          </m:r>
          <m:r>
            <m:rPr>
              <m:sty m:val="p"/>
            </m:rPr>
            <m:t>,</m:t>
          </m:r>
          <m:r>
            <m:t>ω</m:t>
          </m:r>
          <m:r>
            <m:rPr>
              <m:sty m:val="p"/>
            </m:rPr>
            <m:t>)</m:t>
          </m:r>
          <m:r>
            <m:rPr>
              <m:sty m:val="p"/>
            </m:rPr>
            <m:t>=</m:t>
          </m:r>
          <m:sSup>
            <m:e>
              <m:r>
                <m:t>Z</m:t>
              </m:r>
            </m:e>
            <m:sup>
              <m:r>
                <m:rPr>
                  <m:sty m:val="p"/>
                </m:rPr>
                <m:t>*</m:t>
              </m:r>
            </m:sup>
          </m:sSup>
          <m:r>
            <m:rPr>
              <m:sty m:val="p"/>
            </m:rPr>
            <m:t>(</m:t>
          </m:r>
          <m:r>
            <m:t>ω</m:t>
          </m:r>
          <m:r>
            <m:rPr>
              <m:sty m:val="p"/>
            </m:rPr>
            <m:t>)</m:t>
          </m:r>
          <m:r>
            <m:rPr>
              <m:sty m:val="p"/>
            </m:rPr>
            <m:t>−</m:t>
          </m:r>
          <m:r>
            <m:t>Z</m:t>
          </m:r>
          <m:r>
            <m:rPr>
              <m:sty m:val="p"/>
            </m:rPr>
            <m:t>(</m:t>
          </m:r>
          <m:r>
            <m:t>a</m:t>
          </m:r>
          <m:r>
            <m:rPr>
              <m:sty m:val="p"/>
            </m:rPr>
            <m:t>,</m:t>
          </m:r>
          <m:r>
            <m:t>ω</m:t>
          </m:r>
          <m:r>
            <m:rPr>
              <m:sty m:val="p"/>
            </m:rPr>
            <m:t>)</m:t>
          </m:r>
        </m:oMath>
      </m:oMathPara>
    </w:p>
    <w:p>
      <w:pPr>
        <w:pStyle w:val="FirstParagraph"/>
      </w:pPr>
      <w:r>
        <w:t xml:space="preserve">Minimax regret selects the alternative</w:t>
      </w:r>
      <w:r>
        <w:t xml:space="preserve"> </w:t>
      </w:r>
      <m:oMath>
        <m:sSup>
          <m:e>
            <m:r>
              <m:t>a</m:t>
            </m:r>
          </m:e>
          <m:sup>
            <m:r>
              <m:rPr>
                <m:sty m:val="p"/>
              </m:rPr>
              <m:t>*</m:t>
            </m:r>
          </m:sup>
        </m:sSup>
      </m:oMath>
      <w:r>
        <w:t xml:space="preserve"> </w:t>
      </w:r>
      <w:r>
        <w:t xml:space="preserve">that minimises the maximum regret across all futures:</w:t>
      </w:r>
    </w:p>
    <w:p>
      <w:pPr>
        <w:pStyle w:val="BodyText"/>
      </w:pPr>
      <m:oMathPara>
        <m:oMathParaPr>
          <m:jc m:val="center"/>
        </m:oMathParaPr>
        <m:oMath>
          <m:sSup>
            <m:e>
              <m:r>
                <m:t>a</m:t>
              </m:r>
            </m:e>
            <m:sup>
              <m:r>
                <m:rPr>
                  <m:sty m:val="p"/>
                </m:rPr>
                <m:t>*</m:t>
              </m:r>
            </m:sup>
          </m:sSup>
          <m:r>
            <m:rPr>
              <m:sty m:val="p"/>
            </m:rPr>
            <m:t>=</m:t>
          </m:r>
          <m:r>
            <m:rPr>
              <m:sty m:val="p"/>
            </m:rPr>
            <m:t>arg</m:t>
          </m:r>
          <m:limLow>
            <m:e>
              <m:r>
                <m:rPr>
                  <m:sty m:val="p"/>
                </m:rPr>
                <m:t>min</m:t>
              </m:r>
            </m:e>
            <m:lim>
              <m:r>
                <m:t>a</m:t>
              </m:r>
              <m:r>
                <m:rPr>
                  <m:sty m:val="p"/>
                </m:rPr>
                <m:t>∈</m:t>
              </m:r>
              <m:r>
                <m:rPr>
                  <m:scr m:val="script"/>
                  <m:sty m:val="p"/>
                </m:rPr>
                <m:t>A</m:t>
              </m:r>
            </m:lim>
          </m:limLow>
          <m:limLow>
            <m:e>
              <m:r>
                <m:rPr>
                  <m:sty m:val="p"/>
                </m:rPr>
                <m:t>max</m:t>
              </m:r>
            </m:e>
            <m:lim>
              <m:r>
                <m:t>ω</m:t>
              </m:r>
              <m:r>
                <m:rPr>
                  <m:sty m:val="p"/>
                </m:rPr>
                <m:t>∈</m:t>
              </m:r>
              <m:r>
                <m:rPr>
                  <m:sty m:val="p"/>
                </m:rPr>
                <m:t>Ω</m:t>
              </m:r>
            </m:lim>
          </m:limLow>
          <m:r>
            <m:t>r</m:t>
          </m:r>
          <m:r>
            <m:rPr>
              <m:sty m:val="p"/>
            </m:rPr>
            <m:t>(</m:t>
          </m:r>
          <m:r>
            <m:t>a</m:t>
          </m:r>
          <m:r>
            <m:rPr>
              <m:sty m:val="p"/>
            </m:rPr>
            <m:t>,</m:t>
          </m:r>
          <m:r>
            <m:t>ω</m:t>
          </m:r>
          <m:r>
            <m:rPr>
              <m:sty m:val="p"/>
            </m:rPr>
            <m:t>)</m:t>
          </m:r>
        </m:oMath>
      </m:oMathPara>
    </w:p>
    <w:p>
      <w:pPr>
        <w:pStyle w:val="FirstParagraph"/>
      </w:pPr>
      <w:r>
        <w:t xml:space="preserve">This criterion has intuitive appeal for long-horizon decisions: it asks not which alternative has the highest possible payoff but which avoids the largest avoidable loss when the future becomes known.</w:t>
      </w:r>
    </w:p>
    <w:p>
      <w:pPr>
        <w:pStyle w:val="BodyText"/>
      </w:pPr>
      <w:r>
        <w:t xml:space="preserve">Robustness metrics formalise different aspects of how consistently an alternative performs across the future ensemble. The satisficing rate of alternative</w:t>
      </w:r>
      <w:r>
        <w:t xml:space="preserve"> </w:t>
      </w:r>
      <m:oMath>
        <m:r>
          <m:t>a</m:t>
        </m:r>
      </m:oMath>
      <w:r>
        <w:t xml:space="preserve"> </w:t>
      </w:r>
      <w:r>
        <w:t xml:space="preserve">at threshold</w:t>
      </w:r>
      <w:r>
        <w:t xml:space="preserve"> </w:t>
      </w:r>
      <m:oMath>
        <m:r>
          <m:t>θ</m:t>
        </m:r>
      </m:oMath>
      <w:r>
        <w:t xml:space="preserve"> </w:t>
      </w:r>
      <w:r>
        <w:t xml:space="preserve">is the fraction of futures in which the outcome meets or exceeds the threshold:</w:t>
      </w:r>
    </w:p>
    <w:p>
      <w:pPr>
        <w:pStyle w:val="BodyText"/>
      </w:pPr>
      <m:oMathPara>
        <m:oMathParaPr>
          <m:jc m:val="center"/>
        </m:oMathParaPr>
        <m:oMath>
          <m:r>
            <m:t>S</m:t>
          </m:r>
          <m:r>
            <m:rPr>
              <m:sty m:val="p"/>
            </m:rPr>
            <m:t>(</m:t>
          </m:r>
          <m:r>
            <m:t>a</m:t>
          </m:r>
          <m:r>
            <m:rPr>
              <m:sty m:val="p"/>
            </m:rPr>
            <m:t>,</m:t>
          </m:r>
          <m:r>
            <m:t>θ</m:t>
          </m:r>
          <m:r>
            <m:rPr>
              <m:sty m:val="p"/>
            </m:rPr>
            <m:t>)</m:t>
          </m:r>
          <m:r>
            <m:rPr>
              <m:sty m:val="p"/>
            </m:rPr>
            <m:t>=</m:t>
          </m:r>
          <m:f>
            <m:fPr>
              <m:type m:val="bar"/>
            </m:fPr>
            <m:num>
              <m:r>
                <m:rPr>
                  <m:sty m:val="p"/>
                </m:rPr>
                <m:t>|</m:t>
              </m:r>
              <m:r>
                <m:rPr>
                  <m:sty m:val="p"/>
                </m:rPr>
                <m:t>{</m:t>
              </m:r>
              <m:r>
                <m:t>ω</m:t>
              </m:r>
              <m:r>
                <m:rPr>
                  <m:sty m:val="p"/>
                </m:rPr>
                <m:t>∈</m:t>
              </m:r>
              <m:r>
                <m:rPr>
                  <m:sty m:val="p"/>
                </m:rPr>
                <m:t>Ω</m:t>
              </m:r>
              <m:r>
                <m:rPr>
                  <m:sty m:val="p"/>
                </m:rPr>
                <m:t>:</m:t>
              </m:r>
              <m:r>
                <m:t>Z</m:t>
              </m:r>
              <m:r>
                <m:rPr>
                  <m:sty m:val="p"/>
                </m:rPr>
                <m:t>(</m:t>
              </m:r>
              <m:r>
                <m:t>a</m:t>
              </m:r>
              <m:r>
                <m:rPr>
                  <m:sty m:val="p"/>
                </m:rPr>
                <m:t>,</m:t>
              </m:r>
              <m:r>
                <m:t>ω</m:t>
              </m:r>
              <m:r>
                <m:rPr>
                  <m:sty m:val="p"/>
                </m:rPr>
                <m:t>)</m:t>
              </m:r>
              <m:r>
                <m:rPr>
                  <m:sty m:val="p"/>
                </m:rPr>
                <m:t>≥</m:t>
              </m:r>
              <m:r>
                <m:t>θ</m:t>
              </m:r>
              <m:r>
                <m:rPr>
                  <m:sty m:val="p"/>
                </m:rPr>
                <m:t>}</m:t>
              </m:r>
              <m:r>
                <m:rPr>
                  <m:sty m:val="p"/>
                </m:rPr>
                <m:t>|</m:t>
              </m:r>
            </m:num>
            <m:den>
              <m:r>
                <m:rPr>
                  <m:sty m:val="p"/>
                </m:rPr>
                <m:t>|</m:t>
              </m:r>
              <m:r>
                <m:rPr>
                  <m:sty m:val="p"/>
                </m:rPr>
                <m:t>Ω</m:t>
              </m:r>
              <m:r>
                <m:rPr>
                  <m:sty m:val="p"/>
                </m:rPr>
                <m:t>|</m:t>
              </m:r>
            </m:den>
          </m:f>
        </m:oMath>
      </m:oMathPara>
    </w:p>
    <w:p>
      <w:pPr>
        <w:pStyle w:val="FirstParagraph"/>
      </w:pPr>
      <w:r>
        <w:t xml:space="preserve">The maximum regret of alternative</w:t>
      </w:r>
      <w:r>
        <w:t xml:space="preserve"> </w:t>
      </w:r>
      <m:oMath>
        <m:r>
          <m:t>a</m:t>
        </m:r>
      </m:oMath>
      <w:r>
        <w:t xml:space="preserve"> </w:t>
      </w:r>
      <w:r>
        <w:t xml:space="preserve">across the ensemble is</w:t>
      </w:r>
      <w:r>
        <w:t xml:space="preserve"> </w:t>
      </w:r>
      <m:oMath>
        <m:sSub>
          <m:e>
            <m:r>
              <m:rPr>
                <m:sty m:val="p"/>
              </m:rPr>
              <m:t>max</m:t>
            </m:r>
          </m:e>
          <m:sub>
            <m:r>
              <m:t>ω</m:t>
            </m:r>
            <m:r>
              <m:rPr>
                <m:sty m:val="p"/>
              </m:rPr>
              <m:t>∈</m:t>
            </m:r>
            <m:r>
              <m:rPr>
                <m:sty m:val="p"/>
              </m:rPr>
              <m:t>Ω</m:t>
            </m:r>
          </m:sub>
        </m:sSub>
        <m:r>
          <m:t>r</m:t>
        </m:r>
        <m:r>
          <m:rPr>
            <m:sty m:val="p"/>
          </m:rPr>
          <m:t>(</m:t>
        </m:r>
        <m:r>
          <m:t>a</m:t>
        </m:r>
        <m:r>
          <m:rPr>
            <m:sty m:val="p"/>
          </m:rPr>
          <m:t>,</m:t>
        </m:r>
        <m:r>
          <m:t>ω</m:t>
        </m:r>
        <m:r>
          <m:rPr>
            <m:sty m:val="p"/>
          </m:rPr>
          <m:t>)</m:t>
        </m:r>
      </m:oMath>
      <w:r>
        <w:t xml:space="preserve">. The P90 regret is the 90th percentile of the regret distribution across futures, providing a less extreme but more robust measure of tail exposure. These three metrics capture complementary dimensions of performance under uncertainty and are computed together in the DecisionSummaryArtefact for each pathway comparison.</w:t>
      </w:r>
    </w:p>
    <w:p>
      <w:pPr>
        <w:pStyle w:val="BodyText"/>
      </w:pPr>
      <w:r>
        <w:t xml:space="preserve">Value of information concepts bridge decision analysis and progressive refinement. The Expected Value of Perfect Information (EVPI) under a probability distribution</w:t>
      </w:r>
      <w:r>
        <w:t xml:space="preserve"> </w:t>
      </w:r>
      <m:oMath>
        <m:r>
          <m:t>π</m:t>
        </m:r>
      </m:oMath>
      <w:r>
        <w:t xml:space="preserve"> </w:t>
      </w:r>
      <w:r>
        <w:t xml:space="preserve">is:</w:t>
      </w:r>
    </w:p>
    <w:p>
      <w:pPr>
        <w:pStyle w:val="BodyText"/>
      </w:pPr>
      <m:oMathPara>
        <m:oMathParaPr>
          <m:jc m:val="center"/>
        </m:oMathParaPr>
        <m:oMath>
          <m:r>
            <m:rPr>
              <m:nor/>
              <m:sty m:val="p"/>
            </m:rPr>
            <m:t>EVPI</m:t>
          </m:r>
          <m:r>
            <m:rPr>
              <m:sty m:val="p"/>
            </m:rPr>
            <m:t>=</m:t>
          </m:r>
          <m:sSub>
            <m:e>
              <m:r>
                <m:rPr>
                  <m:scr m:val="double-struck"/>
                  <m:sty m:val="p"/>
                </m:rPr>
                <m:t>E</m:t>
              </m:r>
            </m:e>
            <m:sub>
              <m:r>
                <m:t>π</m:t>
              </m:r>
            </m:sub>
          </m:sSub>
          <m:r>
            <m:rPr>
              <m:sty m:val="p"/>
            </m:rPr>
            <m:t>[</m:t>
          </m:r>
          <m:limLow>
            <m:e>
              <m:r>
                <m:rPr>
                  <m:sty m:val="p"/>
                </m:rPr>
                <m:t>max</m:t>
              </m:r>
            </m:e>
            <m:lim>
              <m:r>
                <m:t>a</m:t>
              </m:r>
            </m:lim>
          </m:limLow>
          <m:r>
            <m:t>Z</m:t>
          </m:r>
          <m:r>
            <m:rPr>
              <m:sty m:val="p"/>
            </m:rPr>
            <m:t>(</m:t>
          </m:r>
          <m:r>
            <m:t>a</m:t>
          </m:r>
          <m:r>
            <m:rPr>
              <m:sty m:val="p"/>
            </m:rPr>
            <m:t>,</m:t>
          </m:r>
          <m:r>
            <m:t>ω</m:t>
          </m:r>
          <m:r>
            <m:rPr>
              <m:sty m:val="p"/>
            </m:rPr>
            <m:t>)</m:t>
          </m:r>
          <m:r>
            <m:rPr>
              <m:sty m:val="p"/>
            </m:rPr>
            <m:t>]</m:t>
          </m:r>
          <m:r>
            <m:rPr>
              <m:sty m:val="p"/>
            </m:rPr>
            <m:t>−</m:t>
          </m:r>
          <m:limLow>
            <m:e>
              <m:r>
                <m:rPr>
                  <m:sty m:val="p"/>
                </m:rPr>
                <m:t>max</m:t>
              </m:r>
            </m:e>
            <m:lim>
              <m:r>
                <m:t>a</m:t>
              </m:r>
            </m:lim>
          </m:limLow>
          <m:sSub>
            <m:e>
              <m:r>
                <m:rPr>
                  <m:scr m:val="double-struck"/>
                  <m:sty m:val="p"/>
                </m:rPr>
                <m:t>E</m:t>
              </m:r>
            </m:e>
            <m:sub>
              <m:r>
                <m:t>π</m:t>
              </m:r>
            </m:sub>
          </m:sSub>
          <m:r>
            <m:rPr>
              <m:sty m:val="p"/>
            </m:rPr>
            <m:t>[</m:t>
          </m:r>
          <m:r>
            <m:t>Z</m:t>
          </m:r>
          <m:r>
            <m:rPr>
              <m:sty m:val="p"/>
            </m:rPr>
            <m:t>(</m:t>
          </m:r>
          <m:r>
            <m:t>a</m:t>
          </m:r>
          <m:r>
            <m:rPr>
              <m:sty m:val="p"/>
            </m:rPr>
            <m:t>,</m:t>
          </m:r>
          <m:r>
            <m:t>ω</m:t>
          </m:r>
          <m:r>
            <m:rPr>
              <m:sty m:val="p"/>
            </m:rPr>
            <m:t>)</m:t>
          </m:r>
          <m:r>
            <m:rPr>
              <m:sty m:val="p"/>
            </m:rPr>
            <m:t>]</m:t>
          </m:r>
        </m:oMath>
      </m:oMathPara>
    </w:p>
    <w:p>
      <w:pPr>
        <w:pStyle w:val="FirstParagraph"/>
      </w:pPr>
      <w:r>
        <w:t xml:space="preserve">It measures the maximum one would pay for a perfect oracle. In the DMDU context, where</w:t>
      </w:r>
      <w:r>
        <w:t xml:space="preserve"> </w:t>
      </w:r>
      <m:oMath>
        <m:r>
          <m:t>π</m:t>
        </m:r>
      </m:oMath>
      <w:r>
        <w:t xml:space="preserve"> </w:t>
      </w:r>
      <w:r>
        <w:t xml:space="preserve">is contested, EVPI is replaced by the regret-sensitivity equivalent: how much does the maximum regret of the preferred alternative change if uncertainty about a specific uncertain driver is resolved? This measure, computed by re-running the ensemble with specific driver dimensions held fixed, identifies which uncertainties most determine the pathway comparison and therefore which analytical investments in better data or richer representation are most valuable.</w:t>
      </w:r>
    </w:p>
    <w:p>
      <w:pPr>
        <w:pStyle w:val="BodyText"/>
      </w:pPr>
      <w:r>
        <w:t xml:space="preserve">Multi-criteria formulations extend the single-outcome framework to settings where multiple dimensions of consequence must be considered. The scalarisation approach converts multiple criteria</w:t>
      </w:r>
      <w:r>
        <w:t xml:space="preserve"> </w:t>
      </w:r>
      <m:oMath>
        <m:sSub>
          <m:e>
            <m:r>
              <m:t>Z</m:t>
            </m:r>
          </m:e>
          <m:sub>
            <m:r>
              <m:t>1</m:t>
            </m:r>
          </m:sub>
        </m:sSub>
        <m:r>
          <m:rPr>
            <m:sty m:val="p"/>
          </m:rPr>
          <m:t>(</m:t>
        </m:r>
        <m:r>
          <m:t>a</m:t>
        </m:r>
        <m:r>
          <m:rPr>
            <m:sty m:val="p"/>
          </m:rPr>
          <m:t>,</m:t>
        </m:r>
        <m:r>
          <m:t>ω</m:t>
        </m:r>
        <m:r>
          <m:rPr>
            <m:sty m:val="p"/>
          </m:rPr>
          <m:t>)</m:t>
        </m:r>
        <m:r>
          <m:rPr>
            <m:sty m:val="p"/>
          </m:rPr>
          <m:t>,</m:t>
        </m:r>
        <m:r>
          <m:rPr>
            <m:sty m:val="p"/>
          </m:rPr>
          <m:t>…</m:t>
        </m:r>
        <m:r>
          <m:rPr>
            <m:sty m:val="p"/>
          </m:rPr>
          <m:t>,</m:t>
        </m:r>
        <m:sSub>
          <m:e>
            <m:r>
              <m:t>Z</m:t>
            </m:r>
          </m:e>
          <m:sub>
            <m:r>
              <m:t>k</m:t>
            </m:r>
          </m:sub>
        </m:sSub>
        <m:r>
          <m:rPr>
            <m:sty m:val="p"/>
          </m:rPr>
          <m:t>(</m:t>
        </m:r>
        <m:r>
          <m:t>a</m:t>
        </m:r>
        <m:r>
          <m:rPr>
            <m:sty m:val="p"/>
          </m:rPr>
          <m:t>,</m:t>
        </m:r>
        <m:r>
          <m:t>ω</m:t>
        </m:r>
        <m:r>
          <m:rPr>
            <m:sty m:val="p"/>
          </m:rPr>
          <m:t>)</m:t>
        </m:r>
      </m:oMath>
      <w:r>
        <w:t xml:space="preserve"> </w:t>
      </w:r>
      <w:r>
        <w:t xml:space="preserve">into a weighted composite</w:t>
      </w:r>
      <w:r>
        <w:t xml:space="preserve"> </w:t>
      </w:r>
      <m:oMath>
        <m:nary>
          <m:naryPr>
            <m:chr m:val="∑"/>
            <m:limLoc m:val="undOvr"/>
            <m:subHide m:val="off"/>
            <m:supHide m:val="on"/>
          </m:naryPr>
          <m:sub>
            <m:r>
              <m:t>i</m:t>
            </m:r>
          </m:sub>
          <m:sup>
            <m:r>
              <m:t>​</m:t>
            </m:r>
          </m:sup>
          <m:e>
            <m:sSub>
              <m:e>
                <m:r>
                  <m:t>w</m:t>
                </m:r>
              </m:e>
              <m:sub>
                <m:r>
                  <m:t>i</m:t>
                </m:r>
              </m:sub>
            </m:sSub>
          </m:e>
        </m:nary>
        <m:sSub>
          <m:e>
            <m:r>
              <m:t>Z</m:t>
            </m:r>
          </m:e>
          <m:sub>
            <m:r>
              <m:t>i</m:t>
            </m:r>
          </m:sub>
        </m:sSub>
        <m:r>
          <m:rPr>
            <m:sty m:val="p"/>
          </m:rPr>
          <m:t>(</m:t>
        </m:r>
        <m:r>
          <m:t>a</m:t>
        </m:r>
        <m:r>
          <m:rPr>
            <m:sty m:val="p"/>
          </m:rPr>
          <m:t>,</m:t>
        </m:r>
        <m:r>
          <m:t>ω</m:t>
        </m:r>
        <m:r>
          <m:rPr>
            <m:sty m:val="p"/>
          </m:rPr>
          <m:t>)</m:t>
        </m:r>
      </m:oMath>
      <w:r>
        <w:t xml:space="preserve">. This is tractable but depends on the weights being meaningful and widely accepted. Pareto reasoning identifies the set of non-dominated alternatives, those for which no other alternative is strictly better on every criterion simultaneously. The Pareto approach preserves trade-off information rather than suppressing it, but it requires a second-stage rule for choosing among the non-dominated set. Threshold-based multi-criteria comparison asks which alternatives simultaneously satisfy threshold conditions across all criteria and across a sufficient fraction of the future ensemble, aligning naturally with satisficing and robustness reasoning under deep uncertainty.</w:t>
      </w:r>
    </w:p>
    <w:bookmarkEnd w:id="94"/>
    <w:bookmarkEnd w:id="95"/>
    <w:bookmarkStart w:id="97" w:name="sub-module-1.7-a"/>
    <w:p>
      <w:pPr>
        <w:pStyle w:val="Heading1"/>
      </w:pPr>
      <w:r>
        <w:t xml:space="preserve">12. Sub-Module 1.7-A</w:t>
      </w:r>
    </w:p>
    <w:p>
      <w:pPr>
        <w:pStyle w:val="FirstParagraph"/>
      </w:pPr>
      <w:r>
        <w:t xml:space="preserve">Requirements-to-Architecture Mapping Table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SM-1.7-A: Requirements-to-Architecture Mapping Table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§1.7</w:t>
                  </w:r>
                </w:p>
              </w:tc>
            </w:tr>
            <w:tr>
              <w:tc>
                <w:tcPr/>
                <w:p>
                  <w:pPr>
                    <w:pStyle w:val="Compact"/>
                  </w:pPr>
                  <w:r>
                    <w:rPr>
                      <w:b/>
                      <w:bCs/>
                    </w:rPr>
                    <w:t xml:space="preserve">Contributes</w:t>
                  </w:r>
                </w:p>
              </w:tc>
              <w:tc>
                <w:tcPr/>
                <w:p>
                  <w:pPr>
                    <w:pStyle w:val="Compact"/>
                  </w:pPr>
                  <w:r>
                    <w:t xml:space="preserve">Extended mapping table connecting each requirement to the decision-first principle, the architectural mechanism that satisfies it, and its specific implementation in the proof of concept</w:t>
                  </w:r>
                </w:p>
              </w:tc>
            </w:tr>
            <w:tr>
              <w:tc>
                <w:tcPr/>
                <w:p>
                  <w:pPr>
                    <w:pStyle w:val="Compact"/>
                  </w:pPr>
                  <w:r>
                    <w:rPr>
                      <w:b/>
                      <w:bCs/>
                    </w:rPr>
                    <w:t xml:space="preserve">Skip condition</w:t>
                  </w:r>
                </w:p>
              </w:tc>
              <w:tc>
                <w:tcPr/>
                <w:p>
                  <w:pPr>
                    <w:pStyle w:val="Compact"/>
                  </w:pPr>
                  <w:r>
                    <w:t xml:space="preserve">Skip for conceptual reading; process in full when assessing whether a specific implementation satisfies the requirements</w:t>
                  </w:r>
                </w:p>
              </w:tc>
            </w:tr>
            <w:tr>
              <w:tc>
                <w:tcPr/>
                <w:p>
                  <w:pPr>
                    <w:pStyle w:val="Compact"/>
                  </w:pPr>
                  <w:r>
                    <w:rPr>
                      <w:b/>
                      <w:bCs/>
                    </w:rPr>
                    <w:t xml:space="preserve">Passes to</w:t>
                  </w:r>
                </w:p>
              </w:tc>
              <w:tc>
                <w:tcPr/>
                <w:p>
                  <w:pPr>
                    <w:pStyle w:val="Compact"/>
                  </w:pPr>
                  <w:r>
                    <w:t xml:space="preserve">Module 3, Module 6</w:t>
                  </w:r>
                </w:p>
              </w:tc>
            </w:tr>
            <w:tr>
              <w:tc>
                <w:tcPr/>
                <w:p>
                  <w:pPr>
                    <w:pStyle w:val="Compact"/>
                  </w:pPr>
                  <w:r>
                    <w:rPr>
                      <w:b/>
                      <w:bCs/>
                    </w:rPr>
                    <w:t xml:space="preserve">Sub-Modules here</w:t>
                  </w:r>
                </w:p>
              </w:tc>
              <w:tc>
                <w:tcPr/>
                <w:p>
                  <w:pPr>
                    <w:pStyle w:val="Compact"/>
                  </w:pPr>
                  <w:r>
                    <w:t xml:space="preserve">None</w:t>
                  </w:r>
                </w:p>
              </w:tc>
            </w:tr>
          </w:tbl>
          <w:p/>
        </w:tc>
      </w:tr>
    </w:tbl>
    <w:bookmarkStart w:id="96" w:name="X62e5ca817b5c2a1ea5ab7d0bbc6537e54d0f226"/>
    <w:p>
      <w:pPr>
        <w:pStyle w:val="Heading2"/>
      </w:pPr>
      <w:r>
        <w:t xml:space="preserve">12.1 SM-1.7-A: Requirements-to-Architecture Mapping Table</w:t>
      </w:r>
    </w:p>
    <w:p>
      <w:pPr>
        <w:pStyle w:val="FirstParagraph"/>
      </w:pPr>
      <w:r>
        <w:t xml:space="preserve">The seven requirements of §1.7 connect the conceptual foundations of Module 1 to the architectural specifications of Module 3 and the proof-of-concept implementation of Module 6. The following extended table maps each requirement across four dimensions: its derivation from the decision-first boundary principle, the architectural mechanism that satisfies it, the specific component of Module 3 where that mechanism is specified, and the proof-of-concept implementation that demonstrates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Why it follows from the decision-first principle</w:t>
            </w:r>
          </w:p>
        </w:tc>
        <w:tc>
          <w:tcPr/>
          <w:p>
            <w:pPr>
              <w:pStyle w:val="Compact"/>
            </w:pPr>
            <w:r>
              <w:t xml:space="preserve">Architectural mechanism</w:t>
            </w:r>
          </w:p>
        </w:tc>
        <w:tc>
          <w:tcPr/>
          <w:p>
            <w:pPr>
              <w:pStyle w:val="Compact"/>
            </w:pPr>
            <w:r>
              <w:t xml:space="preserve">Specified in</w:t>
            </w:r>
          </w:p>
        </w:tc>
        <w:tc>
          <w:tcPr/>
          <w:p>
            <w:pPr>
              <w:pStyle w:val="Compact"/>
            </w:pPr>
            <w:r>
              <w:t xml:space="preserve">PoC implementation</w:t>
            </w:r>
          </w:p>
        </w:tc>
      </w:tr>
      <w:tr>
        <w:tc>
          <w:tcPr/>
          <w:p>
            <w:pPr>
              <w:pStyle w:val="Compact"/>
            </w:pPr>
            <w:r>
              <w:t xml:space="preserve">1. Explicitness of alternatives</w:t>
            </w:r>
          </w:p>
        </w:tc>
        <w:tc>
          <w:tcPr/>
          <w:p>
            <w:pPr>
              <w:pStyle w:val="Compact"/>
            </w:pPr>
            <w:r>
              <w:t xml:space="preserve">Boundaries drawn by the decision must include the alternatives being decided between as first-class objects, not derived from interior model variables</w:t>
            </w:r>
          </w:p>
        </w:tc>
        <w:tc>
          <w:tcPr/>
          <w:p>
            <w:pPr>
              <w:pStyle w:val="Compact"/>
            </w:pPr>
            <w:r>
              <w:t xml:space="preserve">Pathway variant identifiers in SiteConfigArtefact; each alternative is a separately stored and retrievable entity in the backbone</w:t>
            </w:r>
          </w:p>
        </w:tc>
        <w:tc>
          <w:tcPr/>
          <w:p>
            <w:pPr>
              <w:pStyle w:val="Compact"/>
            </w:pPr>
            <w:r>
              <w:t xml:space="preserve">§3.2, §3.5</w:t>
            </w:r>
          </w:p>
        </w:tc>
        <w:tc>
          <w:tcPr/>
          <w:p>
            <w:pPr>
              <w:pStyle w:val="Compact"/>
            </w:pPr>
            <w:r>
              <w:t xml:space="preserve">2035_EB and 2035_BB pathway configurations; each stores a distinct SiteConfigArtefact</w:t>
            </w:r>
          </w:p>
        </w:tc>
      </w:tr>
      <w:tr>
        <w:tc>
          <w:tcPr/>
          <w:p>
            <w:pPr>
              <w:pStyle w:val="Compact"/>
            </w:pPr>
            <w:r>
              <w:t xml:space="preserve">2. Explicitness of futures</w:t>
            </w:r>
          </w:p>
        </w:tc>
        <w:tc>
          <w:tcPr/>
          <w:p>
            <w:pPr>
              <w:pStyle w:val="Compact"/>
            </w:pPr>
            <w:r>
              <w:t xml:space="preserve">The future conditions that determine which consequences must remain visible must themselves be explicit and governed</w:t>
            </w:r>
          </w:p>
        </w:tc>
        <w:tc>
          <w:tcPr/>
          <w:p>
            <w:pPr>
              <w:pStyle w:val="Compact"/>
            </w:pPr>
            <w:r>
              <w:t xml:space="preserve">FutureArtefact schema with declared uncertain driver fields; paired-futures contract enforcement</w:t>
            </w:r>
          </w:p>
        </w:tc>
        <w:tc>
          <w:tcPr/>
          <w:p>
            <w:pPr>
              <w:pStyle w:val="Compact"/>
            </w:pPr>
            <w:r>
              <w:t xml:space="preserve">§3.5, §3.6</w:t>
            </w:r>
          </w:p>
        </w:tc>
        <w:tc>
          <w:tcPr/>
          <w:p>
            <w:pPr>
              <w:pStyle w:val="Compact"/>
            </w:pPr>
            <w:r>
              <w:t xml:space="preserve">futures.csv with five uncertain driver dimensions; paired contract verified before overlay computation</w:t>
            </w:r>
          </w:p>
        </w:tc>
      </w:tr>
      <w:tr>
        <w:tc>
          <w:tcPr/>
          <w:p>
            <w:pPr>
              <w:pStyle w:val="Compact"/>
            </w:pPr>
            <w:r>
              <w:t xml:space="preserve">3. Decision-relevant outcomes</w:t>
            </w:r>
          </w:p>
        </w:tc>
        <w:tc>
          <w:tcPr/>
          <w:p>
            <w:pPr>
              <w:pStyle w:val="Compact"/>
            </w:pPr>
            <w:r>
              <w:t xml:space="preserve">The boundary of the analysis must encompass the consequences that matter to the decision, and the outputs must be expressed in those terms</w:t>
            </w:r>
          </w:p>
        </w:tc>
        <w:tc>
          <w:tcPr/>
          <w:p>
            <w:pPr>
              <w:pStyle w:val="Compact"/>
            </w:pPr>
            <w:r>
              <w:t xml:space="preserve">ResultArtefact and DecisionSummaryArtefact carrying cost decompositions, emissions, adequacy, regret, and satisficing metrics</w:t>
            </w:r>
          </w:p>
        </w:tc>
        <w:tc>
          <w:tcPr/>
          <w:p>
            <w:pPr>
              <w:pStyle w:val="Compact"/>
            </w:pPr>
            <w:r>
              <w:t xml:space="preserve">§3.5</w:t>
            </w:r>
          </w:p>
        </w:tc>
        <w:tc>
          <w:tcPr/>
          <w:p>
            <w:pPr>
              <w:pStyle w:val="Compact"/>
            </w:pPr>
            <w:r>
              <w:t xml:space="preserve">site_dispatch summary CSVs; rdm_compare; site_decision_robustness_summary</w:t>
            </w:r>
          </w:p>
        </w:tc>
      </w:tr>
      <w:tr>
        <w:tc>
          <w:tcPr/>
          <w:p>
            <w:pPr>
              <w:pStyle w:val="Compact"/>
            </w:pPr>
            <w:r>
              <w:t xml:space="preserve">4. Visibility of constraints and boundaries</w:t>
            </w:r>
          </w:p>
        </w:tc>
        <w:tc>
          <w:tcPr/>
          <w:p>
            <w:pPr>
              <w:pStyle w:val="Compact"/>
            </w:pPr>
            <w:r>
              <w:t xml:space="preserve">Declaring boundaries explicitly is the operational form of the decision-first principle</w:t>
            </w:r>
          </w:p>
        </w:tc>
        <w:tc>
          <w:tcPr/>
          <w:p>
            <w:pPr>
              <w:pStyle w:val="Compact"/>
            </w:pPr>
            <w:r>
              <w:t xml:space="preserve">Module interface declarations; module scope fields in artefact metadata</w:t>
            </w:r>
          </w:p>
        </w:tc>
        <w:tc>
          <w:tcPr/>
          <w:p>
            <w:pPr>
              <w:pStyle w:val="Compact"/>
            </w:pPr>
            <w:r>
              <w:t xml:space="preserve">§3.2, §3.4</w:t>
            </w:r>
          </w:p>
        </w:tc>
        <w:tc>
          <w:tcPr/>
          <w:p>
            <w:pPr>
              <w:pStyle w:val="Compact"/>
            </w:pPr>
            <w:r>
              <w:t xml:space="preserve">One-pass coupling architecture declared; site boundary and regional boundary both specified in documentation</w:t>
            </w:r>
          </w:p>
        </w:tc>
      </w:tr>
      <w:tr>
        <w:tc>
          <w:tcPr/>
          <w:p>
            <w:pPr>
              <w:pStyle w:val="Compact"/>
            </w:pPr>
            <w:r>
              <w:t xml:space="preserve">5. Comparability</w:t>
            </w:r>
          </w:p>
        </w:tc>
        <w:tc>
          <w:tcPr/>
          <w:p>
            <w:pPr>
              <w:pStyle w:val="Compact"/>
            </w:pPr>
            <w:r>
              <w:t xml:space="preserve">Shared futures and consistent measurement are preconditions for the regret and robustness computations on which the comparison rests</w:t>
            </w:r>
          </w:p>
        </w:tc>
        <w:tc>
          <w:tcPr/>
          <w:p>
            <w:pPr>
              <w:pStyle w:val="Compact"/>
            </w:pPr>
            <w:r>
              <w:t xml:space="preserve">Paired-futures design; schema versioning; SHA256 hash integrity ensuring artefact integrity across runs</w:t>
            </w:r>
          </w:p>
        </w:tc>
        <w:tc>
          <w:tcPr/>
          <w:p>
            <w:pPr>
              <w:pStyle w:val="Compact"/>
            </w:pPr>
            <w:r>
              <w:t xml:space="preserve">§3.4, §3.6, §3.7</w:t>
            </w:r>
          </w:p>
        </w:tc>
        <w:tc>
          <w:tcPr/>
          <w:p>
            <w:pPr>
              <w:pStyle w:val="Compact"/>
            </w:pPr>
            <w:r>
              <w:t xml:space="preserve">Identical futures.csv used for EB and BB; hash verification on all SignalsPack outputs</w:t>
            </w:r>
          </w:p>
        </w:tc>
      </w:tr>
      <w:tr>
        <w:tc>
          <w:tcPr/>
          <w:p>
            <w:pPr>
              <w:pStyle w:val="Compact"/>
            </w:pPr>
            <w:r>
              <w:t xml:space="preserve">6. Traceability</w:t>
            </w:r>
          </w:p>
        </w:tc>
        <w:tc>
          <w:tcPr/>
          <w:p>
            <w:pPr>
              <w:pStyle w:val="Compact"/>
            </w:pPr>
            <w:r>
              <w:t xml:space="preserve">Progressive refinement requires that improvements can be made without destroying the analytical history against which they are evaluated</w:t>
            </w:r>
          </w:p>
        </w:tc>
        <w:tc>
          <w:tcPr/>
          <w:p>
            <w:pPr>
              <w:pStyle w:val="Compact"/>
            </w:pPr>
            <w:r>
              <w:t xml:space="preserve">Append-only backbone; lineage table; run registry; supersession references in artefact lifecycle</w:t>
            </w:r>
          </w:p>
        </w:tc>
        <w:tc>
          <w:tcPr/>
          <w:p>
            <w:pPr>
              <w:pStyle w:val="Compact"/>
            </w:pPr>
            <w:r>
              <w:t xml:space="preserve">§3.7</w:t>
            </w:r>
          </w:p>
        </w:tc>
        <w:tc>
          <w:tcPr/>
          <w:p>
            <w:pPr>
              <w:pStyle w:val="Compact"/>
            </w:pPr>
            <w:r>
              <w:t xml:space="preserve">Run-bundle folder structure; SHA256 hashes in provenance reports; lineage records connecting all pipeline artefacts</w:t>
            </w:r>
          </w:p>
        </w:tc>
      </w:tr>
      <w:tr>
        <w:tc>
          <w:tcPr/>
          <w:p>
            <w:pPr>
              <w:pStyle w:val="Compact"/>
            </w:pPr>
            <w:r>
              <w:t xml:space="preserve">7. Targeted refinement</w:t>
            </w:r>
          </w:p>
        </w:tc>
        <w:tc>
          <w:tcPr/>
          <w:p>
            <w:pPr>
              <w:pStyle w:val="Compact"/>
            </w:pPr>
            <w:r>
              <w:t xml:space="preserve">The framework develops toward decision-relevant parameters; the diagnostics must identify which parameters those are</w:t>
            </w:r>
          </w:p>
        </w:tc>
        <w:tc>
          <w:tcPr/>
          <w:p>
            <w:pPr>
              <w:pStyle w:val="Compact"/>
            </w:pPr>
            <w:r>
              <w:t xml:space="preserve">Regret sensitivity diagnostics; PRIM-based scenario discovery; confidence scoring in surrogate artefacts</w:t>
            </w:r>
          </w:p>
        </w:tc>
        <w:tc>
          <w:tcPr/>
          <w:p>
            <w:pPr>
              <w:pStyle w:val="Compact"/>
            </w:pPr>
            <w:r>
              <w:t xml:space="preserve">§3.8, SM-2.3-A, SM-2.4-A</w:t>
            </w:r>
          </w:p>
        </w:tc>
        <w:tc>
          <w:tcPr/>
          <w:p>
            <w:pPr>
              <w:pStyle w:val="Compact"/>
            </w:pPr>
            <w:r>
              <w:t xml:space="preserve">Grid RDM results identify headroom multiplier as primary driver of pathway preference reversal; overlay isolates site-cost vs grid-side drivers</w:t>
            </w:r>
          </w:p>
        </w:tc>
      </w:tr>
    </w:tbl>
    <w:p>
      <w:pPr>
        <w:pStyle w:val="BodyText"/>
      </w:pPr>
      <w:r>
        <w:t xml:space="preserve">The table makes explicit a property of the requirements that §1.7 states but does not elaborate: they are not independent. Requirements 1 and 2 specify what must exist in the analytical environment (alternatives and futures as explicit objects). Requirements 3 and 4 specify what must be visible (decision-relevant outcomes and declared boundaries). Requirements 5 and 6 specify how the environment must preserve consistency and history. Requirement 7 specifies the developmental logic that makes the environment self-improving. The architecture satisfies all seven because they were the specification from which the architecture was designed.</w:t>
      </w:r>
    </w:p>
    <w:bookmarkEnd w:id="96"/>
    <w:bookmarkEnd w:id="97"/>
    <w:bookmarkStart w:id="105" w:name="sub-module-1.2-a"/>
    <w:p>
      <w:pPr>
        <w:pStyle w:val="Heading1"/>
      </w:pPr>
      <w:r>
        <w:t xml:space="preserve">13. Sub-Module 1.2-A</w:t>
      </w:r>
    </w:p>
    <w:p>
      <w:pPr>
        <w:pStyle w:val="FirstParagraph"/>
      </w:pPr>
      <w:r>
        <w:t xml:space="preserve">Mathematical Foundations and Formal Notation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SM-1.2-A: Mathematical Foundations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r>
                    <w:t xml:space="preserve"> </w:t>
                  </w:r>
                  <w:r>
                    <w:rPr>
                      <w:rStyle w:val="VerbatimChar"/>
                    </w:rPr>
                    <w:t xml:space="preserve">[Educational]</w:t>
                  </w:r>
                </w:p>
              </w:tc>
            </w:tr>
            <w:tr>
              <w:tc>
                <w:tcPr/>
                <w:p>
                  <w:pPr>
                    <w:pStyle w:val="Compact"/>
                  </w:pPr>
                  <w:r>
                    <w:rPr>
                      <w:b/>
                      <w:bCs/>
                    </w:rPr>
                    <w:t xml:space="preserve">Assumes</w:t>
                  </w:r>
                </w:p>
              </w:tc>
              <w:tc>
                <w:tcPr/>
                <w:p>
                  <w:pPr>
                    <w:pStyle w:val="Compact"/>
                  </w:pPr>
                  <w:r>
                    <w:t xml:space="preserve">§1.3 (Deep uncertainty), §1.5 (Regret, robustness, satisficing)</w:t>
                  </w:r>
                </w:p>
              </w:tc>
            </w:tr>
            <w:tr>
              <w:tc>
                <w:tcPr/>
                <w:p>
                  <w:pPr>
                    <w:pStyle w:val="Compact"/>
                  </w:pPr>
                  <w:r>
                    <w:rPr>
                      <w:b/>
                      <w:bCs/>
                    </w:rPr>
                    <w:t xml:space="preserve">Contributes</w:t>
                  </w:r>
                </w:p>
              </w:tc>
              <w:tc>
                <w:tcPr/>
                <w:p>
                  <w:pPr>
                    <w:pStyle w:val="Compact"/>
                  </w:pPr>
                  <w:r>
                    <w:t xml:space="preserve">Formal specification of all symbols, indices, and mathematical definitions used throughout the manuscript, enabling rigorous engagement with the framework’s analytical claims</w:t>
                  </w:r>
                </w:p>
              </w:tc>
            </w:tr>
            <w:tr>
              <w:tc>
                <w:tcPr/>
                <w:p>
                  <w:pPr>
                    <w:pStyle w:val="Compact"/>
                  </w:pPr>
                  <w:r>
                    <w:rPr>
                      <w:b/>
                      <w:bCs/>
                    </w:rPr>
                    <w:t xml:space="preserve">Skip condition</w:t>
                  </w:r>
                </w:p>
              </w:tc>
              <w:tc>
                <w:tcPr/>
                <w:p>
                  <w:pPr>
                    <w:pStyle w:val="Compact"/>
                  </w:pPr>
                  <w:r>
                    <w:t xml:space="preserve">Skip if notation is familiar from the DMDU literature; return when encountering any formal expression in the manuscript</w:t>
                  </w:r>
                </w:p>
              </w:tc>
            </w:tr>
            <w:tr>
              <w:tc>
                <w:tcPr/>
                <w:p>
                  <w:pPr>
                    <w:pStyle w:val="Compact"/>
                  </w:pPr>
                  <w:r>
                    <w:rPr>
                      <w:b/>
                      <w:bCs/>
                    </w:rPr>
                    <w:t xml:space="preserve">Passes to</w:t>
                  </w:r>
                </w:p>
              </w:tc>
              <w:tc>
                <w:tcPr/>
                <w:p>
                  <w:pPr>
                    <w:pStyle w:val="Compact"/>
                  </w:pPr>
                  <w:r>
                    <w:t xml:space="preserve">All sections using formal notation, particularly Module 2, Module 6 §6.4, and SM-4.4-A</w:t>
                  </w:r>
                </w:p>
              </w:tc>
            </w:tr>
            <w:tr>
              <w:tc>
                <w:tcPr/>
                <w:p>
                  <w:pPr>
                    <w:pStyle w:val="Compact"/>
                  </w:pPr>
                  <w:r>
                    <w:rPr>
                      <w:b/>
                      <w:bCs/>
                    </w:rPr>
                    <w:t xml:space="preserve">Sub-Modules here</w:t>
                  </w:r>
                </w:p>
              </w:tc>
              <w:tc>
                <w:tcPr/>
                <w:p>
                  <w:pPr>
                    <w:pStyle w:val="Compact"/>
                  </w:pPr>
                  <w:r>
                    <w:t xml:space="preserve">None</w:t>
                  </w:r>
                </w:p>
              </w:tc>
            </w:tr>
          </w:tbl>
          <w:p/>
        </w:tc>
      </w:tr>
    </w:tbl>
    <w:p>
      <w:r>
        <w:pict>
          <v:rect style="width:0;height:1.5pt" o:hralign="center" o:hrstd="t" o:hr="t"/>
        </w:pict>
      </w:r>
    </w:p>
    <w:bookmarkStart w:id="98" w:name="indices-and-sets"/>
    <w:p>
      <w:pPr>
        <w:pStyle w:val="Heading2"/>
      </w:pPr>
      <w:r>
        <w:t xml:space="preserve">13.1 Indices and Sets</w:t>
      </w:r>
    </w:p>
    <w:p>
      <w:pPr>
        <w:pStyle w:val="FirstParagraph"/>
      </w:pPr>
      <w:r>
        <w:t xml:space="preserve">The following indices are used throughout the manuscript.</w:t>
      </w:r>
      <w:r>
        <w:t xml:space="preserve"> </w:t>
      </w:r>
      <w:r>
        <w:t xml:space="preserve">All time series operate at hourly resolution unless</w:t>
      </w:r>
      <w:r>
        <w:t xml:space="preserve"> </w:t>
      </w:r>
      <w:r>
        <w:t xml:space="preserve">otherwise stated.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Range</w:t>
            </w:r>
          </w:p>
        </w:tc>
        <w:tc>
          <w:tcPr/>
          <w:p>
            <w:pPr>
              <w:pStyle w:val="Compact"/>
            </w:pPr>
            <w:r>
              <w:t xml:space="preserve">Description</w:t>
            </w:r>
          </w:p>
        </w:tc>
      </w:tr>
      <w:tr>
        <w:tc>
          <w:tcPr/>
          <w:p>
            <w:pPr>
              <w:pStyle w:val="Compact"/>
            </w:pPr>
            <m:oMath>
              <m:r>
                <m:t>t</m:t>
              </m:r>
              <m:r>
                <m:rPr>
                  <m:sty m:val="p"/>
                </m:rPr>
                <m:t>∈</m:t>
              </m:r>
              <m:r>
                <m:rPr>
                  <m:scr m:val="script"/>
                  <m:sty m:val="p"/>
                </m:rPr>
                <m:t>T</m:t>
              </m:r>
            </m:oMath>
          </w:p>
        </w:tc>
        <w:tc>
          <w:tcPr/>
          <w:p>
            <w:pPr>
              <w:pStyle w:val="Compact"/>
            </w:pPr>
            <m:oMath>
              <m:r>
                <m:t>1</m:t>
              </m:r>
              <m:r>
                <m:rPr>
                  <m:sty m:val="p"/>
                </m:rPr>
                <m:t>,</m:t>
              </m:r>
              <m:r>
                <m:rPr>
                  <m:sty m:val="p"/>
                </m:rPr>
                <m:t>…</m:t>
              </m:r>
              <m:r>
                <m:rPr>
                  <m:sty m:val="p"/>
                </m:rPr>
                <m:t>,</m:t>
              </m:r>
              <m:r>
                <m:t>8760</m:t>
              </m:r>
            </m:oMath>
          </w:p>
        </w:tc>
        <w:tc>
          <w:tcPr/>
          <w:p>
            <w:pPr>
              <w:pStyle w:val="Compact"/>
            </w:pPr>
            <w:r>
              <w:t xml:space="preserve">Hourly time index [h]</w:t>
            </w:r>
          </w:p>
        </w:tc>
      </w:tr>
      <w:tr>
        <w:tc>
          <w:tcPr/>
          <w:p>
            <w:pPr>
              <w:pStyle w:val="Compact"/>
            </w:pPr>
            <m:oMath>
              <m:r>
                <m:t>y</m:t>
              </m:r>
              <m:r>
                <m:rPr>
                  <m:sty m:val="p"/>
                </m:rPr>
                <m:t>∈</m:t>
              </m:r>
              <m:r>
                <m:rPr>
                  <m:scr m:val="script"/>
                  <m:sty m:val="p"/>
                </m:rPr>
                <m:t>Y</m:t>
              </m:r>
            </m:oMath>
          </w:p>
        </w:tc>
        <w:tc>
          <w:tcPr/>
          <w:p>
            <w:pPr>
              <w:pStyle w:val="Compact"/>
            </w:pPr>
            <m:oMath>
              <m:r>
                <m:rPr>
                  <m:sty m:val="p"/>
                </m:rPr>
                <m:t>{</m:t>
              </m:r>
              <m:r>
                <m:t>2020</m:t>
              </m:r>
              <m:r>
                <m:rPr>
                  <m:sty m:val="p"/>
                </m:rPr>
                <m:t>,</m:t>
              </m:r>
              <m:r>
                <m:t>2025</m:t>
              </m:r>
              <m:r>
                <m:rPr>
                  <m:sty m:val="p"/>
                </m:rPr>
                <m:t>,</m:t>
              </m:r>
              <m:r>
                <m:t>2028</m:t>
              </m:r>
              <m:r>
                <m:rPr>
                  <m:sty m:val="p"/>
                </m:rPr>
                <m:t>,</m:t>
              </m:r>
              <m:r>
                <m:t>2035</m:t>
              </m:r>
              <m:r>
                <m:rPr>
                  <m:sty m:val="p"/>
                </m:rPr>
                <m:t>}</m:t>
              </m:r>
            </m:oMath>
          </w:p>
        </w:tc>
        <w:tc>
          <w:tcPr/>
          <w:p>
            <w:pPr>
              <w:pStyle w:val="Compact"/>
            </w:pPr>
            <w:r>
              <w:t xml:space="preserve">Epoch/year index</w:t>
            </w:r>
          </w:p>
        </w:tc>
      </w:tr>
      <w:tr>
        <w:tc>
          <w:tcPr/>
          <w:p>
            <w:pPr>
              <w:pStyle w:val="Compact"/>
            </w:pPr>
            <m:oMath>
              <m:r>
                <m:t>u</m:t>
              </m:r>
              <m:r>
                <m:rPr>
                  <m:sty m:val="p"/>
                </m:rPr>
                <m:t>∈</m:t>
              </m:r>
              <m:r>
                <m:rPr>
                  <m:scr m:val="script"/>
                  <m:sty m:val="p"/>
                </m:rPr>
                <m:t>U</m:t>
              </m:r>
            </m:oMath>
          </w:p>
        </w:tc>
        <w:tc>
          <w:tcPr/>
          <w:p>
            <w:pPr>
              <w:pStyle w:val="Compact"/>
            </w:pPr>
            <w:r>
              <w:t xml:space="preserve">—</w:t>
            </w:r>
          </w:p>
        </w:tc>
        <w:tc>
          <w:tcPr/>
          <w:p>
            <w:pPr>
              <w:pStyle w:val="Compact"/>
            </w:pPr>
            <w:r>
              <w:t xml:space="preserve">Utility/technology unit index</w:t>
            </w:r>
          </w:p>
        </w:tc>
      </w:tr>
      <w:tr>
        <w:tc>
          <w:tcPr/>
          <w:p>
            <w:pPr>
              <w:pStyle w:val="Compact"/>
            </w:pPr>
            <m:oMath>
              <m:r>
                <m:t>s</m:t>
              </m:r>
              <m:r>
                <m:rPr>
                  <m:sty m:val="p"/>
                </m:rPr>
                <m:t>∈</m:t>
              </m:r>
              <m:r>
                <m:rPr>
                  <m:scr m:val="script"/>
                  <m:sty m:val="p"/>
                </m:rPr>
                <m:t>S</m:t>
              </m:r>
            </m:oMath>
          </w:p>
        </w:tc>
        <w:tc>
          <w:tcPr/>
          <w:p>
            <w:pPr>
              <w:pStyle w:val="Compact"/>
            </w:pPr>
            <m:oMath>
              <m:r>
                <m:rPr>
                  <m:sty m:val="p"/>
                </m:rPr>
                <m:t>{</m:t>
              </m:r>
              <m:r>
                <m:rPr>
                  <m:nor/>
                  <m:sty m:val="p"/>
                </m:rPr>
                <m:t>EB, BB</m:t>
              </m:r>
              <m:r>
                <m:rPr>
                  <m:sty m:val="p"/>
                </m:rPr>
                <m:t>}</m:t>
              </m:r>
            </m:oMath>
          </w:p>
        </w:tc>
        <w:tc>
          <w:tcPr/>
          <w:p>
            <w:pPr>
              <w:pStyle w:val="Compact"/>
            </w:pPr>
            <w:r>
              <w:t xml:space="preserve">Pathway/strategy index</w:t>
            </w:r>
          </w:p>
        </w:tc>
      </w:tr>
      <w:tr>
        <w:tc>
          <w:tcPr/>
          <w:p>
            <w:pPr>
              <w:pStyle w:val="Compact"/>
            </w:pPr>
            <m:oMath>
              <m:r>
                <m:t>ω</m:t>
              </m:r>
              <m:r>
                <m:rPr>
                  <m:sty m:val="p"/>
                </m:rPr>
                <m:t>∈</m:t>
              </m:r>
              <m:r>
                <m:rPr>
                  <m:sty m:val="p"/>
                </m:rPr>
                <m:t>Ω</m:t>
              </m:r>
            </m:oMath>
          </w:p>
        </w:tc>
        <w:tc>
          <w:tcPr/>
          <w:p>
            <w:pPr>
              <w:pStyle w:val="Compact"/>
            </w:pPr>
            <m:oMath>
              <m:r>
                <m:t>0</m:t>
              </m:r>
              <m:r>
                <m:rPr>
                  <m:sty m:val="p"/>
                </m:rPr>
                <m:t>,</m:t>
              </m:r>
              <m:r>
                <m:rPr>
                  <m:sty m:val="p"/>
                </m:rPr>
                <m:t>…</m:t>
              </m:r>
              <m:r>
                <m:rPr>
                  <m:sty m:val="p"/>
                </m:rPr>
                <m:t>,</m:t>
              </m:r>
              <m:r>
                <m:t>99</m:t>
              </m:r>
            </m:oMath>
          </w:p>
        </w:tc>
        <w:tc>
          <w:tcPr/>
          <w:p>
            <w:pPr>
              <w:pStyle w:val="Compact"/>
            </w:pPr>
            <w:r>
              <w:t xml:space="preserve">Future/uncertainty realisation index</w:t>
            </w:r>
          </w:p>
        </w:tc>
      </w:tr>
    </w:tbl>
    <w:p>
      <w:r>
        <w:pict>
          <v:rect style="width:0;height:1.5pt" o:hralign="center" o:hrstd="t" o:hr="t"/>
        </w:pict>
      </w:r>
    </w:p>
    <w:bookmarkEnd w:id="98"/>
    <w:bookmarkStart w:id="99" w:name="demand-construction-demandpack"/>
    <w:p>
      <w:pPr>
        <w:pStyle w:val="Heading2"/>
      </w:pPr>
      <w:r>
        <w:t xml:space="preserve">13.2 Demand Construction (DemandPack)</w:t>
      </w:r>
    </w:p>
    <w:p>
      <w:pPr>
        <w:pStyle w:val="FirstParagraph"/>
      </w:pPr>
      <w:r>
        <w:t xml:space="preserve">The DemandPack construction maps a normalised hourly shape</w:t>
      </w:r>
      <w:r>
        <w:t xml:space="preserve"> </w:t>
      </w:r>
      <w:r>
        <w:t xml:space="preserve">to absolute demand via a scaling factor:</w:t>
      </w:r>
    </w:p>
    <w:p>
      <w:pPr>
        <w:pStyle w:val="BodyText"/>
      </w:pPr>
      <m:oMathPara>
        <m:oMathParaPr>
          <m:jc m:val="center"/>
        </m:oMathParaPr>
        <m:oMath>
          <m:sSub>
            <m:e>
              <m:r>
                <m:t>D</m:t>
              </m:r>
            </m:e>
            <m:sub>
              <m:r>
                <m:t>t</m:t>
              </m:r>
              <m:r>
                <m:rPr>
                  <m:sty m:val="p"/>
                </m:rPr>
                <m:t>,</m:t>
              </m:r>
              <m:r>
                <m:t>e</m:t>
              </m:r>
            </m:sub>
          </m:sSub>
          <m:r>
            <m:rPr>
              <m:sty m:val="p"/>
            </m:rPr>
            <m:t>=</m:t>
          </m:r>
          <m:sSub>
            <m:e>
              <m:r>
                <m:t>α</m:t>
              </m:r>
            </m:e>
            <m:sub>
              <m:r>
                <m:t>e</m:t>
              </m:r>
            </m:sub>
          </m:sSub>
          <m:r>
            <m:rPr>
              <m:sty m:val="p"/>
            </m:rPr>
            <m:t>⋅</m:t>
          </m:r>
          <m:sSub>
            <m:e>
              <m:r>
                <m:t>s</m:t>
              </m:r>
            </m:e>
            <m:sub>
              <m:r>
                <m:t>t</m:t>
              </m:r>
              <m:r>
                <m:rPr>
                  <m:sty m:val="p"/>
                </m:rPr>
                <m:t>,</m:t>
              </m:r>
              <m:r>
                <m:t>e</m:t>
              </m:r>
            </m:sub>
          </m:sSub>
        </m:oMath>
      </m:oMathPara>
    </w:p>
    <w:p>
      <w:pPr>
        <w:pStyle w:val="FirstParagraph"/>
      </w:pPr>
      <w:r>
        <w:t xml:space="preserve">where</w:t>
      </w:r>
      <w:r>
        <w:t xml:space="preserve"> </w:t>
      </w:r>
      <m:oMath>
        <m:sSub>
          <m:e>
            <m:r>
              <m:t>s</m:t>
            </m:r>
          </m:e>
          <m:sub>
            <m:r>
              <m:t>t</m:t>
            </m:r>
            <m:r>
              <m:rPr>
                <m:sty m:val="p"/>
              </m:rPr>
              <m:t>,</m:t>
            </m:r>
            <m:r>
              <m:t>e</m:t>
            </m:r>
          </m:sub>
        </m:sSub>
      </m:oMath>
      <w:r>
        <w:t xml:space="preserve"> </w:t>
      </w:r>
      <w:r>
        <w:t xml:space="preserve">is the normalised shape (dimensionless) for</w:t>
      </w:r>
      <w:r>
        <w:t xml:space="preserve"> </w:t>
      </w:r>
      <w:r>
        <w:t xml:space="preserve">end-use</w:t>
      </w:r>
      <w:r>
        <w:t xml:space="preserve"> </w:t>
      </w:r>
      <m:oMath>
        <m:r>
          <m:t>e</m:t>
        </m:r>
      </m:oMath>
      <w:r>
        <w:t xml:space="preserve"> </w:t>
      </w:r>
      <w:r>
        <w:t xml:space="preserve">at hour</w:t>
      </w:r>
      <w:r>
        <w:t xml:space="preserve"> </w:t>
      </w:r>
      <m:oMath>
        <m:r>
          <m:t>t</m:t>
        </m:r>
      </m:oMath>
      <w:r>
        <w:t xml:space="preserve">, and</w:t>
      </w:r>
      <w:r>
        <w:t xml:space="preserve"> </w:t>
      </w:r>
      <m:oMath>
        <m:sSub>
          <m:e>
            <m:r>
              <m:t>α</m:t>
            </m:r>
          </m:e>
          <m:sub>
            <m:r>
              <m:t>e</m:t>
            </m:r>
          </m:sub>
        </m:sSub>
      </m:oMath>
      <w:r>
        <w:t xml:space="preserve"> </w:t>
      </w:r>
      <w:r>
        <w:t xml:space="preserve">is the scaling factor</w:t>
      </w:r>
      <w:r>
        <w:t xml:space="preserve"> </w:t>
      </w:r>
      <w:r>
        <w:t xml:space="preserve">derived from annual energy consistency:</w:t>
      </w:r>
    </w:p>
    <w:p>
      <w:pPr>
        <w:pStyle w:val="BodyText"/>
      </w:pPr>
      <m:oMathPara>
        <m:oMathParaPr>
          <m:jc m:val="center"/>
        </m:oMathParaPr>
        <m:oMath>
          <m:sSubSup>
            <m:e>
              <m:r>
                <m:t>E</m:t>
              </m:r>
            </m:e>
            <m:sub>
              <m:r>
                <m:t>e</m:t>
              </m:r>
            </m:sub>
            <m:sup>
              <m:r>
                <m:rPr>
                  <m:nor/>
                  <m:sty m:val="p"/>
                </m:rPr>
                <m:t>ann</m:t>
              </m:r>
            </m:sup>
          </m:sSubSup>
          <m:r>
            <m:rPr>
              <m:sty m:val="p"/>
            </m:rPr>
            <m:t>=</m:t>
          </m:r>
          <m:nary>
            <m:naryPr>
              <m:chr m:val="∑"/>
              <m:limLoc m:val="undOvr"/>
              <m:subHide m:val="off"/>
              <m:supHide m:val="on"/>
            </m:naryPr>
            <m:sub>
              <m:r>
                <m:t>t</m:t>
              </m:r>
              <m:r>
                <m:rPr>
                  <m:sty m:val="p"/>
                </m:rPr>
                <m:t>∈</m:t>
              </m:r>
              <m:r>
                <m:rPr>
                  <m:scr m:val="script"/>
                  <m:sty m:val="p"/>
                </m:rPr>
                <m:t>T</m:t>
              </m:r>
            </m:sub>
            <m:sup>
              <m:r>
                <m:t>​</m:t>
              </m:r>
            </m:sup>
            <m:e>
              <m:sSub>
                <m:e>
                  <m:r>
                    <m:t>D</m:t>
                  </m:r>
                </m:e>
                <m:sub>
                  <m:r>
                    <m:t>t</m:t>
                  </m:r>
                  <m:r>
                    <m:rPr>
                      <m:sty m:val="p"/>
                    </m:rPr>
                    <m:t>,</m:t>
                  </m:r>
                  <m:r>
                    <m:t>e</m:t>
                  </m:r>
                </m:sub>
              </m:sSub>
            </m:e>
          </m:nary>
          <m:r>
            <m:rPr>
              <m:sty m:val="p"/>
            </m:rPr>
            <m:t>⋅</m:t>
          </m:r>
          <m:r>
            <m:rPr>
              <m:sty m:val="p"/>
            </m:rPr>
            <m:t>Δ</m:t>
          </m:r>
          <m:r>
            <m:t>t</m:t>
          </m:r>
        </m:oMath>
      </m:oMathPara>
    </w:p>
    <w:p>
      <w:pPr>
        <w:pStyle w:val="FirstParagraph"/>
      </w:pPr>
      <w:r>
        <w:t xml:space="preserve">The scaling factor</w:t>
      </w:r>
      <w:r>
        <w:t xml:space="preserve"> </w:t>
      </w:r>
      <m:oMath>
        <m:sSub>
          <m:e>
            <m:r>
              <m:t>α</m:t>
            </m:r>
          </m:e>
          <m:sub>
            <m:r>
              <m:t>e</m:t>
            </m:r>
          </m:sub>
        </m:sSub>
      </m:oMath>
      <w:r>
        <w:t xml:space="preserve"> </w:t>
      </w:r>
      <w:r>
        <w:t xml:space="preserve">is determined by solving this</w:t>
      </w:r>
      <w:r>
        <w:t xml:space="preserve"> </w:t>
      </w:r>
      <w:r>
        <w:t xml:space="preserve">consistency condition given the declared annual total</w:t>
      </w:r>
      <w:r>
        <w:t xml:space="preserve"> </w:t>
      </w:r>
      <m:oMath>
        <m:sSubSup>
          <m:e>
            <m:r>
              <m:t>E</m:t>
            </m:r>
          </m:e>
          <m:sub>
            <m:r>
              <m:t>e</m:t>
            </m:r>
          </m:sub>
          <m:sup>
            <m:r>
              <m:rPr>
                <m:nor/>
                <m:sty m:val="p"/>
              </m:rPr>
              <m:t>ann</m:t>
            </m:r>
          </m:sup>
        </m:sSubSup>
      </m:oMath>
      <w:r>
        <w:t xml:space="preserve">.</w:t>
      </w:r>
    </w:p>
    <w:p>
      <w:r>
        <w:pict>
          <v:rect style="width:0;height:1.5pt" o:hralign="center" o:hrstd="t" o:hr="t"/>
        </w:pict>
      </w:r>
    </w:p>
    <w:bookmarkEnd w:id="99"/>
    <w:bookmarkStart w:id="100" w:name="site-dispatch"/>
    <w:p>
      <w:pPr>
        <w:pStyle w:val="Heading2"/>
      </w:pPr>
      <w:r>
        <w:t xml:space="preserve">13.3 Site Dispatch</w:t>
      </w:r>
    </w:p>
    <w:p>
      <w:pPr>
        <w:pStyle w:val="FirstParagraph"/>
      </w:pPr>
      <w:r>
        <w:t xml:space="preserve">Proportional dispatch allocates total heat demand</w:t>
      </w:r>
      <w:r>
        <w:t xml:space="preserve"> </w:t>
      </w:r>
      <m:oMath>
        <m:sSub>
          <m:e>
            <m:r>
              <m:t>D</m:t>
            </m:r>
          </m:e>
          <m:sub>
            <m:r>
              <m:t>t</m:t>
            </m:r>
          </m:sub>
        </m:sSub>
      </m:oMath>
      <w:r>
        <w:t xml:space="preserve"> </w:t>
      </w:r>
      <w:r>
        <w:t xml:space="preserve">across</w:t>
      </w:r>
      <w:r>
        <w:t xml:space="preserve"> </w:t>
      </w:r>
      <w:r>
        <w:t xml:space="preserve">committed units in proportion to nameplate capacity:</w:t>
      </w:r>
    </w:p>
    <w:p>
      <w:pPr>
        <w:pStyle w:val="BodyText"/>
      </w:pPr>
      <m:oMathPara>
        <m:oMathParaPr>
          <m:jc m:val="center"/>
        </m:oMathParaPr>
        <m:oMath>
          <m:sSub>
            <m:e>
              <m:r>
                <m:t>q</m:t>
              </m:r>
            </m:e>
            <m:sub>
              <m:r>
                <m:t>t</m:t>
              </m:r>
              <m:r>
                <m:rPr>
                  <m:sty m:val="p"/>
                </m:rPr>
                <m:t>,</m:t>
              </m:r>
              <m:r>
                <m:t>u</m:t>
              </m:r>
            </m:sub>
          </m:sSub>
          <m:r>
            <m:rPr>
              <m:sty m:val="p"/>
            </m:rPr>
            <m:t>=</m:t>
          </m:r>
          <m:sSub>
            <m:e>
              <m:r>
                <m:t>D</m:t>
              </m:r>
            </m:e>
            <m:sub>
              <m:r>
                <m:t>t</m:t>
              </m:r>
            </m:sub>
          </m:sSub>
          <m:r>
            <m:rPr>
              <m:sty m:val="p"/>
            </m:rPr>
            <m:t>⋅</m:t>
          </m:r>
          <m:f>
            <m:fPr>
              <m:type m:val="bar"/>
            </m:fPr>
            <m:num>
              <m:sSub>
                <m:e>
                  <m:r>
                    <m:t>C</m:t>
                  </m:r>
                </m:e>
                <m:sub>
                  <m:r>
                    <m:t>u</m:t>
                  </m:r>
                </m:sub>
              </m:sSub>
            </m:num>
            <m:den>
              <m:nary>
                <m:naryPr>
                  <m:chr m:val="∑"/>
                  <m:limLoc m:val="undOvr"/>
                  <m:subHide m:val="off"/>
                  <m:supHide m:val="on"/>
                </m:naryPr>
                <m:sub>
                  <m:sSup>
                    <m:e>
                      <m:r>
                        <m:t>u</m:t>
                      </m:r>
                    </m:e>
                    <m:sup>
                      <m:r>
                        <m:rPr>
                          <m:sty m:val="p"/>
                        </m:rPr>
                        <m:t>′</m:t>
                      </m:r>
                    </m:sup>
                  </m:sSup>
                  <m:r>
                    <m:rPr>
                      <m:sty m:val="p"/>
                    </m:rPr>
                    <m:t>∈</m:t>
                  </m:r>
                  <m:sSup>
                    <m:e>
                      <m:r>
                        <m:rPr>
                          <m:scr m:val="script"/>
                          <m:sty m:val="p"/>
                        </m:rPr>
                        <m:t>U</m:t>
                      </m:r>
                    </m:e>
                    <m:sup>
                      <m:r>
                        <m:rPr>
                          <m:nor/>
                          <m:sty m:val="p"/>
                        </m:rPr>
                        <m:t>on</m:t>
                      </m:r>
                    </m:sup>
                  </m:sSup>
                </m:sub>
                <m:sup>
                  <m:r>
                    <m:t>​</m:t>
                  </m:r>
                </m:sup>
                <m:e>
                  <m:sSub>
                    <m:e>
                      <m:r>
                        <m:t>C</m:t>
                      </m:r>
                    </m:e>
                    <m:sub>
                      <m:sSup>
                        <m:e>
                          <m:r>
                            <m:t>u</m:t>
                          </m:r>
                        </m:e>
                        <m:sup>
                          <m:r>
                            <m:rPr>
                              <m:sty m:val="p"/>
                            </m:rPr>
                            <m:t>′</m:t>
                          </m:r>
                        </m:sup>
                      </m:sSup>
                    </m:sub>
                  </m:sSub>
                </m:e>
              </m:nary>
            </m:den>
          </m:f>
        </m:oMath>
      </m:oMathPara>
    </w:p>
    <w:p>
      <w:pPr>
        <w:pStyle w:val="FirstParagraph"/>
      </w:pPr>
      <w:r>
        <w:t xml:space="preserve">where</w:t>
      </w:r>
      <w:r>
        <w:t xml:space="preserve"> </w:t>
      </w:r>
      <m:oMath>
        <m:sSub>
          <m:e>
            <m:r>
              <m:t>C</m:t>
            </m:r>
          </m:e>
          <m:sub>
            <m:r>
              <m:t>u</m:t>
            </m:r>
          </m:sub>
        </m:sSub>
      </m:oMath>
      <w:r>
        <w:t xml:space="preserve"> </w:t>
      </w:r>
      <w:r>
        <w:t xml:space="preserve">is the nameplate thermal capacity of unit</w:t>
      </w:r>
      <w:r>
        <w:t xml:space="preserve"> </w:t>
      </w:r>
      <m:oMath>
        <m:r>
          <m:t>u</m:t>
        </m:r>
      </m:oMath>
      <w:r>
        <w:t xml:space="preserve"> </w:t>
      </w:r>
      <w:r>
        <w:t xml:space="preserve">and</w:t>
      </w:r>
      <w:r>
        <w:t xml:space="preserve"> </w:t>
      </w:r>
      <m:oMath>
        <m:sSup>
          <m:e>
            <m:r>
              <m:rPr>
                <m:scr m:val="script"/>
                <m:sty m:val="p"/>
              </m:rPr>
              <m:t>U</m:t>
            </m:r>
          </m:e>
          <m:sup>
            <m:r>
              <m:rPr>
                <m:nor/>
                <m:sty m:val="p"/>
              </m:rPr>
              <m:t>on</m:t>
            </m:r>
          </m:sup>
        </m:sSup>
      </m:oMath>
      <w:r>
        <w:t xml:space="preserve"> </w:t>
      </w:r>
      <w:r>
        <w:t xml:space="preserve">is the set of committed units.</w:t>
      </w:r>
    </w:p>
    <w:p>
      <w:pPr>
        <w:pStyle w:val="BodyText"/>
      </w:pPr>
      <w:r>
        <w:t xml:space="preserve">Unserved heat is:</w:t>
      </w:r>
    </w:p>
    <w:p>
      <w:pPr>
        <w:pStyle w:val="BodyText"/>
      </w:pPr>
      <m:oMathPara>
        <m:oMathParaPr>
          <m:jc m:val="center"/>
        </m:oMathParaPr>
        <m:oMath>
          <m:sSub>
            <m:e>
              <m:r>
                <m:t>U</m:t>
              </m:r>
            </m:e>
            <m:sub>
              <m:r>
                <m:t>t</m:t>
              </m:r>
            </m:sub>
          </m:sSub>
          <m:r>
            <m:rPr>
              <m:sty m:val="p"/>
            </m:rPr>
            <m:t>=</m:t>
          </m:r>
          <m:r>
            <m:rPr>
              <m:sty m:val="p"/>
            </m:rPr>
            <m:t>max</m:t>
          </m:r>
          <m:d>
            <m:dPr>
              <m:begChr m:val="("/>
              <m:sepChr m:val=""/>
              <m:endChr m:val=")"/>
              <m:grow/>
            </m:dPr>
            <m:e>
              <m:r>
                <m:t>0</m:t>
              </m:r>
              <m:r>
                <m:rPr>
                  <m:sty m:val="p"/>
                </m:rPr>
                <m:t>,</m:t>
              </m:r>
              <m:r>
                <m:t> </m:t>
              </m:r>
              <m:sSub>
                <m:e>
                  <m:r>
                    <m:t>D</m:t>
                  </m:r>
                </m:e>
                <m:sub>
                  <m:r>
                    <m:t>t</m:t>
                  </m:r>
                </m:sub>
              </m:sSub>
              <m:r>
                <m:rPr>
                  <m:sty m:val="p"/>
                </m:rPr>
                <m:t>−</m:t>
              </m:r>
              <m:nary>
                <m:naryPr>
                  <m:chr m:val="∑"/>
                  <m:limLoc m:val="undOvr"/>
                  <m:subHide m:val="off"/>
                  <m:supHide m:val="on"/>
                </m:naryPr>
                <m:sub>
                  <m:r>
                    <m:t>u</m:t>
                  </m:r>
                  <m:r>
                    <m:rPr>
                      <m:sty m:val="p"/>
                    </m:rPr>
                    <m:t>∈</m:t>
                  </m:r>
                  <m:r>
                    <m:rPr>
                      <m:scr m:val="script"/>
                      <m:sty m:val="p"/>
                    </m:rPr>
                    <m:t>U</m:t>
                  </m:r>
                </m:sub>
                <m:sup>
                  <m:r>
                    <m:t>​</m:t>
                  </m:r>
                </m:sup>
                <m:e>
                  <m:sSub>
                    <m:e>
                      <m:r>
                        <m:t>q</m:t>
                      </m:r>
                    </m:e>
                    <m:sub>
                      <m:r>
                        <m:t>t</m:t>
                      </m:r>
                      <m:r>
                        <m:rPr>
                          <m:sty m:val="p"/>
                        </m:rPr>
                        <m:t>,</m:t>
                      </m:r>
                      <m:r>
                        <m:t>u</m:t>
                      </m:r>
                    </m:sub>
                  </m:sSub>
                </m:e>
              </m:nary>
            </m:e>
          </m:d>
        </m:oMath>
      </m:oMathPara>
    </w:p>
    <w:p>
      <w:r>
        <w:pict>
          <v:rect style="width:0;height:1.5pt" o:hralign="center" o:hrstd="t" o:hr="t"/>
        </w:pict>
      </w:r>
    </w:p>
    <w:bookmarkEnd w:id="100"/>
    <w:bookmarkStart w:id="101" w:name="gxp-interface-signals"/>
    <w:p>
      <w:pPr>
        <w:pStyle w:val="Heading2"/>
      </w:pPr>
      <w:r>
        <w:t xml:space="preserve">13.4 GXP Interface Signals</w:t>
      </w:r>
    </w:p>
    <w:p>
      <w:pPr>
        <w:pStyle w:val="FirstParagraph"/>
      </w:pPr>
      <w:r>
        <w:t xml:space="preserve">The incremental electricity signal exported by the site module:</w:t>
      </w:r>
    </w:p>
    <w:p>
      <w:pPr>
        <w:pStyle w:val="BodyText"/>
      </w:pPr>
      <m:oMathPara>
        <m:oMathParaPr>
          <m:jc m:val="center"/>
        </m:oMathParaPr>
        <m:oMath>
          <m:r>
            <m:rPr>
              <m:sty m:val="p"/>
            </m:rPr>
            <m:t>Δ</m:t>
          </m:r>
          <m:sSub>
            <m:e>
              <m:r>
                <m:t>E</m:t>
              </m:r>
            </m:e>
            <m:sub>
              <m:r>
                <m:t>t</m:t>
              </m:r>
            </m:sub>
          </m:sSub>
          <m:r>
            <m:rPr>
              <m:sty m:val="p"/>
            </m:rPr>
            <m:t>=</m:t>
          </m:r>
          <m:sSubSup>
            <m:e>
              <m:r>
                <m:t>p</m:t>
              </m:r>
            </m:e>
            <m:sub>
              <m:r>
                <m:t>t</m:t>
              </m:r>
            </m:sub>
            <m:sup>
              <m:r>
                <m:rPr>
                  <m:nor/>
                  <m:sty m:val="p"/>
                </m:rPr>
                <m:t>pathway</m:t>
              </m:r>
            </m:sup>
          </m:sSubSup>
          <m:r>
            <m:rPr>
              <m:sty m:val="p"/>
            </m:rPr>
            <m:t>−</m:t>
          </m:r>
          <m:sSubSup>
            <m:e>
              <m:r>
                <m:t>p</m:t>
              </m:r>
            </m:e>
            <m:sub>
              <m:r>
                <m:t>t</m:t>
              </m:r>
            </m:sub>
            <m:sup>
              <m:r>
                <m:rPr>
                  <m:nor/>
                  <m:sty m:val="p"/>
                </m:rPr>
                <m:t>baseline</m:t>
              </m:r>
            </m:sup>
          </m:sSubSup>
        </m:oMath>
      </m:oMathPara>
    </w:p>
    <w:p>
      <w:pPr>
        <w:pStyle w:val="FirstParagraph"/>
      </w:pPr>
      <w:r>
        <w:t xml:space="preserve">where</w:t>
      </w:r>
      <w:r>
        <w:t xml:space="preserve"> </w:t>
      </w:r>
      <m:oMath>
        <m:sSub>
          <m:e>
            <m:r>
              <m:t>p</m:t>
            </m:r>
          </m:e>
          <m:sub>
            <m:r>
              <m:t>t</m:t>
            </m:r>
          </m:sub>
        </m:sSub>
      </m:oMath>
      <w:r>
        <w:t xml:space="preserve"> </w:t>
      </w:r>
      <w:r>
        <w:t xml:space="preserve">is the site’s electricity import at hour</w:t>
      </w:r>
      <w:r>
        <w:t xml:space="preserve"> </w:t>
      </w:r>
      <m:oMath>
        <m:r>
          <m:t>t</m:t>
        </m:r>
      </m:oMath>
      <w:r>
        <w:t xml:space="preserve">.</w:t>
      </w:r>
    </w:p>
    <w:p>
      <w:pPr>
        <w:pStyle w:val="BodyText"/>
      </w:pPr>
      <w:r>
        <w:t xml:space="preserve">GXP headroom exceedance at time</w:t>
      </w:r>
      <w:r>
        <w:t xml:space="preserve"> </w:t>
      </w:r>
      <m:oMath>
        <m:r>
          <m:t>t</m:t>
        </m:r>
      </m:oMath>
      <w:r>
        <w:t xml:space="preserve">:</w:t>
      </w:r>
    </w:p>
    <w:p>
      <w:pPr>
        <w:pStyle w:val="BodyText"/>
      </w:pPr>
      <m:oMathPara>
        <m:oMathParaPr>
          <m:jc m:val="center"/>
        </m:oMathParaPr>
        <m:oMath>
          <m:sSub>
            <m:e>
              <m:r>
                <m:t>X</m:t>
              </m:r>
            </m:e>
            <m:sub>
              <m:r>
                <m:t>t</m:t>
              </m:r>
            </m:sub>
          </m:sSub>
          <m:r>
            <m:rPr>
              <m:sty m:val="p"/>
            </m:rPr>
            <m:t>=</m:t>
          </m:r>
          <m:r>
            <m:rPr>
              <m:sty m:val="p"/>
            </m:rPr>
            <m:t>max</m:t>
          </m:r>
          <m:d>
            <m:dPr>
              <m:begChr m:val="("/>
              <m:sepChr m:val=""/>
              <m:endChr m:val=")"/>
              <m:grow/>
            </m:dPr>
            <m:e>
              <m:r>
                <m:t>0</m:t>
              </m:r>
              <m:r>
                <m:rPr>
                  <m:sty m:val="p"/>
                </m:rPr>
                <m:t>,</m:t>
              </m:r>
              <m:r>
                <m:t> </m:t>
              </m:r>
              <m:r>
                <m:rPr>
                  <m:sty m:val="p"/>
                </m:rPr>
                <m:t>Δ</m:t>
              </m:r>
              <m:sSub>
                <m:e>
                  <m:r>
                    <m:t>E</m:t>
                  </m:r>
                </m:e>
                <m:sub>
                  <m:r>
                    <m:t>t</m:t>
                  </m:r>
                </m:sub>
              </m:sSub>
              <m:r>
                <m:rPr>
                  <m:sty m:val="p"/>
                </m:rPr>
                <m:t>−</m:t>
              </m:r>
              <m:sSub>
                <m:e>
                  <m:r>
                    <m:t>H</m:t>
                  </m:r>
                </m:e>
                <m:sub>
                  <m:r>
                    <m:t>t</m:t>
                  </m:r>
                </m:sub>
              </m:sSub>
            </m:e>
          </m:d>
        </m:oMath>
      </m:oMathPara>
    </w:p>
    <w:p>
      <w:pPr>
        <w:pStyle w:val="FirstParagraph"/>
      </w:pPr>
      <w:r>
        <w:t xml:space="preserve">where</w:t>
      </w:r>
      <w:r>
        <w:t xml:space="preserve"> </w:t>
      </w:r>
      <m:oMath>
        <m:sSub>
          <m:e>
            <m:r>
              <m:t>H</m:t>
            </m:r>
          </m:e>
          <m:sub>
            <m:r>
              <m:t>t</m:t>
            </m:r>
          </m:sub>
        </m:sSub>
      </m:oMath>
      <w:r>
        <w:t xml:space="preserve"> </w:t>
      </w:r>
      <w:r>
        <w:t xml:space="preserve">is the available GXP headroom, scaled per future</w:t>
      </w:r>
      <w:r>
        <w:t xml:space="preserve"> </w:t>
      </w:r>
      <m:oMath>
        <m:r>
          <m:t>ω</m:t>
        </m:r>
      </m:oMath>
      <w:r>
        <w:t xml:space="preserve"> </w:t>
      </w:r>
      <w:r>
        <w:t xml:space="preserve">by the headroom multiplier</w:t>
      </w:r>
      <w:r>
        <w:t xml:space="preserve"> </w:t>
      </w:r>
      <m:oMath>
        <m:sSubSup>
          <m:e>
            <m:r>
              <m:t>U</m:t>
            </m:r>
          </m:e>
          <m:sub>
            <m:r>
              <m:rPr>
                <m:nor/>
                <m:sty m:val="p"/>
              </m:rPr>
              <m:t>head</m:t>
            </m:r>
          </m:sub>
          <m:sup>
            <m:r>
              <m:t>ω</m:t>
            </m:r>
          </m:sup>
        </m:sSubSup>
      </m:oMath>
      <w:r>
        <w:t xml:space="preserve">:</w:t>
      </w:r>
    </w:p>
    <w:p>
      <w:pPr>
        <w:pStyle w:val="BodyText"/>
      </w:pPr>
      <m:oMathPara>
        <m:oMathParaPr>
          <m:jc m:val="center"/>
        </m:oMathParaPr>
        <m:oMath>
          <m:sSubSup>
            <m:e>
              <m:r>
                <m:t>H</m:t>
              </m:r>
            </m:e>
            <m:sub>
              <m:r>
                <m:t>t</m:t>
              </m:r>
            </m:sub>
            <m:sup>
              <m:r>
                <m:t>ω</m:t>
              </m:r>
            </m:sup>
          </m:sSubSup>
          <m:r>
            <m:rPr>
              <m:sty m:val="p"/>
            </m:rPr>
            <m:t>=</m:t>
          </m:r>
          <m:sSubSup>
            <m:e>
              <m:r>
                <m:t>H</m:t>
              </m:r>
            </m:e>
            <m:sub>
              <m:r>
                <m:t>t</m:t>
              </m:r>
            </m:sub>
            <m:sup>
              <m:r>
                <m:rPr>
                  <m:nor/>
                  <m:sty m:val="p"/>
                </m:rPr>
                <m:t>ref</m:t>
              </m:r>
            </m:sup>
          </m:sSubSup>
          <m:r>
            <m:rPr>
              <m:sty m:val="p"/>
            </m:rPr>
            <m:t>⋅</m:t>
          </m:r>
          <m:sSubSup>
            <m:e>
              <m:r>
                <m:t>U</m:t>
              </m:r>
            </m:e>
            <m:sub>
              <m:r>
                <m:rPr>
                  <m:nor/>
                  <m:sty m:val="p"/>
                </m:rPr>
                <m:t>head</m:t>
              </m:r>
            </m:sub>
            <m:sup>
              <m:r>
                <m:t>ω</m:t>
              </m:r>
            </m:sup>
          </m:sSubSup>
        </m:oMath>
      </m:oMathPara>
    </w:p>
    <w:p>
      <w:r>
        <w:pict>
          <v:rect style="width:0;height:1.5pt" o:hralign="center" o:hrstd="t" o:hr="t"/>
        </w:pict>
      </w:r>
    </w:p>
    <w:bookmarkEnd w:id="101"/>
    <w:bookmarkStart w:id="102" w:name="economic-notation"/>
    <w:p>
      <w:pPr>
        <w:pStyle w:val="Heading2"/>
      </w:pPr>
      <w:r>
        <w:t xml:space="preserve">13.5 Economic Notation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Units</w:t>
            </w:r>
          </w:p>
        </w:tc>
        <w:tc>
          <w:tcPr/>
          <w:p>
            <w:pPr>
              <w:pStyle w:val="Compact"/>
            </w:pPr>
            <w:r>
              <w:t xml:space="preserve">Description</w:t>
            </w:r>
          </w:p>
        </w:tc>
      </w:tr>
      <w:tr>
        <w:tc>
          <w:tcPr/>
          <w:p>
            <w:pPr>
              <w:pStyle w:val="Compact"/>
            </w:pPr>
            <m:oMath>
              <m:sSub>
                <m:e>
                  <m:r>
                    <m:t>C</m:t>
                  </m:r>
                </m:e>
                <m:sub>
                  <m:r>
                    <m:rPr>
                      <m:nor/>
                      <m:sty m:val="p"/>
                    </m:rPr>
                    <m:t>fuel</m:t>
                  </m:r>
                </m:sub>
              </m:sSub>
            </m:oMath>
          </w:p>
        </w:tc>
        <w:tc>
          <w:tcPr/>
          <w:p>
            <w:pPr>
              <w:pStyle w:val="Compact"/>
            </w:pPr>
            <w:r>
              <w:t xml:space="preserve">NZD/MWh</w:t>
            </w:r>
          </w:p>
        </w:tc>
        <w:tc>
          <w:tcPr/>
          <w:p>
            <w:pPr>
              <w:pStyle w:val="Compact"/>
            </w:pPr>
            <w:r>
              <w:t xml:space="preserve">Delivered fuel cost</w:t>
            </w:r>
          </w:p>
        </w:tc>
      </w:tr>
      <w:tr>
        <w:tc>
          <w:tcPr/>
          <w:p>
            <w:pPr>
              <w:pStyle w:val="Compact"/>
            </w:pPr>
            <m:oMath>
              <m:sSub>
                <m:e>
                  <m:r>
                    <m:t>C</m:t>
                  </m:r>
                </m:e>
                <m:sub>
                  <m:r>
                    <m:rPr>
                      <m:nor/>
                      <m:sty m:val="p"/>
                    </m:rPr>
                    <m:t>elec</m:t>
                  </m:r>
                </m:sub>
              </m:sSub>
            </m:oMath>
          </w:p>
        </w:tc>
        <w:tc>
          <w:tcPr/>
          <w:p>
            <w:pPr>
              <w:pStyle w:val="Compact"/>
            </w:pPr>
            <w:r>
              <w:t xml:space="preserve">NZD/MWh</w:t>
            </w:r>
          </w:p>
        </w:tc>
        <w:tc>
          <w:tcPr/>
          <w:p>
            <w:pPr>
              <w:pStyle w:val="Compact"/>
            </w:pPr>
            <w:r>
              <w:t xml:space="preserve">Electricity tariff</w:t>
            </w:r>
          </w:p>
        </w:tc>
      </w:tr>
      <w:tr>
        <w:tc>
          <w:tcPr/>
          <w:p>
            <w:pPr>
              <w:pStyle w:val="Compact"/>
            </w:pPr>
            <m:oMath>
              <m:sSub>
                <m:e>
                  <m:r>
                    <m:t>C</m:t>
                  </m:r>
                </m:e>
                <m:sub>
                  <m:r>
                    <m:rPr>
                      <m:nor/>
                      <m:sty m:val="p"/>
                    </m:rPr>
                    <m:t>capex</m:t>
                  </m:r>
                </m:sub>
              </m:sSub>
            </m:oMath>
          </w:p>
        </w:tc>
        <w:tc>
          <w:tcPr/>
          <w:p>
            <w:pPr>
              <w:pStyle w:val="Compact"/>
            </w:pPr>
            <w:r>
              <w:t xml:space="preserve">NZD</w:t>
            </w:r>
          </w:p>
        </w:tc>
        <w:tc>
          <w:tcPr/>
          <w:p>
            <w:pPr>
              <w:pStyle w:val="Compact"/>
            </w:pPr>
            <w:r>
              <w:t xml:space="preserve">Capital cost</w:t>
            </w:r>
          </w:p>
        </w:tc>
      </w:tr>
      <w:tr>
        <w:tc>
          <w:tcPr/>
          <w:p>
            <w:pPr>
              <w:pStyle w:val="Compact"/>
            </w:pPr>
            <m:oMath>
              <m:sSub>
                <m:e>
                  <m:r>
                    <m:t>C</m:t>
                  </m:r>
                </m:e>
                <m:sub>
                  <m:r>
                    <m:rPr>
                      <m:nor/>
                      <m:sty m:val="p"/>
                    </m:rPr>
                    <m:t>fix</m:t>
                  </m:r>
                </m:sub>
              </m:sSub>
            </m:oMath>
          </w:p>
        </w:tc>
        <w:tc>
          <w:tcPr/>
          <w:p>
            <w:pPr>
              <w:pStyle w:val="Compact"/>
            </w:pPr>
            <w:r>
              <w:t xml:space="preserve">NZD/yr</w:t>
            </w:r>
          </w:p>
        </w:tc>
        <w:tc>
          <w:tcPr/>
          <w:p>
            <w:pPr>
              <w:pStyle w:val="Compact"/>
            </w:pPr>
            <w:r>
              <w:t xml:space="preserve">Fixed operation and maintenance</w:t>
            </w:r>
          </w:p>
        </w:tc>
      </w:tr>
      <w:tr>
        <w:tc>
          <w:tcPr/>
          <w:p>
            <w:pPr>
              <w:pStyle w:val="Compact"/>
            </w:pPr>
            <m:oMath>
              <m:sSub>
                <m:e>
                  <m:r>
                    <m:t>C</m:t>
                  </m:r>
                </m:e>
                <m:sub>
                  <m:r>
                    <m:rPr>
                      <m:nor/>
                      <m:sty m:val="p"/>
                    </m:rPr>
                    <m:t>var</m:t>
                  </m:r>
                </m:sub>
              </m:sSub>
            </m:oMath>
          </w:p>
        </w:tc>
        <w:tc>
          <w:tcPr/>
          <w:p>
            <w:pPr>
              <w:pStyle w:val="Compact"/>
            </w:pPr>
            <w:r>
              <w:t xml:space="preserve">NZD/MWh</w:t>
            </w:r>
          </w:p>
        </w:tc>
        <w:tc>
          <w:tcPr/>
          <w:p>
            <w:pPr>
              <w:pStyle w:val="Compact"/>
            </w:pPr>
            <w:r>
              <w:t xml:space="preserve">Variable operation and maintenance</w:t>
            </w:r>
          </w:p>
        </w:tc>
      </w:tr>
      <w:tr>
        <w:tc>
          <w:tcPr/>
          <w:p>
            <w:pPr>
              <w:pStyle w:val="Compact"/>
            </w:pPr>
            <m:oMath>
              <m:r>
                <m:rPr>
                  <m:nor/>
                  <m:sty m:val="p"/>
                </m:rPr>
                <m:t>VOLL</m:t>
              </m:r>
            </m:oMath>
          </w:p>
        </w:tc>
        <w:tc>
          <w:tcPr/>
          <w:p>
            <w:pPr>
              <w:pStyle w:val="Compact"/>
            </w:pPr>
            <w:r>
              <w:t xml:space="preserve">NZD/MWh</w:t>
            </w:r>
          </w:p>
        </w:tc>
        <w:tc>
          <w:tcPr/>
          <w:p>
            <w:pPr>
              <w:pStyle w:val="Compact"/>
            </w:pPr>
            <w:r>
              <w:t xml:space="preserve">Value of lost load</w:t>
            </w:r>
          </w:p>
        </w:tc>
      </w:tr>
      <w:tr>
        <w:tc>
          <w:tcPr/>
          <w:p>
            <w:pPr>
              <w:pStyle w:val="Compact"/>
            </w:pPr>
            <m:oMath>
              <m:r>
                <m:t>r</m:t>
              </m:r>
            </m:oMath>
          </w:p>
        </w:tc>
        <w:tc>
          <w:tcPr/>
          <w:p>
            <w:pPr>
              <w:pStyle w:val="Compact"/>
            </w:pPr>
            <w:r>
              <w:t xml:space="preserve">—</w:t>
            </w:r>
          </w:p>
        </w:tc>
        <w:tc>
          <w:tcPr/>
          <w:p>
            <w:pPr>
              <w:pStyle w:val="Compact"/>
            </w:pPr>
            <w:r>
              <w:t xml:space="preserve">Discount rate</w:t>
            </w:r>
          </w:p>
        </w:tc>
      </w:tr>
      <w:tr>
        <w:tc>
          <w:tcPr/>
          <w:p>
            <w:pPr>
              <w:pStyle w:val="Compact"/>
            </w:pPr>
            <m:oMath>
              <m:r>
                <m:rPr>
                  <m:nor/>
                  <m:sty m:val="p"/>
                </m:rPr>
                <m:t>CRF</m:t>
              </m:r>
            </m:oMath>
          </w:p>
        </w:tc>
        <w:tc>
          <w:tcPr/>
          <w:p>
            <w:pPr>
              <w:pStyle w:val="Compact"/>
            </w:pPr>
            <w:r>
              <w:t xml:space="preserve">—</w:t>
            </w:r>
          </w:p>
        </w:tc>
        <w:tc>
          <w:tcPr/>
          <w:p>
            <w:pPr>
              <w:pStyle w:val="Compact"/>
            </w:pPr>
            <w:r>
              <w:t xml:space="preserve">Capital recovery factor</w:t>
            </w:r>
          </w:p>
        </w:tc>
      </w:tr>
      <w:tr>
        <w:tc>
          <w:tcPr/>
          <w:p>
            <w:pPr>
              <w:pStyle w:val="Compact"/>
            </w:pPr>
            <m:oMath>
              <m:sSub>
                <m:e>
                  <m:r>
                    <m:t>p</m:t>
                  </m:r>
                </m:e>
                <m:sub>
                  <m:sSub>
                    <m:e>
                      <m:r>
                        <m:rPr>
                          <m:nor/>
                          <m:sty m:val="p"/>
                        </m:rPr>
                        <m:t>CO</m:t>
                      </m:r>
                    </m:e>
                    <m:sub>
                      <m:r>
                        <m:t>2</m:t>
                      </m:r>
                    </m:sub>
                  </m:sSub>
                </m:sub>
              </m:sSub>
            </m:oMath>
          </w:p>
        </w:tc>
        <w:tc>
          <w:tcPr/>
          <w:p>
            <w:pPr>
              <w:pStyle w:val="Compact"/>
            </w:pPr>
            <w:r>
              <w:t xml:space="preserve">NZD/tCO₂e</w:t>
            </w:r>
          </w:p>
        </w:tc>
        <w:tc>
          <w:tcPr/>
          <w:p>
            <w:pPr>
              <w:pStyle w:val="Compact"/>
            </w:pPr>
            <w:r>
              <w:t xml:space="preserve">Carbon price (ETS)</w:t>
            </w:r>
          </w:p>
        </w:tc>
      </w:tr>
    </w:tbl>
    <w:p>
      <w:pPr>
        <w:pStyle w:val="BodyText"/>
      </w:pPr>
      <w:r>
        <w:t xml:space="preserve">Total system cost for pathway</w:t>
      </w:r>
      <w:r>
        <w:t xml:space="preserve"> </w:t>
      </w:r>
      <m:oMath>
        <m:r>
          <m:t>s</m:t>
        </m:r>
      </m:oMath>
      <w:r>
        <w:t xml:space="preserve"> </w:t>
      </w:r>
      <w:r>
        <w:t xml:space="preserve">under future</w:t>
      </w:r>
      <w:r>
        <w:t xml:space="preserve"> </w:t>
      </w:r>
      <m:oMath>
        <m:r>
          <m:t>ω</m:t>
        </m:r>
      </m:oMath>
      <w:r>
        <w:t xml:space="preserve">:</w:t>
      </w:r>
    </w:p>
    <w:p>
      <w:pPr>
        <w:pStyle w:val="BodyText"/>
      </w:pPr>
      <m:oMathPara>
        <m:oMathParaPr>
          <m:jc m:val="center"/>
        </m:oMathParaPr>
        <m:oMath>
          <m:r>
            <m:t>Z</m:t>
          </m:r>
          <m:r>
            <m:rPr>
              <m:sty m:val="p"/>
            </m:rPr>
            <m:t>(</m:t>
          </m:r>
          <m:r>
            <m:t>s</m:t>
          </m:r>
          <m:r>
            <m:rPr>
              <m:sty m:val="p"/>
            </m:rPr>
            <m:t>,</m:t>
          </m:r>
          <m:r>
            <m:t>ω</m:t>
          </m:r>
          <m:r>
            <m:rPr>
              <m:sty m:val="p"/>
            </m:rPr>
            <m:t>)</m:t>
          </m:r>
          <m:r>
            <m:rPr>
              <m:sty m:val="p"/>
            </m:rPr>
            <m:t>=</m:t>
          </m:r>
          <m:sSub>
            <m:e>
              <m:r>
                <m:t>C</m:t>
              </m:r>
            </m:e>
            <m:sub>
              <m:r>
                <m:rPr>
                  <m:nor/>
                  <m:sty m:val="p"/>
                </m:rPr>
                <m:t>site</m:t>
              </m:r>
            </m:sub>
          </m:sSub>
          <m:r>
            <m:rPr>
              <m:sty m:val="p"/>
            </m:rPr>
            <m:t>(</m:t>
          </m:r>
          <m:r>
            <m:t>s</m:t>
          </m:r>
          <m:r>
            <m:rPr>
              <m:sty m:val="p"/>
            </m:rPr>
            <m:t>,</m:t>
          </m:r>
          <m:r>
            <m:t>ω</m:t>
          </m:r>
          <m:r>
            <m:rPr>
              <m:sty m:val="p"/>
            </m:rPr>
            <m:t>)</m:t>
          </m:r>
          <m:r>
            <m:rPr>
              <m:sty m:val="p"/>
            </m:rPr>
            <m:t>+</m:t>
          </m:r>
          <m:sSub>
            <m:e>
              <m:r>
                <m:t>C</m:t>
              </m:r>
            </m:e>
            <m:sub>
              <m:r>
                <m:rPr>
                  <m:nor/>
                  <m:sty m:val="p"/>
                </m:rPr>
                <m:t>grid</m:t>
              </m:r>
            </m:sub>
          </m:sSub>
          <m:r>
            <m:rPr>
              <m:sty m:val="p"/>
            </m:rPr>
            <m:t>(</m:t>
          </m:r>
          <m:r>
            <m:t>s</m:t>
          </m:r>
          <m:r>
            <m:rPr>
              <m:sty m:val="p"/>
            </m:rPr>
            <m:t>,</m:t>
          </m:r>
          <m:r>
            <m:t>ω</m:t>
          </m:r>
          <m:r>
            <m:rPr>
              <m:sty m:val="p"/>
            </m:rPr>
            <m:t>)</m:t>
          </m:r>
        </m:oMath>
      </m:oMathPara>
    </w:p>
    <w:p>
      <w:pPr>
        <w:pStyle w:val="FirstParagraph"/>
      </w:pPr>
      <w:r>
        <w:t xml:space="preserve">where</w:t>
      </w:r>
      <w:r>
        <w:t xml:space="preserve"> </w:t>
      </w:r>
      <m:oMath>
        <m:sSub>
          <m:e>
            <m:r>
              <m:t>C</m:t>
            </m:r>
          </m:e>
          <m:sub>
            <m:r>
              <m:rPr>
                <m:nor/>
                <m:sty m:val="p"/>
              </m:rPr>
              <m:t>grid</m:t>
            </m:r>
          </m:sub>
        </m:sSub>
      </m:oMath>
      <w:r>
        <w:t xml:space="preserve"> </w:t>
      </w:r>
      <w:r>
        <w:t xml:space="preserve">includes annualised upgrade cost and</w:t>
      </w:r>
      <w:r>
        <w:t xml:space="preserve"> </w:t>
      </w:r>
      <w:r>
        <w:t xml:space="preserve">unserved energy penalty.</w:t>
      </w:r>
    </w:p>
    <w:p>
      <w:r>
        <w:pict>
          <v:rect style="width:0;height:1.5pt" o:hralign="center" o:hrstd="t" o:hr="t"/>
        </w:pict>
      </w:r>
    </w:p>
    <w:bookmarkEnd w:id="102"/>
    <w:bookmarkStart w:id="103" w:name="robustness-and-regret"/>
    <w:p>
      <w:pPr>
        <w:pStyle w:val="Heading2"/>
      </w:pPr>
      <w:r>
        <w:t xml:space="preserve">13.6 Robustness and Regret</w:t>
      </w:r>
    </w:p>
    <w:p>
      <w:pPr>
        <w:pStyle w:val="FirstParagraph"/>
      </w:pPr>
      <w:r>
        <w:rPr>
          <w:b/>
          <w:bCs/>
        </w:rPr>
        <w:t xml:space="preserve">Regret</w:t>
      </w:r>
      <w:r>
        <w:t xml:space="preserve"> </w:t>
      </w:r>
      <w:r>
        <w:t xml:space="preserve">of pathway</w:t>
      </w:r>
      <w:r>
        <w:t xml:space="preserve"> </w:t>
      </w:r>
      <m:oMath>
        <m:r>
          <m:t>s</m:t>
        </m:r>
      </m:oMath>
      <w:r>
        <w:t xml:space="preserve"> </w:t>
      </w:r>
      <w:r>
        <w:t xml:space="preserve">in future</w:t>
      </w:r>
      <w:r>
        <w:t xml:space="preserve"> </w:t>
      </w:r>
      <m:oMath>
        <m:r>
          <m:t>ω</m:t>
        </m:r>
      </m:oMath>
      <w:r>
        <w:t xml:space="preserve">:</w:t>
      </w:r>
    </w:p>
    <w:p>
      <w:pPr>
        <w:pStyle w:val="BodyText"/>
      </w:pPr>
      <m:oMathPara>
        <m:oMathParaPr>
          <m:jc m:val="center"/>
        </m:oMathParaPr>
        <m:oMath>
          <m:r>
            <m:t>ρ</m:t>
          </m:r>
          <m:r>
            <m:rPr>
              <m:sty m:val="p"/>
            </m:rPr>
            <m:t>(</m:t>
          </m:r>
          <m:r>
            <m:t>s</m:t>
          </m:r>
          <m:r>
            <m:rPr>
              <m:sty m:val="p"/>
            </m:rPr>
            <m:t>,</m:t>
          </m:r>
          <m:r>
            <m:t>ω</m:t>
          </m:r>
          <m:r>
            <m:rPr>
              <m:sty m:val="p"/>
            </m:rPr>
            <m:t>)</m:t>
          </m:r>
          <m:r>
            <m:rPr>
              <m:sty m:val="p"/>
            </m:rPr>
            <m:t>=</m:t>
          </m:r>
          <m:r>
            <m:t>Z</m:t>
          </m:r>
          <m:r>
            <m:rPr>
              <m:sty m:val="p"/>
            </m:rPr>
            <m:t>(</m:t>
          </m:r>
          <m:r>
            <m:t>s</m:t>
          </m:r>
          <m:r>
            <m:rPr>
              <m:sty m:val="p"/>
            </m:rPr>
            <m:t>,</m:t>
          </m:r>
          <m:r>
            <m:t>ω</m:t>
          </m:r>
          <m:r>
            <m:rPr>
              <m:sty m:val="p"/>
            </m:rPr>
            <m:t>)</m:t>
          </m:r>
          <m:r>
            <m:rPr>
              <m:sty m:val="p"/>
            </m:rPr>
            <m:t>−</m:t>
          </m:r>
          <m:limLow>
            <m:e>
              <m:r>
                <m:rPr>
                  <m:sty m:val="p"/>
                </m:rPr>
                <m:t>min</m:t>
              </m:r>
            </m:e>
            <m:lim>
              <m:sSup>
                <m:e>
                  <m:r>
                    <m:t>s</m:t>
                  </m:r>
                </m:e>
                <m:sup>
                  <m:r>
                    <m:rPr>
                      <m:sty m:val="p"/>
                    </m:rPr>
                    <m:t>′</m:t>
                  </m:r>
                </m:sup>
              </m:sSup>
              <m:r>
                <m:rPr>
                  <m:sty m:val="p"/>
                </m:rPr>
                <m:t>∈</m:t>
              </m:r>
              <m:r>
                <m:rPr>
                  <m:scr m:val="script"/>
                  <m:sty m:val="p"/>
                </m:rPr>
                <m:t>S</m:t>
              </m:r>
            </m:lim>
          </m:limLow>
          <m:r>
            <m:t>Z</m:t>
          </m:r>
          <m:r>
            <m:rPr>
              <m:sty m:val="p"/>
            </m:rPr>
            <m:t>(</m:t>
          </m:r>
          <m:sSup>
            <m:e>
              <m:r>
                <m:t>s</m:t>
              </m:r>
            </m:e>
            <m:sup>
              <m:r>
                <m:rPr>
                  <m:sty m:val="p"/>
                </m:rPr>
                <m:t>′</m:t>
              </m:r>
            </m:sup>
          </m:sSup>
          <m:r>
            <m:rPr>
              <m:sty m:val="p"/>
            </m:rPr>
            <m:t>,</m:t>
          </m:r>
          <m:r>
            <m:t>ω</m:t>
          </m:r>
          <m:r>
            <m:rPr>
              <m:sty m:val="p"/>
            </m:rPr>
            <m:t>)</m:t>
          </m:r>
        </m:oMath>
      </m:oMathPara>
    </w:p>
    <w:p>
      <w:pPr>
        <w:pStyle w:val="FirstParagraph"/>
      </w:pPr>
      <w:r>
        <w:t xml:space="preserve">Regret is zero for the minimum-cost pathway in each future</w:t>
      </w:r>
      <w:r>
        <w:t xml:space="preserve"> </w:t>
      </w:r>
      <w:r>
        <w:t xml:space="preserve">and positive for all others.</w:t>
      </w:r>
    </w:p>
    <w:p>
      <w:pPr>
        <w:pStyle w:val="BodyText"/>
      </w:pPr>
      <w:r>
        <w:rPr>
          <w:b/>
          <w:bCs/>
        </w:rPr>
        <w:t xml:space="preserve">Maximum regret</w:t>
      </w:r>
      <w:r>
        <w:t xml:space="preserve">:</w:t>
      </w:r>
    </w:p>
    <w:p>
      <w:pPr>
        <w:pStyle w:val="BodyText"/>
      </w:pPr>
      <m:oMathPara>
        <m:oMathParaPr>
          <m:jc m:val="center"/>
        </m:oMathParaPr>
        <m:oMath>
          <m:sSub>
            <m:e>
              <m:r>
                <m:t>R</m:t>
              </m:r>
            </m:e>
            <m:sub>
              <m:r>
                <m:rPr>
                  <m:sty m:val="p"/>
                </m:rPr>
                <m:t>max</m:t>
              </m:r>
            </m:sub>
          </m:sSub>
          <m:r>
            <m:rPr>
              <m:sty m:val="p"/>
            </m:rPr>
            <m:t>(</m:t>
          </m:r>
          <m:r>
            <m:t>s</m:t>
          </m:r>
          <m:r>
            <m:rPr>
              <m:sty m:val="p"/>
            </m:rPr>
            <m:t>)</m:t>
          </m:r>
          <m:r>
            <m:rPr>
              <m:sty m:val="p"/>
            </m:rPr>
            <m:t>=</m:t>
          </m:r>
          <m:limLow>
            <m:e>
              <m:r>
                <m:rPr>
                  <m:sty m:val="p"/>
                </m:rPr>
                <m:t>max</m:t>
              </m:r>
            </m:e>
            <m:lim>
              <m:r>
                <m:t>ω</m:t>
              </m:r>
              <m:r>
                <m:rPr>
                  <m:sty m:val="p"/>
                </m:rPr>
                <m:t>∈</m:t>
              </m:r>
              <m:r>
                <m:rPr>
                  <m:sty m:val="p"/>
                </m:rPr>
                <m:t>Ω</m:t>
              </m:r>
            </m:lim>
          </m:limLow>
          <m:r>
            <m:t>ρ</m:t>
          </m:r>
          <m:r>
            <m:rPr>
              <m:sty m:val="p"/>
            </m:rPr>
            <m:t>(</m:t>
          </m:r>
          <m:r>
            <m:t>s</m:t>
          </m:r>
          <m:r>
            <m:rPr>
              <m:sty m:val="p"/>
            </m:rPr>
            <m:t>,</m:t>
          </m:r>
          <m:r>
            <m:t>ω</m:t>
          </m:r>
          <m:r>
            <m:rPr>
              <m:sty m:val="p"/>
            </m:rPr>
            <m:t>)</m:t>
          </m:r>
        </m:oMath>
      </m:oMathPara>
    </w:p>
    <w:p>
      <w:pPr>
        <w:pStyle w:val="FirstParagraph"/>
      </w:pPr>
      <w:r>
        <w:rPr>
          <w:b/>
          <w:bCs/>
        </w:rPr>
        <w:t xml:space="preserve">Satisficing rate</w:t>
      </w:r>
      <w:r>
        <w:t xml:space="preserve"> </w:t>
      </w:r>
      <w:r>
        <w:t xml:space="preserve">at threshold</w:t>
      </w:r>
      <w:r>
        <w:t xml:space="preserve"> </w:t>
      </w:r>
      <m:oMath>
        <m:r>
          <m:t>τ</m:t>
        </m:r>
      </m:oMath>
      <w:r>
        <w:t xml:space="preserve">:</w:t>
      </w:r>
    </w:p>
    <w:p>
      <w:pPr>
        <w:pStyle w:val="BodyText"/>
      </w:pPr>
      <m:oMathPara>
        <m:oMathParaPr>
          <m:jc m:val="center"/>
        </m:oMathParaPr>
        <m:oMath>
          <m:r>
            <m:rPr>
              <m:nor/>
              <m:sty m:val="p"/>
            </m:rPr>
            <m:t>SR</m:t>
          </m:r>
          <m:r>
            <m:rPr>
              <m:sty m:val="p"/>
            </m:rPr>
            <m:t>(</m:t>
          </m:r>
          <m:r>
            <m:t>s</m:t>
          </m:r>
          <m:r>
            <m:rPr>
              <m:sty m:val="p"/>
            </m:rPr>
            <m:t>,</m:t>
          </m:r>
          <m:r>
            <m:t>τ</m:t>
          </m:r>
          <m:r>
            <m:rPr>
              <m:sty m:val="p"/>
            </m:rPr>
            <m:t>)</m:t>
          </m:r>
          <m:r>
            <m:rPr>
              <m:sty m:val="p"/>
            </m:rPr>
            <m:t>=</m:t>
          </m:r>
          <m:f>
            <m:fPr>
              <m:type m:val="bar"/>
            </m:fPr>
            <m:num>
              <m:r>
                <m:rPr>
                  <m:sty m:val="p"/>
                </m:rPr>
                <m:t>|</m:t>
              </m:r>
              <m:r>
                <m:rPr>
                  <m:sty m:val="p"/>
                </m:rPr>
                <m:t>{</m:t>
              </m:r>
              <m:r>
                <m:t>ω</m:t>
              </m:r>
              <m:r>
                <m:rPr>
                  <m:sty m:val="p"/>
                </m:rPr>
                <m:t>∈</m:t>
              </m:r>
              <m:r>
                <m:rPr>
                  <m:sty m:val="p"/>
                </m:rPr>
                <m:t>Ω</m:t>
              </m:r>
              <m:r>
                <m:rPr>
                  <m:sty m:val="p"/>
                </m:rPr>
                <m:t>:</m:t>
              </m:r>
              <m:r>
                <m:t>Z</m:t>
              </m:r>
              <m:r>
                <m:rPr>
                  <m:sty m:val="p"/>
                </m:rPr>
                <m:t>(</m:t>
              </m:r>
              <m:r>
                <m:t>s</m:t>
              </m:r>
              <m:r>
                <m:rPr>
                  <m:sty m:val="p"/>
                </m:rPr>
                <m:t>,</m:t>
              </m:r>
              <m:r>
                <m:t>ω</m:t>
              </m:r>
              <m:r>
                <m:rPr>
                  <m:sty m:val="p"/>
                </m:rPr>
                <m:t>)</m:t>
              </m:r>
              <m:r>
                <m:rPr>
                  <m:sty m:val="p"/>
                </m:rPr>
                <m:t>≤</m:t>
              </m:r>
              <m:r>
                <m:t>τ</m:t>
              </m:r>
              <m:r>
                <m:rPr>
                  <m:sty m:val="p"/>
                </m:rPr>
                <m:t>}</m:t>
              </m:r>
              <m:r>
                <m:rPr>
                  <m:sty m:val="p"/>
                </m:rPr>
                <m:t>|</m:t>
              </m:r>
            </m:num>
            <m:den>
              <m:r>
                <m:rPr>
                  <m:sty m:val="p"/>
                </m:rPr>
                <m:t>|</m:t>
              </m:r>
              <m:r>
                <m:rPr>
                  <m:sty m:val="p"/>
                </m:rPr>
                <m:t>Ω</m:t>
              </m:r>
              <m:r>
                <m:rPr>
                  <m:sty m:val="p"/>
                </m:rPr>
                <m:t>|</m:t>
              </m:r>
            </m:den>
          </m:f>
        </m:oMath>
      </m:oMathPara>
    </w:p>
    <w:p>
      <w:pPr>
        <w:pStyle w:val="FirstParagraph"/>
      </w:pPr>
      <w:r>
        <w:rPr>
          <w:b/>
          <w:bCs/>
        </w:rPr>
        <w:t xml:space="preserve">Win rate</w:t>
      </w:r>
      <w:r>
        <w:t xml:space="preserve"> </w:t>
      </w:r>
      <w:r>
        <w:t xml:space="preserve">(fraction of futures where</w:t>
      </w:r>
      <w:r>
        <w:t xml:space="preserve"> </w:t>
      </w:r>
      <m:oMath>
        <m:r>
          <m:t>s</m:t>
        </m:r>
      </m:oMath>
      <w:r>
        <w:t xml:space="preserve"> </w:t>
      </w:r>
      <w:r>
        <w:t xml:space="preserve">is minimum-cost):</w:t>
      </w:r>
    </w:p>
    <w:p>
      <w:pPr>
        <w:pStyle w:val="BodyText"/>
      </w:pPr>
      <m:oMathPara>
        <m:oMathParaPr>
          <m:jc m:val="center"/>
        </m:oMathParaPr>
        <m:oMath>
          <m:r>
            <m:rPr>
              <m:nor/>
              <m:sty m:val="p"/>
            </m:rPr>
            <m:t>WR</m:t>
          </m:r>
          <m:r>
            <m:rPr>
              <m:sty m:val="p"/>
            </m:rPr>
            <m:t>(</m:t>
          </m:r>
          <m:r>
            <m:t>s</m:t>
          </m:r>
          <m:r>
            <m:rPr>
              <m:sty m:val="p"/>
            </m:rPr>
            <m:t>)</m:t>
          </m:r>
          <m:r>
            <m:rPr>
              <m:sty m:val="p"/>
            </m:rPr>
            <m:t>=</m:t>
          </m:r>
          <m:f>
            <m:fPr>
              <m:type m:val="bar"/>
            </m:fPr>
            <m:num>
              <m:r>
                <m:rPr>
                  <m:sty m:val="p"/>
                </m:rPr>
                <m:t>|</m:t>
              </m:r>
              <m:r>
                <m:rPr>
                  <m:sty m:val="p"/>
                </m:rPr>
                <m:t>{</m:t>
              </m:r>
              <m:r>
                <m:t>ω</m:t>
              </m:r>
              <m:r>
                <m:rPr>
                  <m:sty m:val="p"/>
                </m:rPr>
                <m:t>∈</m:t>
              </m:r>
              <m:r>
                <m:rPr>
                  <m:sty m:val="p"/>
                </m:rPr>
                <m:t>Ω</m:t>
              </m:r>
              <m:r>
                <m:rPr>
                  <m:sty m:val="p"/>
                </m:rPr>
                <m:t>:</m:t>
              </m:r>
              <m:r>
                <m:t>ρ</m:t>
              </m:r>
              <m:r>
                <m:rPr>
                  <m:sty m:val="p"/>
                </m:rPr>
                <m:t>(</m:t>
              </m:r>
              <m:r>
                <m:t>s</m:t>
              </m:r>
              <m:r>
                <m:rPr>
                  <m:sty m:val="p"/>
                </m:rPr>
                <m:t>,</m:t>
              </m:r>
              <m:r>
                <m:t>ω</m:t>
              </m:r>
              <m:r>
                <m:rPr>
                  <m:sty m:val="p"/>
                </m:rPr>
                <m:t>)</m:t>
              </m:r>
              <m:r>
                <m:rPr>
                  <m:sty m:val="p"/>
                </m:rPr>
                <m:t>=</m:t>
              </m:r>
              <m:r>
                <m:t>0</m:t>
              </m:r>
              <m:r>
                <m:rPr>
                  <m:sty m:val="p"/>
                </m:rPr>
                <m:t>}</m:t>
              </m:r>
              <m:r>
                <m:rPr>
                  <m:sty m:val="p"/>
                </m:rPr>
                <m:t>|</m:t>
              </m:r>
            </m:num>
            <m:den>
              <m:r>
                <m:rPr>
                  <m:sty m:val="p"/>
                </m:rPr>
                <m:t>|</m:t>
              </m:r>
              <m:r>
                <m:rPr>
                  <m:sty m:val="p"/>
                </m:rPr>
                <m:t>Ω</m:t>
              </m:r>
              <m:r>
                <m:rPr>
                  <m:sty m:val="p"/>
                </m:rPr>
                <m:t>|</m:t>
              </m:r>
            </m:den>
          </m:f>
        </m:oMath>
      </m:oMathPara>
    </w:p>
    <w:p>
      <w:r>
        <w:pict>
          <v:rect style="width:0;height:1.5pt" o:hralign="center" o:hrstd="t" o:hr="t"/>
        </w:pict>
      </w:r>
    </w:p>
    <w:bookmarkEnd w:id="103"/>
    <w:bookmarkStart w:id="104" w:name="X89cfa361ec77b148628229a0da91787638b71af"/>
    <w:p>
      <w:pPr>
        <w:pStyle w:val="Heading2"/>
      </w:pPr>
      <w:r>
        <w:t xml:space="preserve">13.7 Uncertainty Multipliers (Paired-Futures Ensemble)</w:t>
      </w:r>
    </w:p>
    <w:p>
      <w:pPr>
        <w:pStyle w:val="FirstParagraph"/>
      </w:pPr>
      <w:r>
        <w:t xml:space="preserve">Each future</w:t>
      </w:r>
      <w:r>
        <w:t xml:space="preserve"> </w:t>
      </w:r>
      <m:oMath>
        <m:r>
          <m:t>ω</m:t>
        </m:r>
      </m:oMath>
      <w:r>
        <w:t xml:space="preserve"> </w:t>
      </w:r>
      <w:r>
        <w:t xml:space="preserve">is characterised by a vector of</w:t>
      </w:r>
      <w:r>
        <w:t xml:space="preserve"> </w:t>
      </w:r>
      <w:r>
        <w:t xml:space="preserve">uncertain driver realisations. In the proof-of-concept</w:t>
      </w:r>
      <w:r>
        <w:t xml:space="preserve"> </w:t>
      </w:r>
      <w:r>
        <w:t xml:space="preserve">ensemble of 100 paired futures: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Multiplier</w:t>
            </w:r>
          </w:p>
        </w:tc>
        <w:tc>
          <w:tcPr/>
          <w:p>
            <w:pPr>
              <w:pStyle w:val="Compact"/>
            </w:pPr>
            <w:r>
              <w:t xml:space="preserve">Applied to</w:t>
            </w:r>
          </w:p>
        </w:tc>
        <w:tc>
          <w:tcPr/>
          <w:p>
            <w:pPr>
              <w:pStyle w:val="Compact"/>
            </w:pPr>
            <w:r>
              <w:t xml:space="preserve">P10 / Median / P90</w:t>
            </w:r>
          </w:p>
        </w:tc>
      </w:tr>
      <w:tr>
        <w:tc>
          <w:tcPr/>
          <w:p>
            <w:pPr>
              <w:pStyle w:val="Compact"/>
            </w:pPr>
            <m:oMath>
              <m:sSubSup>
                <m:e>
                  <m:r>
                    <m:t>P</m:t>
                  </m:r>
                </m:e>
                <m:sub>
                  <m:r>
                    <m:rPr>
                      <m:nor/>
                      <m:sty m:val="p"/>
                    </m:rPr>
                    <m:t>elec</m:t>
                  </m:r>
                </m:sub>
                <m:sup>
                  <m:r>
                    <m:t>ω</m:t>
                  </m:r>
                </m:sup>
              </m:sSubSup>
            </m:oMath>
          </w:p>
        </w:tc>
        <w:tc>
          <w:tcPr/>
          <w:p>
            <w:pPr>
              <w:pStyle w:val="Compact"/>
            </w:pPr>
            <w:r>
              <w:t xml:space="preserve">Site electricity cost</w:t>
            </w:r>
          </w:p>
        </w:tc>
        <w:tc>
          <w:tcPr/>
          <w:p>
            <w:pPr>
              <w:pStyle w:val="Compact"/>
            </w:pPr>
            <w:r>
              <w:t xml:space="preserve">0.785 / 0.987 / 1.184</w:t>
            </w:r>
          </w:p>
        </w:tc>
      </w:tr>
      <w:tr>
        <w:tc>
          <w:tcPr/>
          <w:p>
            <w:pPr>
              <w:pStyle w:val="Compact"/>
            </w:pPr>
            <m:oMath>
              <m:sSubSup>
                <m:e>
                  <m:r>
                    <m:t>P</m:t>
                  </m:r>
                </m:e>
                <m:sub>
                  <m:r>
                    <m:rPr>
                      <m:nor/>
                      <m:sty m:val="p"/>
                    </m:rPr>
                    <m:t>bio</m:t>
                  </m:r>
                </m:sub>
                <m:sup>
                  <m:r>
                    <m:t>ω</m:t>
                  </m:r>
                </m:sup>
              </m:sSubSup>
            </m:oMath>
          </w:p>
        </w:tc>
        <w:tc>
          <w:tcPr/>
          <w:p>
            <w:pPr>
              <w:pStyle w:val="Compact"/>
            </w:pPr>
            <w:r>
              <w:t xml:space="preserve">Site biomass cost</w:t>
            </w:r>
          </w:p>
        </w:tc>
        <w:tc>
          <w:tcPr/>
          <w:p>
            <w:pPr>
              <w:pStyle w:val="Compact"/>
            </w:pPr>
            <w:r>
              <w:t xml:space="preserve">1.133 / 1.486 / 2.038</w:t>
            </w:r>
          </w:p>
        </w:tc>
      </w:tr>
      <w:tr>
        <w:tc>
          <w:tcPr/>
          <w:p>
            <w:pPr>
              <w:pStyle w:val="Compact"/>
            </w:pPr>
            <m:oMath>
              <m:sSubSup>
                <m:e>
                  <m:r>
                    <m:t>P</m:t>
                  </m:r>
                </m:e>
                <m:sub>
                  <m:r>
                    <m:rPr>
                      <m:nor/>
                      <m:sty m:val="p"/>
                    </m:rPr>
                    <m:t>ETS</m:t>
                  </m:r>
                </m:sub>
                <m:sup>
                  <m:r>
                    <m:t>ω</m:t>
                  </m:r>
                </m:sup>
              </m:sSubSup>
            </m:oMath>
          </w:p>
        </w:tc>
        <w:tc>
          <w:tcPr/>
          <w:p>
            <w:pPr>
              <w:pStyle w:val="Compact"/>
            </w:pPr>
            <w:r>
              <w:t xml:space="preserve">Carbon proxy cost</w:t>
            </w:r>
          </w:p>
        </w:tc>
        <w:tc>
          <w:tcPr/>
          <w:p>
            <w:pPr>
              <w:pStyle w:val="Compact"/>
            </w:pPr>
            <w:r>
              <w:t xml:space="preserve">0.950 / 1.275 / 1.654</w:t>
            </w:r>
          </w:p>
        </w:tc>
      </w:tr>
      <w:tr>
        <w:tc>
          <w:tcPr/>
          <w:p>
            <w:pPr>
              <w:pStyle w:val="Compact"/>
            </w:pPr>
            <m:oMath>
              <m:sSubSup>
                <m:e>
                  <m:r>
                    <m:t>U</m:t>
                  </m:r>
                </m:e>
                <m:sub>
                  <m:r>
                    <m:rPr>
                      <m:nor/>
                      <m:sty m:val="p"/>
                    </m:rPr>
                    <m:t>head</m:t>
                  </m:r>
                </m:sub>
                <m:sup>
                  <m:r>
                    <m:t>ω</m:t>
                  </m:r>
                </m:sup>
              </m:sSubSup>
            </m:oMath>
          </w:p>
        </w:tc>
        <w:tc>
          <w:tcPr/>
          <w:p>
            <w:pPr>
              <w:pStyle w:val="Compact"/>
            </w:pPr>
            <w:r>
              <w:t xml:space="preserve">GXP headroom</w:t>
            </w:r>
          </w:p>
        </w:tc>
        <w:tc>
          <w:tcPr/>
          <w:p>
            <w:pPr>
              <w:pStyle w:val="Compact"/>
            </w:pPr>
            <w:r>
              <w:t xml:space="preserve">0.817 / 0.890 / 0.950</w:t>
            </w:r>
          </w:p>
        </w:tc>
      </w:tr>
      <w:tr>
        <w:tc>
          <w:tcPr/>
          <w:p>
            <w:pPr>
              <w:pStyle w:val="Compact"/>
            </w:pPr>
            <m:oMath>
              <m:sSubSup>
                <m:e>
                  <m:r>
                    <m:t>U</m:t>
                  </m:r>
                </m:e>
                <m:sub>
                  <m:r>
                    <m:rPr>
                      <m:nor/>
                      <m:sty m:val="p"/>
                    </m:rPr>
                    <m:t>inc</m:t>
                  </m:r>
                </m:sub>
                <m:sup>
                  <m:r>
                    <m:t>ω</m:t>
                  </m:r>
                </m:sup>
              </m:sSubSup>
            </m:oMath>
          </w:p>
        </w:tc>
        <w:tc>
          <w:tcPr/>
          <w:p>
            <w:pPr>
              <w:pStyle w:val="Compact"/>
            </w:pPr>
            <w:r>
              <w:t xml:space="preserve">Incremental load</w:t>
            </w:r>
          </w:p>
        </w:tc>
        <w:tc>
          <w:tcPr/>
          <w:p>
            <w:pPr>
              <w:pStyle w:val="Compact"/>
            </w:pPr>
            <w:r>
              <w:t xml:space="preserve">0.927 / 1.003 / 1.081</w:t>
            </w:r>
          </w:p>
        </w:tc>
      </w:tr>
      <w:tr>
        <w:tc>
          <w:tcPr/>
          <w:p>
            <w:pPr>
              <w:pStyle w:val="Compact"/>
            </w:pPr>
            <m:oMath>
              <m:sSubSup>
                <m:e>
                  <m:r>
                    <m:t>U</m:t>
                  </m:r>
                </m:e>
                <m:sub>
                  <m:r>
                    <m:rPr>
                      <m:nor/>
                      <m:sty m:val="p"/>
                    </m:rPr>
                    <m:t>upgrade</m:t>
                  </m:r>
                </m:sub>
                <m:sup>
                  <m:r>
                    <m:t>ω</m:t>
                  </m:r>
                </m:sup>
              </m:sSubSup>
            </m:oMath>
          </w:p>
        </w:tc>
        <w:tc>
          <w:tcPr/>
          <w:p>
            <w:pPr>
              <w:pStyle w:val="Compact"/>
            </w:pPr>
            <w:r>
              <w:t xml:space="preserve">Upgrade CAPEX</w:t>
            </w:r>
          </w:p>
        </w:tc>
        <w:tc>
          <w:tcPr/>
          <w:p>
            <w:pPr>
              <w:pStyle w:val="Compact"/>
            </w:pPr>
            <w:r>
              <w:t xml:space="preserve">0.920 / 1.071 / 1.285</w:t>
            </w:r>
          </w:p>
        </w:tc>
      </w:tr>
      <w:tr>
        <w:tc>
          <w:tcPr/>
          <w:p>
            <w:pPr>
              <w:pStyle w:val="Compact"/>
            </w:pPr>
            <m:oMath>
              <m:sSup>
                <m:e>
                  <m:r>
                    <m:rPr>
                      <m:nor/>
                      <m:sty m:val="p"/>
                    </m:rPr>
                    <m:t>VOLL</m:t>
                  </m:r>
                </m:e>
                <m:sup>
                  <m:r>
                    <m:t>ω</m:t>
                  </m:r>
                </m:sup>
              </m:sSup>
            </m:oMath>
          </w:p>
        </w:tc>
        <w:tc>
          <w:tcPr/>
          <w:p>
            <w:pPr>
              <w:pStyle w:val="Compact"/>
            </w:pPr>
            <w:r>
              <w:t xml:space="preserve">Unserved penalty</w:t>
            </w:r>
          </w:p>
        </w:tc>
        <w:tc>
          <w:tcPr/>
          <w:p>
            <w:pPr>
              <w:pStyle w:val="Compact"/>
            </w:pPr>
            <w:r>
              <w:t xml:space="preserve">10,000–20,000 NZD/MWh</w:t>
            </w:r>
          </w:p>
        </w:tc>
      </w:tr>
    </w:tbl>
    <w:p>
      <w:pPr>
        <w:pStyle w:val="BodyText"/>
      </w:pPr>
      <w:r>
        <w:t xml:space="preserve">All multipliers are applied multiplicatively to baseline</w:t>
      </w:r>
      <w:r>
        <w:t xml:space="preserve"> </w:t>
      </w:r>
      <w:r>
        <w:t xml:space="preserve">values. The paired-futures contract requires that both EB</w:t>
      </w:r>
      <w:r>
        <w:t xml:space="preserve"> </w:t>
      </w:r>
      <w:r>
        <w:t xml:space="preserve">and BB pathways are evaluated under identical</w:t>
      </w:r>
      <w:r>
        <w:t xml:space="preserve"> </w:t>
      </w:r>
      <m:oMath>
        <m:r>
          <m:rPr>
            <m:sty m:val="p"/>
          </m:rPr>
          <m:t>{</m:t>
        </m:r>
        <m:r>
          <m:t>ω</m:t>
        </m:r>
        <m:sSubSup>
          <m:e>
            <m:r>
              <m:rPr>
                <m:sty m:val="p"/>
              </m:rPr>
              <m:t>}</m:t>
            </m:r>
          </m:e>
          <m:sub>
            <m:r>
              <m:t>0</m:t>
            </m:r>
          </m:sub>
          <m:sup>
            <m:r>
              <m:t>99</m:t>
            </m:r>
          </m:sup>
        </m:sSubSup>
      </m:oMath>
      <w:r>
        <w:t xml:space="preserve"> </w:t>
      </w:r>
      <w:r>
        <w:t xml:space="preserve">to ensure comparability.</w:t>
      </w:r>
    </w:p>
    <w:bookmarkEnd w:id="104"/>
    <w:bookmarkEnd w:id="105"/>
    <w:bookmarkStart w:id="106" w:name="the-framework-design"/>
    <w:p>
      <w:pPr>
        <w:pStyle w:val="Heading1"/>
      </w:pPr>
      <w:r>
        <w:t xml:space="preserve">14. The Framework Design</w:t>
      </w:r>
    </w:p>
    <w:p>
      <w:pPr>
        <w:pStyle w:val="FirstParagraph"/>
      </w:pPr>
      <w:r>
        <w:t xml:space="preserve">This cluster specifies how the analytical</w:t>
      </w:r>
      <w:r>
        <w:t xml:space="preserve"> </w:t>
      </w:r>
      <w:r>
        <w:t xml:space="preserve">environment is built — the artefact governance</w:t>
      </w:r>
      <w:r>
        <w:t xml:space="preserve"> </w:t>
      </w:r>
      <w:r>
        <w:t xml:space="preserve">architecture, the thin-waist interface design,</w:t>
      </w:r>
      <w:r>
        <w:t xml:space="preserve"> </w:t>
      </w:r>
      <w:r>
        <w:t xml:space="preserve">the modelling methods available at each layer,</w:t>
      </w:r>
      <w:r>
        <w:t xml:space="preserve"> </w:t>
      </w:r>
      <w:r>
        <w:t xml:space="preserve">and the domain translation that makes the</w:t>
      </w:r>
      <w:r>
        <w:t xml:space="preserve"> </w:t>
      </w:r>
      <w:r>
        <w:t xml:space="preserve">framework instantiable in a specific industrial</w:t>
      </w:r>
      <w:r>
        <w:t xml:space="preserve"> </w:t>
      </w:r>
      <w:r>
        <w:t xml:space="preserve">context.</w:t>
      </w:r>
    </w:p>
    <w:p>
      <w:pPr>
        <w:pStyle w:val="BodyText"/>
      </w:pPr>
      <w:r>
        <w:t xml:space="preserve">The architecture section (modular design and</w:t>
      </w:r>
      <w:r>
        <w:t xml:space="preserve"> </w:t>
      </w:r>
      <w:r>
        <w:t xml:space="preserve">artefact governance) is the intellectual core</w:t>
      </w:r>
      <w:r>
        <w:t xml:space="preserve"> </w:t>
      </w:r>
      <w:r>
        <w:t xml:space="preserve">of the framework. The modelling methods section</w:t>
      </w:r>
      <w:r>
        <w:t xml:space="preserve"> </w:t>
      </w:r>
      <w:r>
        <w:t xml:space="preserve">provides the toolbox. Domain translation shows</w:t>
      </w:r>
      <w:r>
        <w:t xml:space="preserve"> </w:t>
      </w:r>
      <w:r>
        <w:t xml:space="preserve">how general principles become specific to</w:t>
      </w:r>
      <w:r>
        <w:t xml:space="preserve"> </w:t>
      </w:r>
      <w:r>
        <w:t xml:space="preserve">industrial process heat.</w:t>
      </w:r>
    </w:p>
    <w:p>
      <w:r>
        <w:pict>
          <v:rect style="width:0;height:1.5pt" o:hralign="center" o:hrstd="t" o:hr="t"/>
        </w:pict>
      </w:r>
    </w:p>
    <w:bookmarkEnd w:id="106"/>
    <w:bookmarkStart w:id="124" w:name="module-3-architecture"/>
    <w:p>
      <w:pPr>
        <w:pStyle w:val="Heading1"/>
      </w:pPr>
      <w:r>
        <w:t xml:space="preserve">15. Module 3: Architecture</w:t>
      </w:r>
    </w:p>
    <w:p>
      <w:pPr>
        <w:pStyle w:val="FirstParagraph"/>
      </w:pPr>
      <w:r>
        <w:t xml:space="preserve">Modular Decomposition, Artefacts, and Governed Persistence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3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Defines the structural core of the framework: how modules are decomposed, how they exchange governed artefacts through thin-waist interfaces, and how those artefacts persist in a queryable backbone</w:t>
                  </w:r>
                </w:p>
              </w:tc>
            </w:tr>
            <w:tr>
              <w:tc>
                <w:tcPr/>
                <w:p>
                  <w:pPr>
                    <w:pStyle w:val="Compact"/>
                  </w:pPr>
                  <w:r>
                    <w:rPr>
                      <w:b/>
                      <w:bCs/>
                    </w:rPr>
                    <w:t xml:space="preserve">Assumes</w:t>
                  </w:r>
                </w:p>
              </w:tc>
              <w:tc>
                <w:tcPr/>
                <w:p>
                  <w:pPr>
                    <w:pStyle w:val="Compact"/>
                  </w:pPr>
                  <w:r>
                    <w:t xml:space="preserve">Modules 1 and 2 — the seven requirements of Module 1 §1.7 are the specification this module’s architecture is designed to satisfy; the tools of Module 2 are what the architecture organises</w:t>
                  </w:r>
                </w:p>
              </w:tc>
            </w:tr>
            <w:tr>
              <w:tc>
                <w:tcPr/>
                <w:p>
                  <w:pPr>
                    <w:pStyle w:val="Compact"/>
                  </w:pPr>
                  <w:r>
                    <w:rPr>
                      <w:b/>
                      <w:bCs/>
                    </w:rPr>
                    <w:t xml:space="preserve">Contributes</w:t>
                  </w:r>
                </w:p>
              </w:tc>
              <w:tc>
                <w:tcPr/>
                <w:p>
                  <w:pPr>
                    <w:pStyle w:val="Compact"/>
                  </w:pPr>
                  <w:r>
                    <w:t xml:space="preserve">Modular decomposition logic; the five-layer architecture; the thin-waist artefact exchange; the seven canonical artefact families and their schema design principles; artefact lifecycle and acceptance gate logic; the analytical backbone design; and AI/ML artefact governance</w:t>
                  </w:r>
                </w:p>
              </w:tc>
            </w:tr>
            <w:tr>
              <w:tc>
                <w:tcPr/>
                <w:p>
                  <w:pPr>
                    <w:pStyle w:val="Compact"/>
                  </w:pPr>
                  <w:r>
                    <w:rPr>
                      <w:b/>
                      <w:bCs/>
                    </w:rPr>
                    <w:t xml:space="preserve">Passes to</w:t>
                  </w:r>
                </w:p>
              </w:tc>
              <w:tc>
                <w:tcPr/>
                <w:p>
                  <w:pPr>
                    <w:pStyle w:val="Compact"/>
                  </w:pPr>
                  <w:r>
                    <w:t xml:space="preserve">Module 4 (domain translation of these architectural concepts); Module 6 (proof-of-concept instantiation)</w:t>
                  </w:r>
                </w:p>
              </w:tc>
            </w:tr>
            <w:tr>
              <w:tc>
                <w:tcPr/>
                <w:p>
                  <w:pPr>
                    <w:pStyle w:val="Compact"/>
                  </w:pPr>
                  <w:r>
                    <w:rPr>
                      <w:b/>
                      <w:bCs/>
                    </w:rPr>
                    <w:t xml:space="preserve">Can be read independently</w:t>
                  </w:r>
                </w:p>
              </w:tc>
              <w:tc>
                <w:tcPr/>
                <w:p>
                  <w:pPr>
                    <w:pStyle w:val="Compact"/>
                  </w:pPr>
                  <w:r>
                    <w:t xml:space="preserve">Partially — the rationale for architectural choices is clearest after Modules 1 and 2, but the section on artefact families (§3.5) can serve as a reference independently</w:t>
                  </w:r>
                </w:p>
              </w:tc>
            </w:tr>
            <w:tr>
              <w:tc>
                <w:tcPr/>
                <w:p>
                  <w:pPr>
                    <w:pStyle w:val="Compact"/>
                  </w:pPr>
                  <w:r>
                    <w:rPr>
                      <w:b/>
                      <w:bCs/>
                    </w:rPr>
                    <w:t xml:space="preserve">Sub-Modules</w:t>
                  </w:r>
                </w:p>
              </w:tc>
              <w:tc>
                <w:tcPr/>
                <w:p>
                  <w:pPr>
                    <w:pStyle w:val="Compact"/>
                  </w:pPr>
                  <w:r>
                    <w:t xml:space="preserve">SM-3.5-A (Canonical Artefact Schema Reference); SM-3.7-A (Backbone Implementation: DuckDB, Parquet, Snakemake); SM-3.8-A (AI/ML Provenance Requirements and Acceptance Protocol)</w:t>
                  </w:r>
                </w:p>
              </w:tc>
            </w:tr>
          </w:tbl>
          <w:p/>
        </w:tc>
      </w:tr>
    </w:tbl>
    <w:bookmarkStart w:id="107" w:name="why-modularity-is-necessary"/>
    <w:p>
      <w:pPr>
        <w:pStyle w:val="Heading2"/>
      </w:pPr>
      <w:r>
        <w:t xml:space="preserve">15.1 §3.1 Why Modularity Is Necessary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§3.1 Why Modularity Is Necessary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1 and 2</w:t>
                  </w:r>
                </w:p>
              </w:tc>
            </w:tr>
            <w:tr>
              <w:tc>
                <w:tcPr/>
                <w:p>
                  <w:pPr>
                    <w:pStyle w:val="Compact"/>
                  </w:pPr>
                  <w:r>
                    <w:rPr>
                      <w:b/>
                      <w:bCs/>
                    </w:rPr>
                    <w:t xml:space="preserve">Contributes</w:t>
                  </w:r>
                </w:p>
              </w:tc>
              <w:tc>
                <w:tcPr/>
                <w:p>
                  <w:pPr>
                    <w:pStyle w:val="Compact"/>
                  </w:pPr>
                  <w:r>
                    <w:t xml:space="preserve">Establishes that modularity is an architectural necessity for the problem class addressed, not a software engineering preference, by identifying the four requirements that a monolithic analytical system cannot satisfy</w:t>
                  </w:r>
                </w:p>
              </w:tc>
            </w:tr>
            <w:tr>
              <w:tc>
                <w:tcPr/>
                <w:p>
                  <w:pPr>
                    <w:pStyle w:val="Compact"/>
                  </w:pPr>
                  <w:r>
                    <w:rPr>
                      <w:b/>
                      <w:bCs/>
                    </w:rPr>
                    <w:t xml:space="preserve">Skip condition</w:t>
                  </w:r>
                </w:p>
              </w:tc>
              <w:tc>
                <w:tcPr/>
                <w:p>
                  <w:pPr>
                    <w:pStyle w:val="Compact"/>
                  </w:pPr>
                  <w:r>
                    <w:t xml:space="preserve">Skip if reader accepts modularity as necessary; proceed to §3.5 for the artefact schema</w:t>
                  </w:r>
                </w:p>
              </w:tc>
            </w:tr>
            <w:tr>
              <w:tc>
                <w:tcPr/>
                <w:p>
                  <w:pPr>
                    <w:pStyle w:val="Compact"/>
                  </w:pPr>
                  <w:r>
                    <w:rPr>
                      <w:b/>
                      <w:bCs/>
                    </w:rPr>
                    <w:t xml:space="preserve">Passes to</w:t>
                  </w:r>
                </w:p>
              </w:tc>
              <w:tc>
                <w:tcPr/>
                <w:p>
                  <w:pPr>
                    <w:pStyle w:val="Compact"/>
                  </w:pPr>
                  <w:r>
                    <w:t xml:space="preserve">§3.2, §3.3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tools described in Module 2, optimisation, simulation, surrogate emulation, and ensemble construction, are powerful in isolation. When the problem requires them to work together across scales, the question of how they should be organised becomes decisive. A monolithic analytical system, one that encompasses all components within a single model or single codebase, cannot satisfy four of the seven requirements derived in §1.7. This is not a statement about computational limitations. It is a statement about what monolithic architectures structurally cannot provide, regardless of how sophisticated the underlying tools are.</w:t>
      </w:r>
    </w:p>
    <w:p>
      <w:pPr>
        <w:pStyle w:val="BodyText"/>
      </w:pPr>
      <w:r>
        <w:rPr>
          <w:b/>
          <w:bCs/>
        </w:rPr>
        <w:t xml:space="preserve">Quick reference</w:t>
      </w:r>
    </w:p>
    <w:p>
      <w:pPr>
        <w:pStyle w:val="BodyText"/>
      </w:pPr>
      <w:r>
        <w:t xml:space="preserve">Status: ✓ Implemented</w:t>
      </w:r>
      <w:r>
        <w:br/>
      </w:r>
      <w:r>
        <w:t xml:space="preserve">Thin waist: §3.4</w:t>
      </w:r>
      <w:r>
        <w:br/>
      </w:r>
      <w:r>
        <w:t xml:space="preserve">Artefact schema: SM-3.5-A</w:t>
      </w:r>
      <w:r>
        <w:br/>
      </w:r>
      <w:r>
        <w:t xml:space="preserve">Backbone: SM-3.7-A</w:t>
      </w:r>
      <w:r>
        <w:br/>
      </w:r>
      <w:r>
        <w:t xml:space="preserve">AI/ML governance: SM-3.8-A</w:t>
      </w:r>
    </w:p>
    <w:p>
      <w:pPr>
        <w:pStyle w:val="BodyText"/>
      </w:pPr>
      <w:r>
        <w:t xml:space="preserve">The first reason modularity is necessary is scale heterogeneity. The decision problem of §1.1 operates simultaneously at the scale of individual facility operations, regional electricity networks, and national policy environments. A site-level thermal dispatch simulation requires hourly or sub-hourly resolution over individual utility assets. A regional network optimisation requires nodal resolution across a transmission topology. A national scenario model requires annual resolution across economic sectors. No single model formulation can operate simultaneously at all three scales without sacrificing what each scale requires. Modularity allows the site module to operate at the scale it needs, the regional module to operate at the scale it needs, and the two to exchange only the signal-level information that crosses the boundary between them: the compact IncrementalElectricityPack from site to regional, the SignalsPack from regional back to site.</w:t>
      </w:r>
    </w:p>
    <w:p>
      <w:pPr>
        <w:pStyle w:val="BodyText"/>
      </w:pPr>
      <w:r>
        <w:t xml:space="preserve">The second reason is method heterogeneity. The best tool for site-level dispatch is not the best tool for regional network adequacy assessment, and neither is the best tool for DMDU ensemble evaluation. LP-based scheduling, equation-based physical simulation, network flow optimisation, and surrogate emulation are all legitimate and powerful methods for their respective purposes. A monolithic system forces all of them into one formulation, typically at the cost of the most computationally demanding component constraining the resolution or method choice for all others. Modularity allows each component to use the method most appropriate to its role.</w:t>
      </w:r>
    </w:p>
    <w:p>
      <w:pPr>
        <w:pStyle w:val="BodyText"/>
      </w:pPr>
      <w:r>
        <w:t xml:space="preserve">The third reason is progressive refinement. The framework begins with simplified representations and enriches them where regret diagnostics indicate that refinement is decision-relevant. This progressive development is only possible if components can be upgraded independently. In a monolithic system, changing the dispatch logic requires rebuilding the entire model. In a modular system, upgrading the site dispatch module from proportional allocation to LP-based scheduling is an internal change that requires no modifications to the regional module, the backbone, or the evaluation layer, provided the upgraded module continues to emit schema-conforming artefacts. Modularity is what makes the progressive-refinement philosophy architecturally coherent rather than merely aspirational.</w:t>
      </w:r>
    </w:p>
    <w:p>
      <w:pPr>
        <w:pStyle w:val="BodyText"/>
      </w:pPr>
      <w:r>
        <w:t xml:space="preserve">The fourth reason is auditability. When a result is questioned, it must be traceable to the specific modules, versions, inputs, and assumptions that produced it. In a monolithic system, this traceability is difficult to maintain as the system grows and is modified. In a modular system, each module’s outputs are governed objects with explicit provenance, and the lineage from any result back to its generating conditions can be reconstructed through the backbone’s lineage table.</w:t>
      </w:r>
    </w:p>
    <w:p>
      <w:pPr>
        <w:pStyle w:val="BodyText"/>
      </w:pPr>
      <w:r>
        <w:t xml:space="preserve">The connection to the decision-first boundary principle is direct. Each module boundary is a decision-frame boundary: it encloses exactly the components needed to produce the consequences relevant to the module’s role in the decision chain. The module boundary does not follow the physical extent of the system; it follows what the decision requires to be visible at that layer of the analysis.</w:t>
      </w:r>
    </w:p>
    <w:bookmarkEnd w:id="107"/>
    <w:bookmarkStart w:id="108" w:name="what-a-module-is-and-what-it-is-not"/>
    <w:p>
      <w:pPr>
        <w:pStyle w:val="Heading2"/>
      </w:pPr>
      <w:r>
        <w:t xml:space="preserve">15.2 §3.2 What a Module Is and What It Is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§3.2 What a Module Is and What It Is Not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§3.1</w:t>
                  </w:r>
                </w:p>
              </w:tc>
            </w:tr>
            <w:tr>
              <w:tc>
                <w:tcPr/>
                <w:p>
                  <w:pPr>
                    <w:pStyle w:val="Compact"/>
                  </w:pPr>
                  <w:r>
                    <w:rPr>
                      <w:b/>
                      <w:bCs/>
                    </w:rPr>
                    <w:t xml:space="preserve">Contributes</w:t>
                  </w:r>
                </w:p>
              </w:tc>
              <w:tc>
                <w:tcPr/>
                <w:p>
                  <w:pPr>
                    <w:pStyle w:val="Compact"/>
                  </w:pPr>
                  <w:r>
                    <w:t xml:space="preserve">Provides the formal definition of a module as a role-and-interface specification rather than an implementation, and establishes the implementation-independence principle</w:t>
                  </w:r>
                </w:p>
              </w:tc>
            </w:tr>
            <w:tr>
              <w:tc>
                <w:tcPr/>
                <w:p>
                  <w:pPr>
                    <w:pStyle w:val="Compact"/>
                  </w:pPr>
                  <w:r>
                    <w:rPr>
                      <w:b/>
                      <w:bCs/>
                    </w:rPr>
                    <w:t xml:space="preserve">Skip condition</w:t>
                  </w:r>
                </w:p>
              </w:tc>
              <w:tc>
                <w:tcPr/>
                <w:p>
                  <w:pPr>
                    <w:pStyle w:val="Compact"/>
                  </w:pPr>
                  <w:r>
                    <w:t xml:space="preserve">Skip if reader already knows the role/interface contract/implementation-independence definition</w:t>
                  </w:r>
                </w:p>
              </w:tc>
            </w:tr>
            <w:tr>
              <w:tc>
                <w:tcPr/>
                <w:p>
                  <w:pPr>
                    <w:pStyle w:val="Compact"/>
                  </w:pPr>
                  <w:r>
                    <w:rPr>
                      <w:b/>
                      <w:bCs/>
                    </w:rPr>
                    <w:t xml:space="preserve">Passes to</w:t>
                  </w:r>
                </w:p>
              </w:tc>
              <w:tc>
                <w:tcPr/>
                <w:p>
                  <w:pPr>
                    <w:pStyle w:val="Compact"/>
                  </w:pPr>
                  <w:r>
                    <w:t xml:space="preserve">§3.3, §3.4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term module is used with precision throughout this framework, and the precision matters. A module, in this framework’s sense, is not a software component, not a data store, and not an organisational unit of a codebase. It is an analytical component of the modelling environment defined by four properties: a declared analytical role, declared inputs, declared outputs, and an explicit interface contract. These four properties together constitute what the module is. How the module implements its role internally is entirely separate from what the module is.</w:t>
      </w:r>
    </w:p>
    <w:p>
      <w:pPr>
        <w:pStyle w:val="BodyText"/>
      </w:pPr>
      <w:r>
        <w:t xml:space="preserve">The analytical role is the question the module answers within the decision chain. The Facility Module answers: given this site’s technology configuration and external signals, what heat demand profile and pathway-specific dispatch does this site produce? The Regional Module answers: given this increment of electrical demand at the GXP, under these regional system conditions, what are the adequacy, cost, and signal implications? The DMDU Orchestration layer answers: given the outputs of all modules across this future ensemble, which pathways are most robust and where does vulnerability concentrate? A module whose role cannot be stated concisely is a poorly defined module.</w:t>
      </w:r>
    </w:p>
    <w:p>
      <w:pPr>
        <w:pStyle w:val="BodyText"/>
      </w:pPr>
      <w:r>
        <w:t xml:space="preserve">The declared inputs specify what external information the module consumes. Inputs may be governed artefacts produced by other modules, parameters drawn from a configuration layer, or external data injected from a calibrated data pipeline. The crucial requirement is that inputs be declared explicitly. A module that accesses undeclared shared state or reads from a background file without a formal input declaration has hidden dependencies that undermine both traceability and replaceability.</w:t>
      </w:r>
    </w:p>
    <w:p>
      <w:pPr>
        <w:pStyle w:val="BodyText"/>
      </w:pPr>
      <w:r>
        <w:t xml:space="preserve">The declared outputs specify what the module produces. In this framework, all module outputs that enter the comparison chain are governed artefacts: structured, versioned, validated, and provenance-carrying objects that conform to a declared schema. The significance of this requirement is developed in §3.5 and §3.6.</w:t>
      </w:r>
    </w:p>
    <w:p>
      <w:pPr>
        <w:pStyle w:val="BodyText"/>
      </w:pPr>
      <w:r>
        <w:t xml:space="preserve">The interface contract is the formal specification of what crosses the module boundary: the schema of input artefacts, the schema of output artefacts, the units and frequencies of time-resolved quantities, and the validation conditions that outputs must satisfy before admission to the backbone. The interface contract is the module’s public commitment to the rest of the framework.</w:t>
      </w:r>
    </w:p>
    <w:p>
      <w:pPr>
        <w:pStyle w:val="BodyText"/>
      </w:pPr>
      <w:r>
        <w:t xml:space="preserve">The implementation independence principle follows from these four properties. A module is defined by its role and its interface contract. Its internal implementation, the specific algorithm, data structure, programming language, or tool it uses to transform inputs into outputs, is the module’s private concern. A proportional dispatch calculator and an OpenModelica thermal network simulation that both conform to the same site module interface contract are both valid implementations of the same module. Upgrading from one to the other is an internal change that requires no modifications to any other module. The interface contract is stable; the implementation is free.</w:t>
      </w:r>
    </w:p>
    <w:p>
      <w:pPr>
        <w:pStyle w:val="BodyText"/>
      </w:pPr>
      <w:r>
        <w:t xml:space="preserve">This distinction has a specific practical implication for the development strategy. When the interface contract of the Facility Module specifies that its output must include an IncrementalElectricityPack with declared fields at hourly resolution, the proportional dispatch implementation satisfies that contract with a simple calculation. The OpenModelica implementation satisfies it through a full thermal network simulation followed by an export step that produces the same schema-conforming artefact. The regional module and the evaluation layer cannot distinguish which implementation produced the artefact; they consume the artefact’s content. The framework can upgrade from the first implementation to the second without disrupting anything outside the Facility Module. Changing the interface contract, by contrast, is an architectural change that requires coordinated updates across all modules that consume the affected artefact.</w:t>
      </w:r>
    </w:p>
    <w:bookmarkEnd w:id="108"/>
    <w:bookmarkStart w:id="109" w:name="the-five-layer-architecture"/>
    <w:p>
      <w:pPr>
        <w:pStyle w:val="Heading2"/>
      </w:pPr>
      <w:r>
        <w:t xml:space="preserve">15.3 §3.3 The Five-Layer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§3.3 The Five-Layer Architecture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§3.1, §3.2</w:t>
                  </w:r>
                </w:p>
              </w:tc>
            </w:tr>
            <w:tr>
              <w:tc>
                <w:tcPr/>
                <w:p>
                  <w:pPr>
                    <w:pStyle w:val="Compact"/>
                  </w:pPr>
                  <w:r>
                    <w:rPr>
                      <w:b/>
                      <w:bCs/>
                    </w:rPr>
                    <w:t xml:space="preserve">Contributes</w:t>
                  </w:r>
                </w:p>
              </w:tc>
              <w:tc>
                <w:tcPr/>
                <w:p>
                  <w:pPr>
                    <w:pStyle w:val="Compact"/>
                  </w:pPr>
                  <w:r>
                    <w:t xml:space="preserve">Maps the five functional layers of the analytical environment, the artefact families that flow between adjacent layers, and the inter-layer coupling logic that makes the whole chain coherent</w:t>
                  </w:r>
                </w:p>
              </w:tc>
            </w:tr>
            <w:tr>
              <w:tc>
                <w:tcPr/>
                <w:p>
                  <w:pPr>
                    <w:pStyle w:val="Compact"/>
                  </w:pPr>
                  <w:r>
                    <w:rPr>
                      <w:b/>
                      <w:bCs/>
                    </w:rPr>
                    <w:t xml:space="preserve">Skip condition</w:t>
                  </w:r>
                </w:p>
              </w:tc>
              <w:tc>
                <w:tcPr/>
                <w:p>
                  <w:pPr>
                    <w:pStyle w:val="Compact"/>
                  </w:pPr>
                  <w:r>
                    <w:t xml:space="preserve">Skip if reader knows the five-layer structure from §0.4; this section adds the coupling logic and inter-layer artefact flows</w:t>
                  </w:r>
                </w:p>
              </w:tc>
            </w:tr>
            <w:tr>
              <w:tc>
                <w:tcPr/>
                <w:p>
                  <w:pPr>
                    <w:pStyle w:val="Compact"/>
                  </w:pPr>
                  <w:r>
                    <w:rPr>
                      <w:b/>
                      <w:bCs/>
                    </w:rPr>
                    <w:t xml:space="preserve">Passes to</w:t>
                  </w:r>
                </w:p>
              </w:tc>
              <w:tc>
                <w:tcPr/>
                <w:p>
                  <w:pPr>
                    <w:pStyle w:val="Compact"/>
                  </w:pPr>
                  <w:r>
                    <w:t xml:space="preserve">§3.4, Module 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framework’s modules are organised into five functional layers. Section §0.4 introduced these layers by name and general function. This section adds the detail that matters for implementation: what flows between layers, how the coupling is structured, and what analytical failure each layer prevents when it is absent.</w:t>
      </w:r>
    </w:p>
    <w:p>
      <w:pPr>
        <w:pStyle w:val="BodyText"/>
      </w:pPr>
      <w:r>
        <w:t xml:space="preserve">The site layer contains the modules that represent individual facility operations. Its primary function is to translate a facility’s technology configuration, operating schedule, and pathway variant into two types of output: the time-resolved energy interface signals that cross the site boundary toward the regional system, and the cost, emissions, and adequacy summaries that feed the evaluation layer. The site layer is where the DemandPack is produced from demand construction logic, where the proportional or LP-based dispatch logic allocates heat demand across utility assets, and where the IncrementalElectricityPack is assembled from the dispatch output. The site layer’s internal complexity, individual unit models, storage dynamics, maintenance schedules, can grow arbitrarily without affecting any other layer, provided the interface artefacts remain schema-conforming.</w:t>
      </w:r>
    </w:p>
    <w:p>
      <w:pPr>
        <w:pStyle w:val="BodyText"/>
      </w:pPr>
      <w:r>
        <w:t xml:space="preserve">The interface layer is the thin waist of the analytical chain. It performs the translation between the site layer’s internal signal representation and the regional layer’s signal requirements, and between the regional layer’s output signals and the format in which the site dispatch module can consume them. In the Edendale proof of concept, the interface layer’s primary function is to translate the site’s full hourly dispatch record into the compact IncrementalElectricityPack descriptor set, and to translate the regional module’s SignalsPack outputs into the tariff adder and cost signals that the dispatch module uses for pathway cost computation. The interface layer is where the thin-waist exchange occurs; its design governs what information crosses the boundary and in what form.</w:t>
      </w:r>
    </w:p>
    <w:p>
      <w:pPr>
        <w:pStyle w:val="BodyText"/>
      </w:pPr>
      <w:r>
        <w:t xml:space="preserve">The regional layer provides the infrastructure-side and resource-side context that makes site-level pathway choices legible at the regional scale. Its primary function is to receive the site’s interface artefacts, evaluate them against regional constraint conditions drawn from the FutureArtefact, and return a SignalsPack carrying the signals that the interface layer needs. The regional layer is where GXP hosting capacity is assessed, where reinforcement cost adders are computed, and where biomass supply feasibility is evaluated. Its internal implementation ranges from the stylised screening model of the current proof of concept to a full PyPSA network optimisation to a trained ML surrogate.</w:t>
      </w:r>
    </w:p>
    <w:p>
      <w:pPr>
        <w:pStyle w:val="BodyText"/>
      </w:pPr>
      <w:r>
        <w:t xml:space="preserve">The evaluation layer computes the decision-relevant metrics from the outputs of all other layers. It receives ResultArtefacts from the site layer, SignalsPacks from the regional layer, and FutureArtefacts from the orchestration layer, and produces DecisionSummaryArtefacts containing the regret, robustness, satisficing, and threshold-violation metrics for each pathway under each future. The evaluation layer does not generate new analytical consequences; it aggregates and interprets the consequences generated by the layers below it. Its outputs are the primary inputs to the decision-making process.</w:t>
      </w:r>
    </w:p>
    <w:p>
      <w:pPr>
        <w:pStyle w:val="BodyText"/>
      </w:pPr>
      <w:r>
        <w:t xml:space="preserve">The orchestration layer coordinates the entire analytical chain across the future ensemble. It manages the sequencing of module runs, the construction and distribution of FutureArtefacts, the admission gates that ensure artefacts pass validation before downstream consumption, the backbone write operations that persist all outputs, and the PRIM and CART diagnostics that identify vulnerability regions and direct progressive refinement. The orchestration layer is implemented through the Snakemake workflow rules and the ensemble construction scripts described in Sub-Module SM-3.7-A.</w:t>
      </w:r>
    </w:p>
    <w:p>
      <w:pPr>
        <w:pStyle w:val="BodyText"/>
      </w:pPr>
      <w:r>
        <w:t xml:space="preserve">Table 3.3 summarises the five layers with their primary functions, input artefacts, output artefacts, and example tools.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function</w:t>
            </w:r>
          </w:p>
        </w:tc>
        <w:tc>
          <w:tcPr/>
          <w:p>
            <w:pPr>
              <w:pStyle w:val="Compact"/>
            </w:pPr>
            <w:r>
              <w:t xml:space="preserve">Input artefacts</w:t>
            </w:r>
          </w:p>
        </w:tc>
        <w:tc>
          <w:tcPr/>
          <w:p>
            <w:pPr>
              <w:pStyle w:val="Compact"/>
            </w:pPr>
            <w:r>
              <w:t xml:space="preserve">Output artefacts</w:t>
            </w:r>
          </w:p>
        </w:tc>
        <w:tc>
          <w:tcPr/>
          <w:p>
            <w:pPr>
              <w:pStyle w:val="Compact"/>
            </w:pPr>
            <w:r>
              <w:t xml:space="preserve">Example tool</w:t>
            </w:r>
          </w:p>
        </w:tc>
      </w:tr>
      <w:tr>
        <w:tc>
          <w:tcPr/>
          <w:p>
            <w:pPr>
              <w:pStyle w:val="Compact"/>
            </w:pPr>
            <w:r>
              <w:t xml:space="preserve">Site</w:t>
            </w:r>
          </w:p>
        </w:tc>
        <w:tc>
          <w:tcPr/>
          <w:p>
            <w:pPr>
              <w:pStyle w:val="Compact"/>
            </w:pPr>
            <w:r>
              <w:t xml:space="preserve">Demand construction; dispatch; pathway evaluation</w:t>
            </w:r>
          </w:p>
        </w:tc>
        <w:tc>
          <w:tcPr/>
          <w:p>
            <w:pPr>
              <w:pStyle w:val="Compact"/>
            </w:pPr>
            <w:r>
              <w:t xml:space="preserve">SiteConfigArtefact, FutureArtefact, SignalsPack</w:t>
            </w:r>
          </w:p>
        </w:tc>
        <w:tc>
          <w:tcPr/>
          <w:p>
            <w:pPr>
              <w:pStyle w:val="Compact"/>
            </w:pPr>
            <w:r>
              <w:t xml:space="preserve">DemandPack, IncrementalElectricityPack, ResultArtefact</w:t>
            </w:r>
          </w:p>
        </w:tc>
        <w:tc>
          <w:tcPr/>
          <w:p>
            <w:pPr>
              <w:pStyle w:val="Compact"/>
            </w:pPr>
            <w:r>
              <w:t xml:space="preserve">Python dispatch module; OpenModelica (specified)</w:t>
            </w:r>
          </w:p>
        </w:tc>
      </w:tr>
      <w:tr>
        <w:tc>
          <w:tcPr/>
          <w:p>
            <w:pPr>
              <w:pStyle w:val="Compact"/>
            </w:pPr>
            <w:r>
              <w:t xml:space="preserve">Interface</w:t>
            </w:r>
          </w:p>
        </w:tc>
        <w:tc>
          <w:tcPr/>
          <w:p>
            <w:pPr>
              <w:pStyle w:val="Compact"/>
            </w:pPr>
            <w:r>
              <w:t xml:space="preserve">Signal translation between site and regional formats</w:t>
            </w:r>
          </w:p>
        </w:tc>
        <w:tc>
          <w:tcPr/>
          <w:p>
            <w:pPr>
              <w:pStyle w:val="Compact"/>
            </w:pPr>
            <w:r>
              <w:t xml:space="preserve">IncrementalElectricityPack, SignalsPack</w:t>
            </w:r>
          </w:p>
        </w:tc>
        <w:tc>
          <w:tcPr/>
          <w:p>
            <w:pPr>
              <w:pStyle w:val="Compact"/>
            </w:pPr>
            <w:r>
              <w:t xml:space="preserve">IncrementalElectricityPack (translated), tariff and cost signals</w:t>
            </w:r>
          </w:p>
        </w:tc>
        <w:tc>
          <w:tcPr/>
          <w:p>
            <w:pPr>
              <w:pStyle w:val="Compact"/>
            </w:pPr>
            <w:r>
              <w:t xml:space="preserve">Post-processing scripts in PoC pipeline</w:t>
            </w:r>
          </w:p>
        </w:tc>
      </w:tr>
      <w:tr>
        <w:tc>
          <w:tcPr/>
          <w:p>
            <w:pPr>
              <w:pStyle w:val="Compact"/>
            </w:pPr>
            <w:r>
              <w:t xml:space="preserve">Regional</w:t>
            </w:r>
          </w:p>
        </w:tc>
        <w:tc>
          <w:tcPr/>
          <w:p>
            <w:pPr>
              <w:pStyle w:val="Compact"/>
            </w:pPr>
            <w:r>
              <w:t xml:space="preserve">Infrastructure and resource constraint evaluation</w:t>
            </w:r>
          </w:p>
        </w:tc>
        <w:tc>
          <w:tcPr/>
          <w:p>
            <w:pPr>
              <w:pStyle w:val="Compact"/>
            </w:pPr>
            <w:r>
              <w:t xml:space="preserve">IncrementalElectricityPack, FutureArtefact</w:t>
            </w:r>
          </w:p>
        </w:tc>
        <w:tc>
          <w:tcPr/>
          <w:p>
            <w:pPr>
              <w:pStyle w:val="Compact"/>
            </w:pPr>
            <w:r>
              <w:t xml:space="preserve">SignalsPack</w:t>
            </w:r>
          </w:p>
        </w:tc>
        <w:tc>
          <w:tcPr/>
          <w:p>
            <w:pPr>
              <w:pStyle w:val="Compact"/>
            </w:pPr>
            <w:r>
              <w:t xml:space="preserve">Stylised screening model; PyPSA (specified); ML surrogate (specified)</w:t>
            </w:r>
          </w:p>
        </w:tc>
      </w:tr>
      <w:tr>
        <w:tc>
          <w:tcPr/>
          <w:p>
            <w:pPr>
              <w:pStyle w:val="Compact"/>
            </w:pPr>
            <w:r>
              <w:t xml:space="preserve">Evaluation</w:t>
            </w:r>
          </w:p>
        </w:tc>
        <w:tc>
          <w:tcPr/>
          <w:p>
            <w:pPr>
              <w:pStyle w:val="Compact"/>
            </w:pPr>
            <w:r>
              <w:t xml:space="preserve">Regret, robustness, satisficing computation</w:t>
            </w:r>
          </w:p>
        </w:tc>
        <w:tc>
          <w:tcPr/>
          <w:p>
            <w:pPr>
              <w:pStyle w:val="Compact"/>
            </w:pPr>
            <w:r>
              <w:t xml:space="preserve">ResultArtefact, SignalsPack, FutureArtefact</w:t>
            </w:r>
          </w:p>
        </w:tc>
        <w:tc>
          <w:tcPr/>
          <w:p>
            <w:pPr>
              <w:pStyle w:val="Compact"/>
            </w:pPr>
            <w:r>
              <w:t xml:space="preserve">DecisionSummaryArtefact</w:t>
            </w:r>
          </w:p>
        </w:tc>
        <w:tc>
          <w:tcPr/>
          <w:p>
            <w:pPr>
              <w:pStyle w:val="Compact"/>
            </w:pPr>
            <w:r>
              <w:t xml:space="preserve">Python analytics; site decision robustness overlay</w:t>
            </w:r>
          </w:p>
        </w:tc>
      </w:tr>
      <w:tr>
        <w:tc>
          <w:tcPr/>
          <w:p>
            <w:pPr>
              <w:pStyle w:val="Compact"/>
            </w:pPr>
            <w:r>
              <w:t xml:space="preserve">Orchestration</w:t>
            </w:r>
          </w:p>
        </w:tc>
        <w:tc>
          <w:tcPr/>
          <w:p>
            <w:pPr>
              <w:pStyle w:val="Compact"/>
            </w:pPr>
            <w:r>
              <w:t xml:space="preserve">Ensemble coordination; validation gating; backbone management</w:t>
            </w:r>
          </w:p>
        </w:tc>
        <w:tc>
          <w:tcPr/>
          <w:p>
            <w:pPr>
              <w:pStyle w:val="Compact"/>
            </w:pPr>
            <w:r>
              <w:t xml:space="preserve">FutureArtefact (input design)</w:t>
            </w:r>
          </w:p>
        </w:tc>
        <w:tc>
          <w:tcPr/>
          <w:p>
            <w:pPr>
              <w:pStyle w:val="Compact"/>
            </w:pPr>
            <w:r>
              <w:t xml:space="preserve">ValidationArtefact, run registry records</w:t>
            </w:r>
          </w:p>
        </w:tc>
        <w:tc>
          <w:tcPr/>
          <w:p>
            <w:pPr>
              <w:pStyle w:val="Compact"/>
            </w:pPr>
            <w:r>
              <w:t xml:space="preserve">Snakemake; Python ensemble scripts</w:t>
            </w:r>
          </w:p>
        </w:tc>
      </w:tr>
    </w:tbl>
    <w:bookmarkEnd w:id="109"/>
    <w:bookmarkStart w:id="110" w:name="the-thin-waist-artefact-exchange"/>
    <w:p>
      <w:pPr>
        <w:pStyle w:val="Heading2"/>
      </w:pPr>
      <w:r>
        <w:t xml:space="preserve">15.4 §3.4 The Thin-Waist Artefact Exchange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§3.4 The Thin-Waist Artefact Exchange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§3.2, §3.3</w:t>
                  </w:r>
                </w:p>
              </w:tc>
            </w:tr>
            <w:tr>
              <w:tc>
                <w:tcPr/>
                <w:p>
                  <w:pPr>
                    <w:pStyle w:val="Compact"/>
                  </w:pPr>
                  <w:r>
                    <w:rPr>
                      <w:b/>
                      <w:bCs/>
                    </w:rPr>
                    <w:t xml:space="preserve">Contributes</w:t>
                  </w:r>
                </w:p>
              </w:tc>
              <w:tc>
                <w:tcPr/>
                <w:p>
                  <w:pPr>
                    <w:pStyle w:val="Compact"/>
                  </w:pPr>
                  <w:r>
                    <w:t xml:space="preserve">Develops the thin-waist principle at the architectural implementation level, adding the interface contract stability specification and the proof-of-concept two-repository instantiation to the conceptual framing of §0.5</w:t>
                  </w:r>
                </w:p>
              </w:tc>
            </w:tr>
            <w:tr>
              <w:tc>
                <w:tcPr/>
                <w:p>
                  <w:pPr>
                    <w:pStyle w:val="Compact"/>
                  </w:pPr>
                  <w:r>
                    <w:rPr>
                      <w:b/>
                      <w:bCs/>
                    </w:rPr>
                    <w:t xml:space="preserve">Skip condition</w:t>
                  </w:r>
                </w:p>
              </w:tc>
              <w:tc>
                <w:tcPr/>
                <w:p>
                  <w:pPr>
                    <w:pStyle w:val="Compact"/>
                  </w:pPr>
                  <w:r>
                    <w:t xml:space="preserve">Skip if the thin-waist principle is already understood from §0.5; this section adds the implementation-level detail including the PoC two-repository architecture</w:t>
                  </w:r>
                </w:p>
              </w:tc>
            </w:tr>
            <w:tr>
              <w:tc>
                <w:tcPr/>
                <w:p>
                  <w:pPr>
                    <w:pStyle w:val="Compact"/>
                  </w:pPr>
                  <w:r>
                    <w:rPr>
                      <w:b/>
                      <w:bCs/>
                    </w:rPr>
                    <w:t xml:space="preserve">Passes to</w:t>
                  </w:r>
                </w:p>
              </w:tc>
              <w:tc>
                <w:tcPr/>
                <w:p>
                  <w:pPr>
                    <w:pStyle w:val="Compact"/>
                  </w:pPr>
                  <w:r>
                    <w:t xml:space="preserve">§3.5, §3.6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thin-waist principle was introduced in §0.5 as the architectural commitment that makes the decision-first boundary logic operationally feasible across heterogeneous components. This section develops its implementation in the specific context of the framework’s five-layer architecture, adding the detail that practitioners need to build conformant modules and the proof-of-concept instantiation that demonstrates the principle is not merely conceptual.</w:t>
      </w:r>
    </w:p>
    <w:p>
      <w:pPr>
        <w:pStyle w:val="BodyText"/>
      </w:pPr>
      <w:r>
        <w:t xml:space="preserve">At the architectural level, the thin waist consists of the interface contracts that govern what crosses each layer boundary, and the schema-conforming governed artefacts that carry that exchange. The interface contract specifies, for each artefact family that crosses a given boundary, the exact field names, data types, units, temporal resolution, naming conventions, and validation requirements that both the producing module and the consuming module must honour. The contract is frozen for a given schema version. Neither the producing module nor the consuming module can change the contract unilaterally without triggering a schema version increment that requires coordinated update across all affected modules.</w:t>
      </w:r>
    </w:p>
    <w:p>
      <w:pPr>
        <w:pStyle w:val="BodyText"/>
      </w:pPr>
      <w:r>
        <w:t xml:space="preserve">The IEA Project BlueSky initiative, which seeks standardised data exchange interfaces between heterogeneous modelling components in the open-source energy system modelling community, is architecturally aligned with the thin-waist principle. What the present framework adds to BlueSky’s interoperability ambition is artefact governance: the schema versioning requirement that makes interface evolution traceable, the provenance fields that make the origin of every crossing-point value attributable, the validation gating that enforces schema conformance at every admission, and the append-only backbone that preserves every version of every artefact for later comparison. Interoperability without governance allows heterogeneous components to exchange data. Interoperability with governance allows the exchange to be trusted, audited, and progressively improved.</w:t>
      </w:r>
    </w:p>
    <w:p>
      <w:pPr>
        <w:pStyle w:val="BodyText"/>
      </w:pPr>
      <w:r>
        <w:t xml:space="preserve">Interface contract stability has a specific and consequential definition in this framework. What is stable across module evolution is everything specified in the interface contract: field names, column order, data types, units, timestamp format, file naming conventions, and schema version identifier. A module implementer may change any internal algorithm, data structure, or tool without triggering a contract revision, provided the output artefact still conforms. What is not stable and requires a formal contract revision is: any change to a required field name, any change to a field’s declared data type or units, any removal of a required field, and any change to the timestamp format or file naming convention. Optional fields may be added without a major version increment. Required fields may never be changed without one.</w:t>
      </w:r>
    </w:p>
    <w:p>
      <w:pPr>
        <w:pStyle w:val="BodyText"/>
      </w:pPr>
      <w:r>
        <w:t xml:space="preserve">The proof-of-concept instantiation of the thin-waist principle is the two-repository architecture. The main model repository contains the site dispatch module, the demand construction code, the regional screening module, the RDM evaluation logic, and the orchestration scripts. The Edendale_GXP repository is a separate, portable module dedicated to generating the GXP-level SignalsPack signals. These signals, hourly headroom, tariff, and grid emissions intensity data for the Edendale GXP across multiple planning epochs, are produced by the Edendale_GXP repository under a frozen interface contract and consumed by the main model repository through that contract. The Edendale_GXP repository can be upgraded, its data sources improved, and its internal generation methodology evolved without requiring any changes to the main model repository, provided the output files continue to conform to schema version 0.1.0. This is the thin-waist principle operating at the codebase level: two independently maintained repositories exchanging governed artefacts through a frozen interface contract.</w:t>
      </w:r>
    </w:p>
    <w:p>
      <w:pPr>
        <w:pStyle w:val="BodyText"/>
      </w:pPr>
      <w:r>
        <w:t xml:space="preserve">The interface contract for the SignalsPack is documented in the INTERFACE_CONTRACT.md file of the Edendale_GXP repository and is reproduced in Sub-Module SM-6.5-D. The contract declares required file names, column names, timestamp format, SHA256 hash integrity requirements, and the version identifier that consuming modules use to confirm compatibility. Its existence at the codebase level is what makes the planned transition from synthetic RETA-calibrated signals to measured hourly data and ultimately to PyPSA-generated signals a drop-in module replacement rather than an architectural revision.</w:t>
      </w:r>
    </w:p>
    <w:bookmarkEnd w:id="110"/>
    <w:bookmarkStart w:id="114" w:name="artefact-families-and-schema-design"/>
    <w:p>
      <w:pPr>
        <w:pStyle w:val="Heading2"/>
      </w:pPr>
      <w:r>
        <w:t xml:space="preserve">15.5 §3.5 Artefact Families and Schema Design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§3.5 Artefact Families and Schema Design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§3.4</w:t>
                  </w:r>
                </w:p>
              </w:tc>
            </w:tr>
            <w:tr>
              <w:tc>
                <w:tcPr/>
                <w:p>
                  <w:pPr>
                    <w:pStyle w:val="Compact"/>
                  </w:pPr>
                  <w:r>
                    <w:rPr>
                      <w:b/>
                      <w:bCs/>
                    </w:rPr>
                    <w:t xml:space="preserve">Contributes</w:t>
                  </w:r>
                </w:p>
              </w:tc>
              <w:tc>
                <w:tcPr/>
                <w:p>
                  <w:pPr>
                    <w:pStyle w:val="Compact"/>
                  </w:pPr>
                  <w:r>
                    <w:t xml:space="preserve">Defines the seven canonical artefact families, establishes the five schema design principles, and provides the summary reference table for all families</w:t>
                  </w:r>
                </w:p>
              </w:tc>
            </w:tr>
            <w:tr>
              <w:tc>
                <w:tcPr/>
                <w:p>
                  <w:pPr>
                    <w:pStyle w:val="Compact"/>
                  </w:pPr>
                  <w:r>
                    <w:rPr>
                      <w:b/>
                      <w:bCs/>
                    </w:rPr>
                    <w:t xml:space="preserve">Skip condition</w:t>
                  </w:r>
                </w:p>
              </w:tc>
              <w:tc>
                <w:tcPr/>
                <w:p>
                  <w:pPr>
                    <w:pStyle w:val="Compact"/>
                  </w:pPr>
                  <w:r>
                    <w:t xml:space="preserve">Do not skip if implementing the framework; consult SM-3.5-A for full field-level specifications</w:t>
                  </w:r>
                </w:p>
              </w:tc>
            </w:tr>
            <w:tr>
              <w:tc>
                <w:tcPr/>
                <w:p>
                  <w:pPr>
                    <w:pStyle w:val="Compact"/>
                  </w:pPr>
                  <w:r>
                    <w:rPr>
                      <w:b/>
                      <w:bCs/>
                    </w:rPr>
                    <w:t xml:space="preserve">Passes to</w:t>
                  </w:r>
                </w:p>
              </w:tc>
              <w:tc>
                <w:tcPr/>
                <w:p>
                  <w:pPr>
                    <w:pStyle w:val="Compact"/>
                  </w:pPr>
                  <w:r>
                    <w:t xml:space="preserve">§3.6, Module 6</w:t>
                  </w:r>
                </w:p>
              </w:tc>
            </w:tr>
            <w:tr>
              <w:tc>
                <w:tcPr/>
                <w:p>
                  <w:pPr>
                    <w:pStyle w:val="Compact"/>
                  </w:pPr>
                  <w:r>
                    <w:rPr>
                      <w:b/>
                      <w:bCs/>
                    </w:rPr>
                    <w:t xml:space="preserve">Sub-Modules here</w:t>
                  </w:r>
                </w:p>
              </w:tc>
              <w:tc>
                <w:tcPr/>
                <w:p>
                  <w:pPr>
                    <w:pStyle w:val="Compact"/>
                  </w:pPr>
                  <w:r>
                    <w:t xml:space="preserve">SM-3.5-A: Canonical Artefact Schema Reference</w:t>
                  </w:r>
                </w:p>
              </w:tc>
            </w:tr>
          </w:tbl>
          <w:p/>
        </w:tc>
      </w:tr>
    </w:tbl>
    <w:p>
      <w:pPr>
        <w:pStyle w:val="BodyText"/>
      </w:pPr>
      <w:r>
        <w:t xml:space="preserve">The thin-waist exchange of §3.4 operates through governed artefacts. An artefact, in this framework’s precise sense, is not merely a file or a model output. It is a structured, versioned, validated, and provenance-carrying analytical object that has been admitted to the comparison chain through an explicit acceptance gate and persisted in the backbone with traceable lineage. The distinction between an output and an artefact is methodologically significant: many models produce outputs, but outputs become artefacts only when they have been made governable.</w:t>
      </w:r>
    </w:p>
    <w:p>
      <w:pPr>
        <w:pStyle w:val="BodyText"/>
      </w:pPr>
      <w:r>
        <w:t xml:space="preserve">The framework uses seven canonical artefact families. Each family corresponds to a distinct type of analytical object that flows between layers or persists in the backbone.</w:t>
      </w:r>
    </w:p>
    <w:p>
      <w:pPr>
        <w:pStyle w:val="BodyText"/>
      </w:pPr>
      <w:r>
        <w:t xml:space="preserve">The DemandPack is the canonical demand artefact produced by the site demand construction module and consumed by the site dispatch module. It carries a time-resolved hourly heat demand profile for a specific site, epoch, scenario variant, and future condition, together with the provenance fields that link it to the demand construction run and the FutureArtefact that governed its uncertain driver values.</w:t>
      </w:r>
    </w:p>
    <w:p>
      <w:pPr>
        <w:pStyle w:val="BodyText"/>
      </w:pPr>
      <w:r>
        <w:t xml:space="preserve">The IncrementalElectricityPack is the canonical electricity interface artefact produced by the site dispatch module and consumed by the regional electricity module. It carries the compact signal descriptors that represent the site’s electricity demand increment at the GXP boundary: annual incremental energy, peak incremental demand, 95th percentile demand, winter-peak share, and shape cluster label. The compactness of this artefact is a deliberate design choice that implements the thin-waist principle: the regional module receives exactly what it needs to perform adequacy assessment and nothing more.</w:t>
      </w:r>
    </w:p>
    <w:p>
      <w:pPr>
        <w:pStyle w:val="BodyText"/>
      </w:pPr>
      <w:r>
        <w:t xml:space="preserve">The SignalsPack is the canonical electricity interface artefact produced by the regional module and consumed by the site dispatch module and the evaluation layer. It carries the GXP-level signals that make regional infrastructure conditions legible to the site evaluation: adequacy headroom, tariff adders, scarcity-price proxies, upgrade-class indicators, and confidence scores. In the current proof of concept, the SignalsPack is produced by the Edendale_GXP repository at schema version 0.1.0 with SHA256 hash integrity.</w:t>
      </w:r>
    </w:p>
    <w:p>
      <w:pPr>
        <w:pStyle w:val="BodyText"/>
      </w:pPr>
      <w:r>
        <w:t xml:space="preserve">The FutureArtefact records the specific combination of uncertain driver values under which a given pipeline run was executed. Every other artefact produced in that run carries a foreign key reference to its governing FutureArtefact. Without the FutureArtefact, results cannot be attributed to specific future conditions, and regret and robustness metrics have no external conditions to be interpreted against.</w:t>
      </w:r>
    </w:p>
    <w:p>
      <w:pPr>
        <w:pStyle w:val="BodyText"/>
      </w:pPr>
      <w:r>
        <w:t xml:space="preserve">The ResultArtefact records the site-level and system-level consequences for a specific alternative, epoch, and future. In the proof of concept, the site dispatch summary CSV is the primary ResultArtefact: it carries annual costs by component, annual electricity consumption, annual fuel use by carrier, direct emissions, and adequacy metrics for each unit and for the site total.</w:t>
      </w:r>
    </w:p>
    <w:p>
      <w:pPr>
        <w:pStyle w:val="BodyText"/>
      </w:pPr>
      <w:r>
        <w:t xml:space="preserve">The ValidationArtefact records the outcome of every acceptance gate check applied to every other artefact. It is the governance artefact: its existence and its content confirm that an artefact was assessed against declared criteria before being admitted to the comparison chain. Failed ValidationArtefacts, such as those produced during the DemandPack rounding error incident described in §3.6, are retained in the backbone alongside their associated failed artefacts. Their presence is evidence of the governance process working, not evidence of failure.</w:t>
      </w:r>
    </w:p>
    <w:p>
      <w:pPr>
        <w:pStyle w:val="BodyText"/>
      </w:pPr>
      <w:r>
        <w:t xml:space="preserve">The DecisionSummaryArtefact is the evaluation layer’s primary output. It carries the regret, robustness, satisficing, and threshold-violation metrics for each alternative across the future ensemble. Its credibility depends entirely on the governance of the upstream chain: every metric it reports is traceable through the backbone’s lineage table to the specific ResultArtefacts, SignalsPacks, and FutureArtefacts that contributed to its computation.</w:t>
      </w:r>
    </w:p>
    <w:p>
      <w:pPr>
        <w:pStyle w:val="BodyText"/>
      </w:pPr>
      <w:r>
        <w:t xml:space="preserve">Five principles govern schema design across all seven families.</w:t>
      </w:r>
    </w:p>
    <w:p>
      <w:pPr>
        <w:pStyle w:val="BodyText"/>
      </w:pPr>
      <w:r>
        <w:t xml:space="preserve">Minimum necessary content: a schema carries exactly the fields needed to fulfil the artefact’s role. Fields that are analytically interesting but not required for the consuming module’s function do not belong in the core schema.</w:t>
      </w:r>
    </w:p>
    <w:p>
      <w:pPr>
        <w:pStyle w:val="BodyText"/>
      </w:pPr>
      <w:r>
        <w:t xml:space="preserve">Explicit semantics: every field has a declared meaning, a declared data type, and a declared unit. Undeclared or ambiguous field semantics are a systematic source of interpretation errors when artefacts are consumed across module boundaries.</w:t>
      </w:r>
    </w:p>
    <w:p>
      <w:pPr>
        <w:pStyle w:val="BodyText"/>
      </w:pPr>
      <w:r>
        <w:t xml:space="preserve">Version stability: a deployed schema version is never modified in ways that break existing consumers. New optional fields may be added; required fields may never be changed or removed without a major version increment.</w:t>
      </w:r>
    </w:p>
    <w:p>
      <w:pPr>
        <w:pStyle w:val="BodyText"/>
      </w:pPr>
      <w:r>
        <w:t xml:space="preserve">Validation-gate alignment: every field with a validation rule has that rule declared in the schema. Validation rules are not applied informally or post-hoc; they are part of the schema specification and are enforced at admission.</w:t>
      </w:r>
    </w:p>
    <w:p>
      <w:pPr>
        <w:pStyle w:val="BodyText"/>
      </w:pPr>
      <w:r>
        <w:t xml:space="preserve">Technology neutrality: the schema specification is expressed in terms of field names, types, units, and relationships, not in terms of the storage technology used to implement it. A schema compliant artefact may be stored as a CSV file, a Parquet file, or a DuckDB table without changing its analytical meaning.</w:t>
      </w:r>
    </w:p>
    <w:p>
      <w:pPr>
        <w:pStyle w:val="BodyText"/>
      </w:pPr>
      <w:r>
        <w:t xml:space="preserve">Table 3.5 summarises all seven families with their primary producers, consumers, key fields, and current schema versions.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Artefact family</w:t>
            </w:r>
          </w:p>
        </w:tc>
        <w:tc>
          <w:tcPr/>
          <w:p>
            <w:pPr>
              <w:pStyle w:val="Compact"/>
            </w:pPr>
            <w:r>
              <w:t xml:space="preserve">Primary producer</w:t>
            </w:r>
          </w:p>
        </w:tc>
        <w:tc>
          <w:tcPr/>
          <w:p>
            <w:pPr>
              <w:pStyle w:val="Compact"/>
            </w:pPr>
            <w:r>
              <w:t xml:space="preserve">Primary consumer</w:t>
            </w:r>
          </w:p>
        </w:tc>
        <w:tc>
          <w:tcPr/>
          <w:p>
            <w:pPr>
              <w:pStyle w:val="Compact"/>
            </w:pPr>
            <w:r>
              <w:t xml:space="preserve">Key fields</w:t>
            </w:r>
          </w:p>
        </w:tc>
        <w:tc>
          <w:tcPr/>
          <w:p>
            <w:pPr>
              <w:pStyle w:val="Compact"/>
            </w:pPr>
            <w:r>
              <w:t xml:space="preserve">Schema version</w:t>
            </w:r>
          </w:p>
        </w:tc>
      </w:tr>
      <w:tr>
        <w:tc>
          <w:tcPr/>
          <w:p>
            <w:pPr>
              <w:pStyle w:val="Compact"/>
            </w:pPr>
            <w:r>
              <w:t xml:space="preserve">DemandPack</w:t>
            </w:r>
          </w:p>
        </w:tc>
        <w:tc>
          <w:tcPr/>
          <w:p>
            <w:pPr>
              <w:pStyle w:val="Compact"/>
            </w:pPr>
            <w:r>
              <w:t xml:space="preserve">Site demand module</w:t>
            </w:r>
          </w:p>
        </w:tc>
        <w:tc>
          <w:tcPr/>
          <w:p>
            <w:pPr>
              <w:pStyle w:val="Compact"/>
            </w:pPr>
            <w:r>
              <w:t xml:space="preserve">Site dispatch module</w:t>
            </w:r>
          </w:p>
        </w:tc>
        <w:tc>
          <w:tcPr/>
          <w:p>
            <w:pPr>
              <w:pStyle w:val="Compact"/>
            </w:pPr>
            <w:r>
              <w:t xml:space="preserve">timestamp_utc, heat_demand_mw, annual_total_mwh, future_id, run_id</w:t>
            </w:r>
          </w:p>
        </w:tc>
        <w:tc>
          <w:tcPr/>
          <w:p>
            <w:pPr>
              <w:pStyle w:val="Compact"/>
            </w:pPr>
            <w:r>
              <w:t xml:space="preserve">1.0</w:t>
            </w:r>
          </w:p>
        </w:tc>
      </w:tr>
      <w:tr>
        <w:tc>
          <w:tcPr/>
          <w:p>
            <w:pPr>
              <w:pStyle w:val="Compact"/>
            </w:pPr>
            <w:r>
              <w:t xml:space="preserve">IncrementalElectricityPack</w:t>
            </w:r>
          </w:p>
        </w:tc>
        <w:tc>
          <w:tcPr/>
          <w:p>
            <w:pPr>
              <w:pStyle w:val="Compact"/>
            </w:pPr>
            <w:r>
              <w:t xml:space="preserve">Site dispatch module</w:t>
            </w:r>
          </w:p>
        </w:tc>
        <w:tc>
          <w:tcPr/>
          <w:p>
            <w:pPr>
              <w:pStyle w:val="Compact"/>
            </w:pPr>
            <w:r>
              <w:t xml:space="preserve">Regional electricity module</w:t>
            </w:r>
          </w:p>
        </w:tc>
        <w:tc>
          <w:tcPr/>
          <w:p>
            <w:pPr>
              <w:pStyle w:val="Compact"/>
            </w:pPr>
            <w:r>
              <w:t xml:space="preserve">annual_incremental_mwh, peak_incremental_mw, p95_incremental_mw, winter_peak_share, shape_cluster_label</w:t>
            </w:r>
          </w:p>
        </w:tc>
        <w:tc>
          <w:tcPr/>
          <w:p>
            <w:pPr>
              <w:pStyle w:val="Compact"/>
            </w:pPr>
            <w:r>
              <w:t xml:space="preserve">1.0</w:t>
            </w:r>
          </w:p>
        </w:tc>
      </w:tr>
      <w:tr>
        <w:tc>
          <w:tcPr/>
          <w:p>
            <w:pPr>
              <w:pStyle w:val="Compact"/>
            </w:pPr>
            <w:r>
              <w:t xml:space="preserve">SignalsPack</w:t>
            </w:r>
          </w:p>
        </w:tc>
        <w:tc>
          <w:tcPr/>
          <w:p>
            <w:pPr>
              <w:pStyle w:val="Compact"/>
            </w:pPr>
            <w:r>
              <w:t xml:space="preserve">Regional module / Edendale_GXP repository</w:t>
            </w:r>
          </w:p>
        </w:tc>
        <w:tc>
          <w:tcPr/>
          <w:p>
            <w:pPr>
              <w:pStyle w:val="Compact"/>
            </w:pPr>
            <w:r>
              <w:t xml:space="preserve">Site dispatch module, evaluation layer</w:t>
            </w:r>
          </w:p>
        </w:tc>
        <w:tc>
          <w:tcPr/>
          <w:p>
            <w:pPr>
              <w:pStyle w:val="Compact"/>
            </w:pPr>
            <w:r>
              <w:t xml:space="preserve">timestamp_utc, headroom_mw, tariff_nzd_per_mwh, feasibility_indicator, upgrade_class, cost_adder_nzd</w:t>
            </w:r>
          </w:p>
        </w:tc>
        <w:tc>
          <w:tcPr/>
          <w:p>
            <w:pPr>
              <w:pStyle w:val="Compact"/>
            </w:pPr>
            <w:r>
              <w:t xml:space="preserve">0.1.0</w:t>
            </w:r>
          </w:p>
        </w:tc>
      </w:tr>
      <w:tr>
        <w:tc>
          <w:tcPr/>
          <w:p>
            <w:pPr>
              <w:pStyle w:val="Compact"/>
            </w:pPr>
            <w:r>
              <w:t xml:space="preserve">FutureArtefact</w:t>
            </w:r>
          </w:p>
        </w:tc>
        <w:tc>
          <w:tcPr/>
          <w:p>
            <w:pPr>
              <w:pStyle w:val="Compact"/>
            </w:pPr>
            <w:r>
              <w:t xml:space="preserve">Orchestration layer</w:t>
            </w:r>
          </w:p>
        </w:tc>
        <w:tc>
          <w:tcPr/>
          <w:p>
            <w:pPr>
              <w:pStyle w:val="Compact"/>
            </w:pPr>
            <w:r>
              <w:t xml:space="preserve">All modules</w:t>
            </w:r>
          </w:p>
        </w:tc>
        <w:tc>
          <w:tcPr/>
          <w:p>
            <w:pPr>
              <w:pStyle w:val="Compact"/>
            </w:pPr>
            <w:r>
              <w:t xml:space="preserve">future_id, headroom_mult, demand_growth_mult, hydro_class, biomass_availability_mult, ets_price_nzd</w:t>
            </w:r>
          </w:p>
        </w:tc>
        <w:tc>
          <w:tcPr/>
          <w:p>
            <w:pPr>
              <w:pStyle w:val="Compact"/>
            </w:pPr>
            <w:r>
              <w:t xml:space="preserve">1.0</w:t>
            </w:r>
          </w:p>
        </w:tc>
      </w:tr>
      <w:tr>
        <w:tc>
          <w:tcPr/>
          <w:p>
            <w:pPr>
              <w:pStyle w:val="Compact"/>
            </w:pPr>
            <w:r>
              <w:t xml:space="preserve">ResultArtefact</w:t>
            </w:r>
          </w:p>
        </w:tc>
        <w:tc>
          <w:tcPr/>
          <w:p>
            <w:pPr>
              <w:pStyle w:val="Compact"/>
            </w:pPr>
            <w:r>
              <w:t xml:space="preserve">Site dispatch module</w:t>
            </w:r>
          </w:p>
        </w:tc>
        <w:tc>
          <w:tcPr/>
          <w:p>
            <w:pPr>
              <w:pStyle w:val="Compact"/>
            </w:pPr>
            <w:r>
              <w:t xml:space="preserve">Evaluation layer</w:t>
            </w:r>
          </w:p>
        </w:tc>
        <w:tc>
          <w:tcPr/>
          <w:p>
            <w:pPr>
              <w:pStyle w:val="Compact"/>
            </w:pPr>
            <w:r>
              <w:t xml:space="preserve">annual_total_cost_nzd, annual_co2_tonnes, annual_electricity_mwh, annual_unserved_mwh, future_id, pathway_id</w:t>
            </w:r>
          </w:p>
        </w:tc>
        <w:tc>
          <w:tcPr/>
          <w:p>
            <w:pPr>
              <w:pStyle w:val="Compact"/>
            </w:pPr>
            <w:r>
              <w:t xml:space="preserve">1.0</w:t>
            </w:r>
          </w:p>
        </w:tc>
      </w:tr>
      <w:tr>
        <w:tc>
          <w:tcPr/>
          <w:p>
            <w:pPr>
              <w:pStyle w:val="Compact"/>
            </w:pPr>
            <w:r>
              <w:t xml:space="preserve">ValidationArtefact</w:t>
            </w:r>
          </w:p>
        </w:tc>
        <w:tc>
          <w:tcPr/>
          <w:p>
            <w:pPr>
              <w:pStyle w:val="Compact"/>
            </w:pPr>
            <w:r>
              <w:t xml:space="preserve">Orchestration layer</w:t>
            </w:r>
          </w:p>
        </w:tc>
        <w:tc>
          <w:tcPr/>
          <w:p>
            <w:pPr>
              <w:pStyle w:val="Compact"/>
            </w:pPr>
            <w:r>
              <w:t xml:space="preserve">Backbone (governance record)</w:t>
            </w:r>
          </w:p>
        </w:tc>
        <w:tc>
          <w:tcPr/>
          <w:p>
            <w:pPr>
              <w:pStyle w:val="Compact"/>
            </w:pPr>
            <w:r>
              <w:t xml:space="preserve">artefact_id, check_name, outcome, failure_details, timestamp</w:t>
            </w:r>
          </w:p>
        </w:tc>
        <w:tc>
          <w:tcPr/>
          <w:p>
            <w:pPr>
              <w:pStyle w:val="Compact"/>
            </w:pPr>
            <w:r>
              <w:t xml:space="preserve">1.0</w:t>
            </w:r>
          </w:p>
        </w:tc>
      </w:tr>
      <w:tr>
        <w:tc>
          <w:tcPr/>
          <w:p>
            <w:pPr>
              <w:pStyle w:val="Compact"/>
            </w:pPr>
            <w:r>
              <w:t xml:space="preserve">DecisionSummaryArtefact</w:t>
            </w:r>
          </w:p>
        </w:tc>
        <w:tc>
          <w:tcPr/>
          <w:p>
            <w:pPr>
              <w:pStyle w:val="Compact"/>
            </w:pPr>
            <w:r>
              <w:t xml:space="preserve">Evaluation layer</w:t>
            </w:r>
          </w:p>
        </w:tc>
        <w:tc>
          <w:tcPr/>
          <w:p>
            <w:pPr>
              <w:pStyle w:val="Compact"/>
            </w:pPr>
            <w:r>
              <w:t xml:space="preserve">Decision-maker, reporting layer</w:t>
            </w:r>
          </w:p>
        </w:tc>
        <w:tc>
          <w:tcPr/>
          <w:p>
            <w:pPr>
              <w:pStyle w:val="Compact"/>
            </w:pPr>
            <w:r>
              <w:t xml:space="preserve">pathway_id, win_rate, max_regret_nzd, p90_regret_nzd, satisficing_rate, future_id_set</w:t>
            </w:r>
          </w:p>
        </w:tc>
        <w:tc>
          <w:tcPr/>
          <w:p>
            <w:pPr>
              <w:pStyle w:val="Compact"/>
            </w:pPr>
            <w:r>
              <w:t xml:space="preserve">1.0</w:t>
            </w:r>
          </w:p>
        </w:tc>
      </w:tr>
    </w:tbl>
    <w:p>
      <w:pPr>
        <w:pStyle w:val="BodyText"/>
      </w:pPr>
      <w:r>
        <w:t xml:space="preserve">Full field-level specifications, including data types, units, required/optional status, and validation rules for every field in every family, are in Sub-Module SM-3.5-A.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opt/quarto/share/formats/docx/tip.png" id="11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SM-3.5-A</w:t>
            </w:r>
          </w:p>
        </w:tc>
      </w:tr>
      <w:tr>
        <w:trPr>
          <w:cantSplit/>
        </w:trPr>
        <w:tc>
          <w:tcPr>
            <w:tcMar>
              <w:top w:w="108" w:type="dxa"/>
              <w:bottom w:w="108" w:type="dxa"/>
            </w:tcMar>
          </w:tcPr>
          <w:p>
            <w:pPr>
              <w:pStyle w:val="BodyText"/>
            </w:pPr>
            <w:pPr>
              <w:spacing w:before="16" w:after="16"/>
            </w:pPr>
            <w:r>
              <w:t xml:space="preserve">Canonical Artefact Schema Reference — complete field-level specifications, schema version history, and cross-reference table — is in</w:t>
            </w:r>
            <w:r>
              <w:t xml:space="preserve"> </w:t>
            </w:r>
            <w:hyperlink r:id="rId113">
              <w:r>
                <w:rPr>
                  <w:rStyle w:val="Hyperlink"/>
                </w:rPr>
                <w:t xml:space="preserve">SM-3.5-A</w:t>
              </w:r>
            </w:hyperlink>
            <w:r>
              <w:t xml:space="preserve">. Do not skip when implementing any module that produces or consumes these artefacts.</w:t>
            </w:r>
          </w:p>
          <w:p/>
        </w:tc>
      </w:tr>
    </w:tbl>
    <w:bookmarkEnd w:id="114"/>
    <w:bookmarkStart w:id="115" w:name="X313ac2c8ed4f20f45bd62977e05338b7f91e68d"/>
    <w:p>
      <w:pPr>
        <w:pStyle w:val="Heading2"/>
      </w:pPr>
      <w:r>
        <w:t xml:space="preserve">15.6 §3.6 Artefact Lifecycle, Validation, and Acceptance Gates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§3.6 Artefact Lifecycle, Validation, and Acceptance Gates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Develops the governed lifecycle of an artefact from generation through validation, publication, consumption, archival, and supersession, using the DemandPack rounding error incident as a concrete illustration</w:t>
                  </w:r>
                </w:p>
              </w:tc>
            </w:tr>
            <w:tr>
              <w:tc>
                <w:tcPr/>
                <w:p>
                  <w:pPr>
                    <w:pStyle w:val="Compact"/>
                  </w:pPr>
                  <w:r>
                    <w:rPr>
                      <w:b/>
                      <w:bCs/>
                    </w:rPr>
                    <w:t xml:space="preserve">Skip condition</w:t>
                  </w:r>
                </w:p>
              </w:tc>
              <w:tc>
                <w:tcPr/>
                <w:p>
                  <w:pPr>
                    <w:pStyle w:val="Compact"/>
                  </w:pPr>
                  <w:r>
                    <w:t xml:space="preserve">Skip for conceptual reading; do not skip when implementing governance infrastructure</w:t>
                  </w:r>
                </w:p>
              </w:tc>
            </w:tr>
            <w:tr>
              <w:tc>
                <w:tcPr/>
                <w:p>
                  <w:pPr>
                    <w:pStyle w:val="Compact"/>
                  </w:pPr>
                  <w:r>
                    <w:rPr>
                      <w:b/>
                      <w:bCs/>
                    </w:rPr>
                    <w:t xml:space="preserve">Passes to</w:t>
                  </w:r>
                </w:p>
              </w:tc>
              <w:tc>
                <w:tcPr/>
                <w:p>
                  <w:pPr>
                    <w:pStyle w:val="Compact"/>
                  </w:pPr>
                  <w:r>
                    <w:t xml:space="preserve">§3.7, Module 6 §6.8</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An artefact’s governed status is not a property assigned at creation. It is a status earned through a sequence of stages, each of which imposes specific requirements and produces specific records. The six-stage lifecycle described here is both a technical specification and an expression of the framework’s epistemological commitments: no analytical claim enters the comparison chain until it has passed through a declared assessment, and no assessment outcome is ever destroyed.</w:t>
      </w:r>
    </w:p>
    <w:p>
      <w:pPr>
        <w:pStyle w:val="BodyText"/>
      </w:pPr>
      <w:r>
        <w:t xml:space="preserve">Stage 1: Provisional. An artefact is created in provisional status immediately upon production by its generating module. Provisional artefacts exist in the backbone but are not available to downstream consuming modules. No ResultArtefact or DecisionSummaryArtefact may reference a provisional DemandPack or SignalsPack.</w:t>
      </w:r>
    </w:p>
    <w:p>
      <w:pPr>
        <w:pStyle w:val="BodyText"/>
      </w:pPr>
      <w:r>
        <w:t xml:space="preserve">Stage 2: Validated. An artefact achieves validated status after passing all acceptance gates declared in its schema. Acceptance gates are not preprocessing steps; they are first-class analytical activities documented in ValidationArtefacts and stored in the backbone alongside the artefacts they assessed. The acceptance gates for a DemandPack check energy balance closure within 0.5 percent of the declared annual total, chronological integrity with no gaps or duplicates in the hourly timestamp array, non-negativity across the full demand time series, peak consistency between the array maximum and the declared peak field, and provenance completeness for all required foreign key fields.</w:t>
      </w:r>
    </w:p>
    <w:p>
      <w:pPr>
        <w:pStyle w:val="BodyText"/>
      </w:pPr>
      <w:r>
        <w:t xml:space="preserve">Stage 3: Published. A validated artefact is published when the orchestration layer records its admission to the backbone and notifies downstream modules that it is available for consumption.</w:t>
      </w:r>
    </w:p>
    <w:p>
      <w:pPr>
        <w:pStyle w:val="BodyText"/>
      </w:pPr>
      <w:r>
        <w:t xml:space="preserve">Stage 4: Consumed. An artefact is consumed when a downstream module reads it as input to a computation. The consumption event is recorded in the backbone’s lineage table with the consuming module’s identity and the run in which consumption occurred.</w:t>
      </w:r>
    </w:p>
    <w:p>
      <w:pPr>
        <w:pStyle w:val="BodyText"/>
      </w:pPr>
      <w:r>
        <w:t xml:space="preserve">Stage 5: Archived. An artefact is archived when it is superseded by a newer version. Archived artefacts are retained in the backbone indefinitely. They remain queryable through the historical view of the backbone. Their archived status prevents them from appearing in current-view queries that return only the most recent validated version.</w:t>
      </w:r>
    </w:p>
    <w:p>
      <w:pPr>
        <w:pStyle w:val="BodyText"/>
      </w:pPr>
      <w:r>
        <w:t xml:space="preserve">Stage 6: Superseded. An artefact is marked superseded when a replacement version has been validated and published. The supersession record in the backbone carries a reference from the superseded artefact to its replacement, allowing the full version history of any analytical object to be reconstructed.</w:t>
      </w:r>
    </w:p>
    <w:p>
      <w:pPr>
        <w:pStyle w:val="BodyText"/>
      </w:pPr>
      <w:r>
        <w:t xml:space="preserve">The append-only principle is the operational expression of the framework’s commitment to traceability. No artefact is ever deleted from the backbone. A DemandPack that was produced under a flawed algorithm, identified by an acceptance gate failure, corrected, and replaced exists in the backbone in both its failed and corrected forms, linked by a supersession reference. The failed ValidationArtefact that recorded the failure is retained alongside both versions. This complete record is not a burden; it is the evidence that the analytical process worked as intended.</w:t>
      </w:r>
    </w:p>
    <w:p>
      <w:pPr>
        <w:pStyle w:val="BodyText"/>
      </w:pPr>
      <w:r>
        <w:t xml:space="preserve">The DemandPack rounding error incident in the Edendale proof of concept illustrates all six stages in operation. During initial proof-of-concept development, three DemandPacks were produced and admitted to Stage 1 (Provisional). The energy balance closure gate at Stage 2 detected that their hourly arrays summed to 0.7 to 0.9 percent below the declared annual totals, exceeding the 0.5 percent tolerance. The gate produced failed ValidationArtefacts for all three, recorded the failure reason (seasonal decomposition fractions summed to 0.999 rather than 1.000), and held the three DemandPacks in Provisional status. The algorithm was corrected, three replacement DemandPacks were produced and passed all gates, and the corrected versions were published to Stage 3. The three failed DemandPacks were moved to Superseded status with references to their replacements. The failed ValidationArtefacts were retained as permanent governance records. The entire episode added transparency to the analytical record rather than compromising it.</w:t>
      </w:r>
    </w:p>
    <w:bookmarkEnd w:id="115"/>
    <w:bookmarkStart w:id="119" w:name="the-analytical-backbone"/>
    <w:p>
      <w:pPr>
        <w:pStyle w:val="Heading2"/>
      </w:pPr>
      <w:r>
        <w:t xml:space="preserve">15.7 §3.7 The Analytical Backbone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§3.7 The Analytical Backbone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Specified (current PoC uses file-system implementation; DuckDB/Parquet implementation is next-phase)</w:t>
                  </w:r>
                </w:p>
              </w:tc>
            </w:tr>
            <w:tr>
              <w:tc>
                <w:tcPr/>
                <w:p>
                  <w:pPr>
                    <w:pStyle w:val="Compact"/>
                  </w:pPr>
                  <w:r>
                    <w:rPr>
                      <w:b/>
                      <w:bCs/>
                    </w:rPr>
                    <w:t xml:space="preserve">Assumes</w:t>
                  </w:r>
                </w:p>
              </w:tc>
              <w:tc>
                <w:tcPr/>
                <w:p>
                  <w:pPr>
                    <w:pStyle w:val="Compact"/>
                  </w:pPr>
                  <w:r>
                    <w:t xml:space="preserve">§3.5, §3.6</w:t>
                  </w:r>
                </w:p>
              </w:tc>
            </w:tr>
            <w:tr>
              <w:tc>
                <w:tcPr/>
                <w:p>
                  <w:pPr>
                    <w:pStyle w:val="Compact"/>
                  </w:pPr>
                  <w:r>
                    <w:rPr>
                      <w:b/>
                      <w:bCs/>
                    </w:rPr>
                    <w:t xml:space="preserve">Contributes</w:t>
                  </w:r>
                </w:p>
              </w:tc>
              <w:tc>
                <w:tcPr/>
                <w:p>
                  <w:pPr>
                    <w:pStyle w:val="Compact"/>
                  </w:pPr>
                  <w:r>
                    <w:t xml:space="preserve">Develops the backbone as a methodological commitment, establishes its logical contract and eight design principles, and describes both the current file-system implementation and the next-phase DuckDB/Parquet target</w:t>
                  </w:r>
                </w:p>
              </w:tc>
            </w:tr>
            <w:tr>
              <w:tc>
                <w:tcPr/>
                <w:p>
                  <w:pPr>
                    <w:pStyle w:val="Compact"/>
                  </w:pPr>
                  <w:r>
                    <w:rPr>
                      <w:b/>
                      <w:bCs/>
                    </w:rPr>
                    <w:t xml:space="preserve">Skip condition</w:t>
                  </w:r>
                </w:p>
              </w:tc>
              <w:tc>
                <w:tcPr/>
                <w:p>
                  <w:pPr>
                    <w:pStyle w:val="Compact"/>
                  </w:pPr>
                  <w:r>
                    <w:t xml:space="preserve">Skip if reader accepts backbone necessity and wants implementation detail; proceed to SM-3.7-A</w:t>
                  </w:r>
                </w:p>
              </w:tc>
            </w:tr>
            <w:tr>
              <w:tc>
                <w:tcPr/>
                <w:p>
                  <w:pPr>
                    <w:pStyle w:val="Compact"/>
                  </w:pPr>
                  <w:r>
                    <w:rPr>
                      <w:b/>
                      <w:bCs/>
                    </w:rPr>
                    <w:t xml:space="preserve">Passes to</w:t>
                  </w:r>
                </w:p>
              </w:tc>
              <w:tc>
                <w:tcPr/>
                <w:p>
                  <w:pPr>
                    <w:pStyle w:val="Compact"/>
                  </w:pPr>
                  <w:r>
                    <w:t xml:space="preserve">§3.8, Module 6</w:t>
                  </w:r>
                </w:p>
              </w:tc>
            </w:tr>
            <w:tr>
              <w:tc>
                <w:tcPr/>
                <w:p>
                  <w:pPr>
                    <w:pStyle w:val="Compact"/>
                  </w:pPr>
                  <w:r>
                    <w:rPr>
                      <w:b/>
                      <w:bCs/>
                    </w:rPr>
                    <w:t xml:space="preserve">Sub-Modules here</w:t>
                  </w:r>
                </w:p>
              </w:tc>
              <w:tc>
                <w:tcPr/>
                <w:p>
                  <w:pPr>
                    <w:pStyle w:val="Compact"/>
                  </w:pPr>
                  <w:r>
                    <w:t xml:space="preserve">SM-3.7-A: Backbone Implementation, DuckDB, Parquet, Snakemake</w:t>
                  </w:r>
                </w:p>
              </w:tc>
            </w:tr>
          </w:tbl>
          <w:p/>
        </w:tc>
      </w:tr>
    </w:tbl>
    <w:p>
      <w:pPr>
        <w:pStyle w:val="BodyText"/>
      </w:pPr>
      <w:r>
        <w:t xml:space="preserve">The analytical backbone is the governed persistence layer in which all artefacts are stored, linked, and made queryable across runs, futures, epochs, and module versions. It is not a conventional database, and the distinction is important. A conventional database stores the current state of information, with old records replaced or updated as new information arrives. The analytical backbone is append-only: records are never deleted or overwritten. It is lineage-governed: every record carries explicit references to the artefacts and runs that produced it. It is schema-validated: no artefact is admitted without passing its schema’s acceptance gates. It is a methodological commitment, not merely infrastructure.</w:t>
      </w:r>
    </w:p>
    <w:p>
      <w:pPr>
        <w:pStyle w:val="BodyText"/>
      </w:pPr>
      <w:r>
        <w:t xml:space="preserve">The backbone’s logical contract has four components. The artefact store holds the content and identifying metadata of every admitted artefact, organised by family, schema version, and identifying keys. The run registry records the metadata of every pipeline run: the modules involved, the configuration version used, the execution timestamp, and the identifiers of all artefacts produced and consumed. The lineage table records the dependency relationships between artefacts: which artefact was consumed as input to which run, and which artefacts were produced as outputs. The validation registry records the outcome of every acceptance gate check, linking each ValidationArtefact to the artefact it assessed and to the gate specification under which it was evaluated.</w:t>
      </w:r>
    </w:p>
    <w:p>
      <w:pPr>
        <w:pStyle w:val="BodyText"/>
      </w:pPr>
      <w:r>
        <w:t xml:space="preserve">Eight design principles govern the backbone regardless of its physical implementation.</w:t>
      </w:r>
    </w:p>
    <w:p>
      <w:pPr>
        <w:pStyle w:val="BodyText"/>
      </w:pPr>
      <w:r>
        <w:t xml:space="preserve">Append-only storage: artefacts are never deleted or overwritten. Every superseded version is retained with its supersession reference.</w:t>
      </w:r>
    </w:p>
    <w:p>
      <w:pPr>
        <w:pStyle w:val="BodyText"/>
      </w:pPr>
      <w:r>
        <w:t xml:space="preserve">Schema-governed admission: an artefact is admitted only after passing all acceptance gates declared in its schema.</w:t>
      </w:r>
    </w:p>
    <w:p>
      <w:pPr>
        <w:pStyle w:val="BodyText"/>
      </w:pPr>
      <w:r>
        <w:t xml:space="preserve">Mandatory provenance: every record carries its full provenance including run identifier, future identifier, producing module identity and version, and schema version.</w:t>
      </w:r>
    </w:p>
    <w:p>
      <w:pPr>
        <w:pStyle w:val="BodyText"/>
      </w:pPr>
      <w:r>
        <w:t xml:space="preserve">Explicit lineage: every read and write operation involving an artefact is recorded in the lineage table at the time of the operation, not inferred afterwards.</w:t>
      </w:r>
    </w:p>
    <w:p>
      <w:pPr>
        <w:pStyle w:val="BodyText"/>
      </w:pPr>
      <w:r>
        <w:t xml:space="preserve">Queryable design: the schema is designed for the access patterns most commonly needed in analytical workflows: retrieval by artefact family, joining across families on shared foreign keys, and aggregation across the future ensemble.</w:t>
      </w:r>
    </w:p>
    <w:p>
      <w:pPr>
        <w:pStyle w:val="BodyText"/>
      </w:pPr>
      <w:r>
        <w:t xml:space="preserve">Semantic versioning: every artefact family has a schema version number following the major.minor convention. The backbone stores artefacts of different versions without conflict.</w:t>
      </w:r>
    </w:p>
    <w:p>
      <w:pPr>
        <w:pStyle w:val="BodyText"/>
      </w:pPr>
      <w:r>
        <w:t xml:space="preserve">Current and historical views: current-view queries return only the most recently validated, non-superseded artefact for each combination of family, run, future, epoch, and pathway. Historical-view queries return all versions including superseded and failed artefacts for audit purposes.</w:t>
      </w:r>
    </w:p>
    <w:p>
      <w:pPr>
        <w:pStyle w:val="BodyText"/>
      </w:pPr>
      <w:r>
        <w:t xml:space="preserve">Technology neutrality: the backbone’s logical design is expressed in terms of artefact families, identifying keys, and relationship types rather than specific table structures or file formats.</w:t>
      </w:r>
    </w:p>
    <w:p>
      <w:pPr>
        <w:pStyle w:val="BodyText"/>
      </w:pPr>
      <w:r>
        <w:t xml:space="preserve">In the current proof of concept, the backbone is implemented as a file-system run-bundle structure. All outputs are organised under Output/runs/</w:t>
      </w:r>
      <w:r>
        <w:t xml:space="preserve">/, with epoch tags and layer subdirectories providing the physical organisation. SHA256 hashes in the SignalsPack provenance reports and the signals manifest serve as the artefact integrity mechanism in place of a formal schema-governed admission system. This implementation satisfies the append-only and provenance requirements through the run-bundle naming convention and the SHA256 chain. It does not yet satisfy the queryable design or the explicit lineage principles in their full form.</w:t>
      </w:r>
    </w:p>
    <w:p>
      <w:pPr>
        <w:pStyle w:val="BodyText"/>
      </w:pPr>
      <w:r>
        <w:t xml:space="preserve">The next-phase implementation uses DuckDB for the logical backbone and Parquet files for artefact storage. DuckDB provides SQL querying with window functions, joins, and aggregations appropriate for robustness analysis, without requiring a server and with native Python compatibility. Parquet provides efficient columnar storage for time-series arrays and is compatible with Python, R, and Julia. The migration path from the current file-system implementation to the DuckDB/Parquet implementation is documented in Sub-Module SM-3.7-A, which also specifies the entity relationship schema and the Snakemake orchestration rules that enforce the artefact lifecycle.</w:t>
      </w:r>
    </w:p>
    <w:p>
      <w:pPr>
        <w:pStyle w:val="BodyText"/>
      </w:pPr>
      <w:r>
        <w:t xml:space="preserve">The backbone is also the enabling condition for the natural-language query vision described in the Context Declaration. A natural-language interface over the governed artefact store is only trustworthy if the artefacts it is querying are governed: schema-conforming, provenance-carrying, validation-gated, and linked through explicit lineage. Without governance, a language model querying the backbone cannot distinguish current from superseded results, validated from provisional artefacts, or results produced under one set of assumptions from those produced under another. The backbone’s governance properties are what make AI-assisted analytical interrogation analytically trustworthy.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tip.png" id="117"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SM-3.7-A</w:t>
            </w:r>
          </w:p>
        </w:tc>
      </w:tr>
      <w:tr>
        <w:trPr>
          <w:cantSplit/>
        </w:trPr>
        <w:tc>
          <w:tcPr>
            <w:tcMar>
              <w:top w:w="108" w:type="dxa"/>
              <w:bottom w:w="108" w:type="dxa"/>
            </w:tcMar>
          </w:tcPr>
          <w:p>
            <w:pPr>
              <w:pStyle w:val="BodyText"/>
            </w:pPr>
            <w:pPr>
              <w:spacing w:before="16" w:after="16"/>
            </w:pPr>
            <w:r>
              <w:t xml:space="preserve">Backbone Implementation: DuckDB, Parquet, Snakemake — entity relationship schema, table definitions, migration path, and orchestration rules — is in</w:t>
            </w:r>
            <w:r>
              <w:t xml:space="preserve"> </w:t>
            </w:r>
            <w:hyperlink r:id="rId118">
              <w:r>
                <w:rPr>
                  <w:rStyle w:val="Hyperlink"/>
                </w:rPr>
                <w:t xml:space="preserve">SM-3.7-A</w:t>
              </w:r>
            </w:hyperlink>
            <w:r>
              <w:t xml:space="preserve">. Skip if conceptual backbone understanding is sufficient; process when implementing the next-phase backbone.</w:t>
            </w:r>
          </w:p>
          <w:p/>
        </w:tc>
      </w:tr>
    </w:tbl>
    <w:bookmarkEnd w:id="119"/>
    <w:bookmarkStart w:id="123" w:name="ai-and-ml-artefact-governance"/>
    <w:p>
      <w:pPr>
        <w:pStyle w:val="Heading2"/>
      </w:pPr>
      <w:r>
        <w:t xml:space="preserve">15.8 §3.8 AI and ML Artefact Governance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§3.8 AI and ML Artefact Governance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§3.5, §3.6, §3.7</w:t>
                  </w:r>
                </w:p>
              </w:tc>
            </w:tr>
            <w:tr>
              <w:tc>
                <w:tcPr/>
                <w:p>
                  <w:pPr>
                    <w:pStyle w:val="Compact"/>
                  </w:pPr>
                  <w:r>
                    <w:rPr>
                      <w:b/>
                      <w:bCs/>
                    </w:rPr>
                    <w:t xml:space="preserve">Contributes</w:t>
                  </w:r>
                </w:p>
              </w:tc>
              <w:tc>
                <w:tcPr/>
                <w:p>
                  <w:pPr>
                    <w:pStyle w:val="Compact"/>
                  </w:pPr>
                  <w:r>
                    <w:t xml:space="preserve">Extends the artefact governance framework to outputs produced by AI and ML methods, establishing the five additional provenance fields and the human acceptance requirement</w:t>
                  </w:r>
                </w:p>
              </w:tc>
            </w:tr>
            <w:tr>
              <w:tc>
                <w:tcPr/>
                <w:p>
                  <w:pPr>
                    <w:pStyle w:val="Compact"/>
                  </w:pPr>
                  <w:r>
                    <w:rPr>
                      <w:b/>
                      <w:bCs/>
                    </w:rPr>
                    <w:t xml:space="preserve">Skip condition</w:t>
                  </w:r>
                </w:p>
              </w:tc>
              <w:tc>
                <w:tcPr/>
                <w:p>
                  <w:pPr>
                    <w:pStyle w:val="Compact"/>
                  </w:pPr>
                  <w:r>
                    <w:t xml:space="preserve">Skip if AI/ML methods are not used in the current implementation; return when surrogate modules are deployed</w:t>
                  </w:r>
                </w:p>
              </w:tc>
            </w:tr>
            <w:tr>
              <w:tc>
                <w:tcPr/>
                <w:p>
                  <w:pPr>
                    <w:pStyle w:val="Compact"/>
                  </w:pPr>
                  <w:r>
                    <w:rPr>
                      <w:b/>
                      <w:bCs/>
                    </w:rPr>
                    <w:t xml:space="preserve">Passes to</w:t>
                  </w:r>
                </w:p>
              </w:tc>
              <w:tc>
                <w:tcPr/>
                <w:p>
                  <w:pPr>
                    <w:pStyle w:val="Compact"/>
                  </w:pPr>
                  <w:r>
                    <w:t xml:space="preserve">Module 6, SM-3.8-A</w:t>
                  </w:r>
                </w:p>
              </w:tc>
            </w:tr>
            <w:tr>
              <w:tc>
                <w:tcPr/>
                <w:p>
                  <w:pPr>
                    <w:pStyle w:val="Compact"/>
                  </w:pPr>
                  <w:r>
                    <w:rPr>
                      <w:b/>
                      <w:bCs/>
                    </w:rPr>
                    <w:t xml:space="preserve">Sub-Modules here</w:t>
                  </w:r>
                </w:p>
              </w:tc>
              <w:tc>
                <w:tcPr/>
                <w:p>
                  <w:pPr>
                    <w:pStyle w:val="Compact"/>
                  </w:pPr>
                  <w:r>
                    <w:t xml:space="preserve">SM-3.8-A: AI/ML Provenance Requirements and Acceptance Protocol</w:t>
                  </w:r>
                </w:p>
              </w:tc>
            </w:tr>
          </w:tbl>
          <w:p/>
        </w:tc>
      </w:tr>
    </w:tbl>
    <w:p>
      <w:pPr>
        <w:pStyle w:val="BodyText"/>
      </w:pPr>
      <w:r>
        <w:t xml:space="preserve">The artefact governance framework of §§3.5 through 3.7 applies to all analytical outputs that enter the comparison chain, regardless of how they were produced. An output produced by a rule-based dispatch algorithm, a linear optimisation, an equation-based physical simulation, or a trained ML surrogate is subject to the same schema conformance requirement, the same acceptance gate logic, and the same backbone admission process. The governed artefact is the unit of trust, not the production method.</w:t>
      </w:r>
    </w:p>
    <w:p>
      <w:pPr>
        <w:pStyle w:val="BodyText"/>
      </w:pPr>
      <w:r>
        <w:t xml:space="preserve">However, AI and ML methods have three characteristics that require additional governance elements beyond those required for deterministic or stochastic analytical modules.</w:t>
      </w:r>
    </w:p>
    <w:p>
      <w:pPr>
        <w:pStyle w:val="BodyText"/>
      </w:pPr>
      <w:r>
        <w:t xml:space="preserve">The first is opacity of inference. A rule-based dispatch calculation can be audited by inspecting its logic. An LP solution can be verified by substituting its values into the constraint matrix. A trained neural network’s output for a given input cannot be audited in the same way: its internal representation is not interpretable without additional tooling, and its response to inputs near the boundary of its training distribution may be unreliable in ways that are not visible from the output value alone.</w:t>
      </w:r>
    </w:p>
    <w:p>
      <w:pPr>
        <w:pStyle w:val="BodyText"/>
      </w:pPr>
      <w:r>
        <w:t xml:space="preserve">The second is training data dependence. An ML model’s performance is conditional on the distribution of its training data. A regional electricity surrogate trained on PyPSA outputs from a sample of futures may perform well in the interior of that sample and poorly near its boundaries. The training data identifier and the training sample coverage must be part of the artefact’s provenance to make this dependence visible.</w:t>
      </w:r>
    </w:p>
    <w:p>
      <w:pPr>
        <w:pStyle w:val="BodyText"/>
      </w:pPr>
      <w:r>
        <w:t xml:space="preserve">The third is regime boundary behaviour. Near the boundaries of a surrogate’s trained regime, the mapping between inputs and outputs may change qualitatively in ways that the surrogate’s smooth approximation cannot represent. A surrogate for the regional electricity module may produce systematically underestimated headroom exceedances near the transition between feasible-without-upgrade and major-upgrade regimes, precisely the transition that matters most for the decision comparison.</w:t>
      </w:r>
    </w:p>
    <w:p>
      <w:pPr>
        <w:pStyle w:val="BodyText"/>
      </w:pPr>
      <w:r>
        <w:t xml:space="preserve">The response to these three characteristics is five additional provenance fields for artefacts produced by AI or ML methods. The model type and version field declares the specific model architecture, hyperparameter configuration, and version used to produce the artefact. The training data identifier field references the governed dataset from which the model was trained. The confidence score field carries the surrogate’s self-assessment of its prediction reliability for this specific input, computed from the distance to the training distribution in the input feature space. The regime flag field declares whether the input was within or near the boundary of the surrogate’s trained regime. The human acceptance record field carries the identifier of the human reviewer who confirmed that the output was plausible and appropriate before the artefact was admitted to the backbone.</w:t>
      </w:r>
    </w:p>
    <w:p>
      <w:pPr>
        <w:pStyle w:val="BodyText"/>
      </w:pPr>
      <w:r>
        <w:t xml:space="preserve">The human acceptance requirement deserves explicit justification. It is not optional and it is not bureaucratic overhead. AI and ML methods can produce plausible-looking outputs for inputs that are outside their trained distribution or near regime boundaries, without any visible signal of the problem in the output value itself. The confidence score provides a quantitative flag, but it cannot replace the judgement of a domain-informed analyst who can assess whether the specific output makes physical or analytical sense given what is known about the decision context. The human acceptance record is the evidence that this assessment occurred.</w:t>
      </w:r>
    </w:p>
    <w:p>
      <w:pPr>
        <w:pStyle w:val="BodyText"/>
      </w:pPr>
      <w:r>
        <w:t xml:space="preserve">The detailed protocol for confidence scoring, regime boundary detection, and the human acceptance workflow is in Sub-Module SM-3.8-A.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tip.png" id="12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SM-3.8-A</w:t>
            </w:r>
          </w:p>
        </w:tc>
      </w:tr>
      <w:tr>
        <w:trPr>
          <w:cantSplit/>
        </w:trPr>
        <w:tc>
          <w:tcPr>
            <w:tcMar>
              <w:top w:w="108" w:type="dxa"/>
              <w:bottom w:w="108" w:type="dxa"/>
            </w:tcMar>
          </w:tcPr>
          <w:p>
            <w:pPr>
              <w:pStyle w:val="BodyText"/>
            </w:pPr>
            <w:pPr>
              <w:spacing w:before="16" w:after="16"/>
            </w:pPr>
            <w:r>
              <w:t xml:space="preserve">AI/ML Provenance Requirements and Acceptance Protocol — confidence scoring methodology, regime boundary protocol, human acceptance workflow, and comparison table — is in</w:t>
            </w:r>
            <w:r>
              <w:t xml:space="preserve"> </w:t>
            </w:r>
            <w:hyperlink r:id="rId122">
              <w:r>
                <w:rPr>
                  <w:rStyle w:val="Hyperlink"/>
                </w:rPr>
                <w:t xml:space="preserve">SM-3.8-A</w:t>
              </w:r>
            </w:hyperlink>
            <w:r>
              <w:t xml:space="preserve">. Process when deploying any surrogate module.</w:t>
            </w:r>
          </w:p>
          <w:p/>
        </w:tc>
      </w:tr>
    </w:tbl>
    <w:bookmarkEnd w:id="123"/>
    <w:bookmarkEnd w:id="124"/>
    <w:bookmarkStart w:id="133" w:name="sub-module-3.5-a"/>
    <w:p>
      <w:pPr>
        <w:pStyle w:val="Heading1"/>
      </w:pPr>
      <w:r>
        <w:t xml:space="preserve">16. Sub-Module 3.5-A</w:t>
      </w:r>
    </w:p>
    <w:p>
      <w:pPr>
        <w:pStyle w:val="FirstParagraph"/>
      </w:pPr>
      <w:r>
        <w:t xml:space="preserve">Canonical Artefact Schema Reference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SM-3.5-A: Canonical Artefact Schema Reference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Complete field-level specifications for all seven canonical artefact families, schema version history, and a cross-reference table identifying fields shared across families</w:t>
                  </w:r>
                </w:p>
              </w:tc>
            </w:tr>
            <w:tr>
              <w:tc>
                <w:tcPr/>
                <w:p>
                  <w:pPr>
                    <w:pStyle w:val="Compact"/>
                  </w:pPr>
                  <w:r>
                    <w:rPr>
                      <w:b/>
                      <w:bCs/>
                    </w:rPr>
                    <w:t xml:space="preserve">Skip condition</w:t>
                  </w:r>
                </w:p>
              </w:tc>
              <w:tc>
                <w:tcPr/>
                <w:p>
                  <w:pPr>
                    <w:pStyle w:val="Compact"/>
                  </w:pPr>
                  <w:r>
                    <w:t xml:space="preserve">Skip for conceptual reading; process in full when implementing any module that produces or consumes governed artefacts</w:t>
                  </w:r>
                </w:p>
              </w:tc>
            </w:tr>
            <w:tr>
              <w:tc>
                <w:tcPr/>
                <w:p>
                  <w:pPr>
                    <w:pStyle w:val="Compact"/>
                  </w:pPr>
                  <w:r>
                    <w:rPr>
                      <w:b/>
                      <w:bCs/>
                    </w:rPr>
                    <w:t xml:space="preserve">Passes to</w:t>
                  </w:r>
                </w:p>
              </w:tc>
              <w:tc>
                <w:tcPr/>
                <w:p>
                  <w:pPr>
                    <w:pStyle w:val="Compact"/>
                  </w:pPr>
                  <w:r>
                    <w:t xml:space="preserve">Module 6, SM-6.4-C, SM-6.5-D</w:t>
                  </w:r>
                </w:p>
              </w:tc>
            </w:tr>
            <w:tr>
              <w:tc>
                <w:tcPr/>
                <w:p>
                  <w:pPr>
                    <w:pStyle w:val="Compact"/>
                  </w:pPr>
                  <w:r>
                    <w:rPr>
                      <w:b/>
                      <w:bCs/>
                    </w:rPr>
                    <w:t xml:space="preserve">Sub-Modules here</w:t>
                  </w:r>
                </w:p>
              </w:tc>
              <w:tc>
                <w:tcPr/>
                <w:p>
                  <w:pPr>
                    <w:pStyle w:val="Compact"/>
                  </w:pPr>
                  <w:r>
                    <w:t xml:space="preserve">None</w:t>
                  </w:r>
                </w:p>
              </w:tc>
            </w:tr>
          </w:tbl>
          <w:p/>
        </w:tc>
      </w:tr>
    </w:tbl>
    <w:bookmarkStart w:id="131" w:name="Xea898945d9a5cced52e884fdee3deb0c0de07b8"/>
    <w:p>
      <w:pPr>
        <w:pStyle w:val="Heading2"/>
      </w:pPr>
      <w:r>
        <w:t xml:space="preserve">16.1 SM-3.5-A: Canonical Artefact Schema Reference</w:t>
      </w:r>
    </w:p>
    <w:p>
      <w:pPr>
        <w:pStyle w:val="FirstParagraph"/>
      </w:pPr>
      <w:r>
        <w:t xml:space="preserve">The following tables provide the authoritative field-level specifications for each canonical artefact family. Fields marked Required must be present in every instance; fields marked Optional may be absent. All timestamps use UTC ISO-8601 format with a Z suffix. All monetary values are in NZD. All energy values are in MWh or MW as declared.</w:t>
      </w:r>
    </w:p>
    <w:bookmarkStart w:id="125" w:name="demandpack-schema-version-1.0"/>
    <w:p>
      <w:pPr>
        <w:pStyle w:val="Heading3"/>
      </w:pPr>
      <w:r>
        <w:t xml:space="preserve">16.1.1 DemandPack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artefact_id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Globally unique; assigned at generation</w:t>
            </w:r>
          </w:p>
        </w:tc>
      </w:tr>
      <w:tr>
        <w:tc>
          <w:tcPr/>
          <w:p>
            <w:pPr>
              <w:pStyle w:val="Compact"/>
            </w:pPr>
            <w:r>
              <w:t xml:space="preserve">schema_version</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“DemandPack”</w:t>
            </w:r>
          </w:p>
        </w:tc>
      </w:tr>
      <w:tr>
        <w:tc>
          <w:tcPr/>
          <w:p>
            <w:pPr>
              <w:pStyle w:val="Compact"/>
            </w:pPr>
            <w:r>
              <w:t xml:space="preserve">site_id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Site registry reference</w:t>
            </w:r>
          </w:p>
        </w:tc>
      </w:tr>
      <w:tr>
        <w:tc>
          <w:tcPr/>
          <w:p>
            <w:pPr>
              <w:pStyle w:val="Compact"/>
            </w:pPr>
            <w:r>
              <w:t xml:space="preserve">run_id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Producing run reference</w:t>
            </w:r>
          </w:p>
        </w:tc>
      </w:tr>
      <w:tr>
        <w:tc>
          <w:tcPr/>
          <w:p>
            <w:pPr>
              <w:pStyle w:val="Compact"/>
            </w:pPr>
            <w:r>
              <w:t xml:space="preserve">future_id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FutureArtefact reference</w:t>
            </w:r>
          </w:p>
        </w:tc>
      </w:tr>
      <w:tr>
        <w:tc>
          <w:tcPr/>
          <w:p>
            <w:pPr>
              <w:pStyle w:val="Compact"/>
            </w:pPr>
            <w:r>
              <w:t xml:space="preserve">epoch</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Declared epoch set (e.g.,</w:t>
            </w:r>
            <w:r>
              <w:t xml:space="preserve"> </w:t>
            </w:r>
            <w:r>
              <w:t xml:space="preserve">“2035_EB”</w:t>
            </w:r>
            <w:r>
              <w:t xml:space="preserve">)</w:t>
            </w:r>
          </w:p>
        </w:tc>
      </w:tr>
      <w:tr>
        <w:tc>
          <w:tcPr/>
          <w:p>
            <w:pPr>
              <w:pStyle w:val="Compact"/>
            </w:pPr>
            <w:r>
              <w:t xml:space="preserve">produced_by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Module identity and version</w:t>
            </w:r>
          </w:p>
        </w:tc>
      </w:tr>
      <w:tr>
        <w:tc>
          <w:tcPr/>
          <w:p>
            <w:pPr>
              <w:pStyle w:val="Compact"/>
            </w:pPr>
            <w:r>
              <w:t xml:space="preserve">timestamp_utc</w:t>
            </w:r>
          </w:p>
        </w:tc>
        <w:tc>
          <w:tcPr/>
          <w:p>
            <w:pPr>
              <w:pStyle w:val="Compact"/>
            </w:pPr>
            <w:r>
              <w:t xml:space="preserve">Datetime array</w:t>
            </w:r>
          </w:p>
        </w:tc>
        <w:tc>
          <w:tcPr/>
          <w:p>
            <w:pPr>
              <w:pStyle w:val="Compact"/>
            </w:pPr>
            <w:r>
              <w:t xml:space="preserve">UTC</w:t>
            </w:r>
          </w:p>
        </w:tc>
        <w:tc>
          <w:tcPr/>
          <w:p>
            <w:pPr>
              <w:pStyle w:val="Compact"/>
            </w:pPr>
            <w:r>
              <w:t xml:space="preserve">Required</w:t>
            </w:r>
          </w:p>
        </w:tc>
        <w:tc>
          <w:tcPr/>
          <w:p>
            <w:pPr>
              <w:pStyle w:val="Compact"/>
            </w:pPr>
            <w:r>
              <w:t xml:space="preserve">Monotonic, hourly, no gaps, no duplicates</w:t>
            </w:r>
          </w:p>
        </w:tc>
      </w:tr>
      <w:tr>
        <w:tc>
          <w:tcPr/>
          <w:p>
            <w:pPr>
              <w:pStyle w:val="Compact"/>
            </w:pPr>
            <w:r>
              <w:t xml:space="preserve">timestep_seconds</w:t>
            </w:r>
          </w:p>
        </w:tc>
        <w:tc>
          <w:tcPr/>
          <w:p>
            <w:pPr>
              <w:pStyle w:val="Compact"/>
            </w:pPr>
            <w:r>
              <w:t xml:space="preserve">Integer</w:t>
            </w:r>
          </w:p>
        </w:tc>
        <w:tc>
          <w:tcPr/>
          <w:p>
            <w:pPr>
              <w:pStyle w:val="Compact"/>
            </w:pPr>
            <w:r>
              <w:t xml:space="preserve">Seconds</w:t>
            </w:r>
          </w:p>
        </w:tc>
        <w:tc>
          <w:tcPr/>
          <w:p>
            <w:pPr>
              <w:pStyle w:val="Compact"/>
            </w:pPr>
            <w:r>
              <w:t xml:space="preserve">Required</w:t>
            </w:r>
          </w:p>
        </w:tc>
        <w:tc>
          <w:tcPr/>
          <w:p>
            <w:pPr>
              <w:pStyle w:val="Compact"/>
            </w:pPr>
            <w:r>
              <w:t xml:space="preserve">3600 for hourly</w:t>
            </w:r>
          </w:p>
        </w:tc>
      </w:tr>
      <w:tr>
        <w:tc>
          <w:tcPr/>
          <w:p>
            <w:pPr>
              <w:pStyle w:val="Compact"/>
            </w:pPr>
            <w:r>
              <w:t xml:space="preserve">heat_demand_mw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 length equals hours in epoch</w:t>
            </w:r>
          </w:p>
        </w:tc>
      </w:tr>
      <w:tr>
        <w:tc>
          <w:tcPr/>
          <w:p>
            <w:pPr>
              <w:pStyle w:val="Compact"/>
            </w:pPr>
            <w:r>
              <w:t xml:space="preserve">annual_total_mwh</w:t>
            </w:r>
          </w:p>
        </w:tc>
        <w:tc>
          <w:tcPr/>
          <w:p>
            <w:pPr>
              <w:pStyle w:val="Compact"/>
            </w:pPr>
            <w:r>
              <w:t xml:space="preserve">Float</w:t>
            </w:r>
          </w:p>
        </w:tc>
        <w:tc>
          <w:tcPr/>
          <w:p>
            <w:pPr>
              <w:pStyle w:val="Compact"/>
            </w:pPr>
            <w:r>
              <w:t xml:space="preserve">MWh</w:t>
            </w:r>
          </w:p>
        </w:tc>
        <w:tc>
          <w:tcPr/>
          <w:p>
            <w:pPr>
              <w:pStyle w:val="Compact"/>
            </w:pPr>
            <w:r>
              <w:t xml:space="preserve">Required</w:t>
            </w:r>
          </w:p>
        </w:tc>
        <w:tc>
          <w:tcPr/>
          <w:p>
            <w:pPr>
              <w:pStyle w:val="Compact"/>
            </w:pPr>
            <w:r>
              <w:t xml:space="preserve">Sum of hourly values within 0.5% tolerance</w:t>
            </w:r>
          </w:p>
        </w:tc>
      </w:tr>
      <w:tr>
        <w:tc>
          <w:tcPr/>
          <w:p>
            <w:pPr>
              <w:pStyle w:val="Compact"/>
            </w:pPr>
            <w:r>
              <w:t xml:space="preserve">peak_demand_mw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Maximum of heat_demand_mw array</w:t>
            </w:r>
          </w:p>
        </w:tc>
      </w:tr>
      <w:tr>
        <w:tc>
          <w:tcPr/>
          <w:p>
            <w:pPr>
              <w:pStyle w:val="Compact"/>
            </w:pPr>
            <w:r>
              <w:t xml:space="preserve">validation_status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provisional, validated, superseded</w:t>
            </w:r>
          </w:p>
        </w:tc>
      </w:tr>
      <w:tr>
        <w:tc>
          <w:tcPr/>
          <w:p>
            <w:pPr>
              <w:pStyle w:val="Compact"/>
            </w:pPr>
            <w:r>
              <w:t xml:space="preserve">checksum</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SHA-256 hex of payload</w:t>
            </w:r>
          </w:p>
        </w:tc>
      </w:tr>
    </w:tbl>
    <w:bookmarkEnd w:id="125"/>
    <w:bookmarkStart w:id="126" w:name="X01233da66a9ccb4fa3d95e6a26a6d852bf50819"/>
    <w:p>
      <w:pPr>
        <w:pStyle w:val="Heading3"/>
      </w:pPr>
      <w:r>
        <w:t xml:space="preserve">16.1.2 IncrementalElectricityPack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artefact_id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Globally unique</w:t>
            </w:r>
          </w:p>
        </w:tc>
      </w:tr>
      <w:tr>
        <w:tc>
          <w:tcPr/>
          <w:p>
            <w:pPr>
              <w:pStyle w:val="Compact"/>
            </w:pPr>
            <w:r>
              <w:t xml:space="preserve">schema_version</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“IncrementalElectricityPack”</w:t>
            </w:r>
          </w:p>
        </w:tc>
      </w:tr>
      <w:tr>
        <w:tc>
          <w:tcPr/>
          <w:p>
            <w:pPr>
              <w:pStyle w:val="Compact"/>
            </w:pPr>
            <w:r>
              <w:t xml:space="preserve">site_id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Site registry reference</w:t>
            </w:r>
          </w:p>
        </w:tc>
      </w:tr>
      <w:tr>
        <w:tc>
          <w:tcPr/>
          <w:p>
            <w:pPr>
              <w:pStyle w:val="Compact"/>
            </w:pPr>
            <w:r>
              <w:t xml:space="preserve">run_id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Producing run reference</w:t>
            </w:r>
          </w:p>
        </w:tc>
      </w:tr>
      <w:tr>
        <w:tc>
          <w:tcPr/>
          <w:p>
            <w:pPr>
              <w:pStyle w:val="Compact"/>
            </w:pPr>
            <w:r>
              <w:t xml:space="preserve">future_id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FutureArtefact reference</w:t>
            </w:r>
          </w:p>
        </w:tc>
      </w:tr>
      <w:tr>
        <w:tc>
          <w:tcPr/>
          <w:p>
            <w:pPr>
              <w:pStyle w:val="Compact"/>
            </w:pPr>
            <w:r>
              <w:t xml:space="preserve">pathway_id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Pathway variant identifier</w:t>
            </w:r>
          </w:p>
        </w:tc>
      </w:tr>
      <w:tr>
        <w:tc>
          <w:tcPr/>
          <w:p>
            <w:pPr>
              <w:pStyle w:val="Compact"/>
            </w:pPr>
            <w:r>
              <w:t xml:space="preserve">epoch</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Declared epoch</w:t>
            </w:r>
          </w:p>
        </w:tc>
      </w:tr>
      <w:tr>
        <w:tc>
          <w:tcPr/>
          <w:p>
            <w:pPr>
              <w:pStyle w:val="Compact"/>
            </w:pPr>
            <w:r>
              <w:t xml:space="preserve">annual_incremental_mwh</w:t>
            </w:r>
          </w:p>
        </w:tc>
        <w:tc>
          <w:tcPr/>
          <w:p>
            <w:pPr>
              <w:pStyle w:val="Compact"/>
            </w:pPr>
            <w:r>
              <w:t xml:space="preserve">Float</w:t>
            </w:r>
          </w:p>
        </w:tc>
        <w:tc>
          <w:tcPr/>
          <w:p>
            <w:pPr>
              <w:pStyle w:val="Compact"/>
            </w:pPr>
            <w:r>
              <w:t xml:space="preserve">MWh</w:t>
            </w:r>
          </w:p>
        </w:tc>
        <w:tc>
          <w:tcPr/>
          <w:p>
            <w:pPr>
              <w:pStyle w:val="Compact"/>
            </w:pPr>
            <w:r>
              <w:t xml:space="preserve">Required</w:t>
            </w:r>
          </w:p>
        </w:tc>
        <w:tc>
          <w:tcPr/>
          <w:p>
            <w:pPr>
              <w:pStyle w:val="Compact"/>
            </w:pPr>
            <w:r>
              <w:t xml:space="preserve">Non-negative</w:t>
            </w:r>
          </w:p>
        </w:tc>
      </w:tr>
      <w:tr>
        <w:tc>
          <w:tcPr/>
          <w:p>
            <w:pPr>
              <w:pStyle w:val="Compact"/>
            </w:pPr>
            <w:r>
              <w:t xml:space="preserve">peak_incremental_mw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Non-negative; equals max of hourly trace</w:t>
            </w:r>
          </w:p>
        </w:tc>
      </w:tr>
      <w:tr>
        <w:tc>
          <w:tcPr/>
          <w:p>
            <w:pPr>
              <w:pStyle w:val="Compact"/>
            </w:pPr>
            <w:r>
              <w:t xml:space="preserve">p95_incremental_mw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95th percentile of hourly trace</w:t>
            </w:r>
          </w:p>
        </w:tc>
      </w:tr>
      <w:tr>
        <w:tc>
          <w:tcPr/>
          <w:p>
            <w:pPr>
              <w:pStyle w:val="Compact"/>
            </w:pPr>
            <w:r>
              <w:t xml:space="preserve">winter_peak_share</w:t>
            </w:r>
          </w:p>
        </w:tc>
        <w:tc>
          <w:tcPr/>
          <w:p>
            <w:pPr>
              <w:pStyle w:val="Compact"/>
            </w:pPr>
            <w:r>
              <w:t xml:space="preserve">Float</w:t>
            </w:r>
          </w:p>
        </w:tc>
        <w:tc>
          <w:tcPr/>
          <w:p>
            <w:pPr>
              <w:pStyle w:val="Compact"/>
            </w:pPr>
            <w:r>
              <w:t xml:space="preserve">Fraction</w:t>
            </w:r>
          </w:p>
        </w:tc>
        <w:tc>
          <w:tcPr/>
          <w:p>
            <w:pPr>
              <w:pStyle w:val="Compact"/>
            </w:pPr>
            <w:r>
              <w:t xml:space="preserve">Required</w:t>
            </w:r>
          </w:p>
        </w:tc>
        <w:tc>
          <w:tcPr/>
          <w:p>
            <w:pPr>
              <w:pStyle w:val="Compact"/>
            </w:pPr>
            <w:r>
              <w:t xml:space="preserve">0 to 1 inclusive</w:t>
            </w:r>
          </w:p>
        </w:tc>
      </w:tr>
      <w:tr>
        <w:tc>
          <w:tcPr/>
          <w:p>
            <w:pPr>
              <w:pStyle w:val="Compact"/>
            </w:pPr>
            <w:r>
              <w:t xml:space="preserve">shape_cluster_label</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1 to K; cluster label from demand classification</w:t>
            </w:r>
          </w:p>
        </w:tc>
      </w:tr>
      <w:tr>
        <w:tc>
          <w:tcPr/>
          <w:p>
            <w:pPr>
              <w:pStyle w:val="Compact"/>
            </w:pPr>
            <w:r>
              <w:t xml:space="preserve">validation_status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provisional, validated, superseded</w:t>
            </w:r>
          </w:p>
        </w:tc>
      </w:tr>
      <w:tr>
        <w:tc>
          <w:tcPr/>
          <w:p>
            <w:pPr>
              <w:pStyle w:val="Compact"/>
            </w:pPr>
            <w:r>
              <w:t xml:space="preserve">checksum</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SHA-256 hex</w:t>
            </w:r>
          </w:p>
        </w:tc>
      </w:tr>
    </w:tbl>
    <w:bookmarkEnd w:id="126"/>
    <w:bookmarkStart w:id="127" w:name="X3f5809b32862b8281a7d8c967325422f514f55f"/>
    <w:p>
      <w:pPr>
        <w:pStyle w:val="Heading3"/>
      </w:pPr>
      <w:r>
        <w:t xml:space="preserve">16.1.3 SignalsPack (Schema Version 0.1.0 — Edendale GXP)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gxp_id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“EDN0331”</w:t>
            </w:r>
          </w:p>
        </w:tc>
      </w:tr>
      <w:tr>
        <w:tc>
          <w:tcPr/>
          <w:p>
            <w:pPr>
              <w:pStyle w:val="Compact"/>
            </w:pPr>
            <w:r>
              <w:t xml:space="preserve">timestamp_utc</w:t>
            </w:r>
          </w:p>
        </w:tc>
        <w:tc>
          <w:tcPr/>
          <w:p>
            <w:pPr>
              <w:pStyle w:val="Compact"/>
            </w:pPr>
            <w:r>
              <w:t xml:space="preserve">Datetime array</w:t>
            </w:r>
          </w:p>
        </w:tc>
        <w:tc>
          <w:tcPr/>
          <w:p>
            <w:pPr>
              <w:pStyle w:val="Compact"/>
            </w:pPr>
            <w:r>
              <w:t xml:space="preserve">UTC</w:t>
            </w:r>
          </w:p>
        </w:tc>
        <w:tc>
          <w:tcPr/>
          <w:p>
            <w:pPr>
              <w:pStyle w:val="Compact"/>
            </w:pPr>
            <w:r>
              <w:t xml:space="preserve">Required</w:t>
            </w:r>
          </w:p>
        </w:tc>
        <w:tc>
          <w:tcPr/>
          <w:p>
            <w:pPr>
              <w:pStyle w:val="Compact"/>
            </w:pPr>
            <w:r>
              <w:t xml:space="preserve">Monotonic, hourly, no gaps</w:t>
            </w:r>
          </w:p>
        </w:tc>
      </w:tr>
      <w:tr>
        <w:tc>
          <w:tcPr/>
          <w:p>
            <w:pPr>
              <w:pStyle w:val="Compact"/>
            </w:pPr>
            <w:r>
              <w:t xml:space="preserve">capacity_mw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baseline_import_mw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reserve_margin_mw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headroom_mw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max(capacity minus baseline minus reserve, 0)</w:t>
            </w:r>
          </w:p>
        </w:tc>
      </w:tr>
      <w:tr>
        <w:tc>
          <w:tcPr/>
          <w:p>
            <w:pPr>
              <w:pStyle w:val="Compact"/>
            </w:pPr>
            <w:r>
              <w:t xml:space="preserve">tariff_nzd_per_mwh</w:t>
            </w:r>
          </w:p>
        </w:tc>
        <w:tc>
          <w:tcPr/>
          <w:p>
            <w:pPr>
              <w:pStyle w:val="Compact"/>
            </w:pPr>
            <w:r>
              <w:t xml:space="preserve">Float array</w:t>
            </w:r>
          </w:p>
        </w:tc>
        <w:tc>
          <w:tcPr/>
          <w:p>
            <w:pPr>
              <w:pStyle w:val="Compact"/>
            </w:pPr>
            <w:r>
              <w:t xml:space="preserve">NZD/MWh</w:t>
            </w:r>
          </w:p>
        </w:tc>
        <w:tc>
          <w:tcPr/>
          <w:p>
            <w:pPr>
              <w:pStyle w:val="Compact"/>
            </w:pPr>
            <w:r>
              <w:t xml:space="preserve">Required</w:t>
            </w:r>
          </w:p>
        </w:tc>
        <w:tc>
          <w:tcPr/>
          <w:p>
            <w:pPr>
              <w:pStyle w:val="Compact"/>
            </w:pPr>
            <w:r>
              <w:t xml:space="preserve">Non-negative</w:t>
            </w:r>
          </w:p>
        </w:tc>
      </w:tr>
      <w:tr>
        <w:tc>
          <w:tcPr/>
          <w:p>
            <w:pPr>
              <w:pStyle w:val="Compact"/>
            </w:pPr>
            <w:r>
              <w:t xml:space="preserve">epoch</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Planning year</w:t>
            </w:r>
          </w:p>
        </w:tc>
      </w:tr>
      <w:tr>
        <w:tc>
          <w:tcPr/>
          <w:p>
            <w:pPr>
              <w:pStyle w:val="Compact"/>
            </w:pPr>
            <w:r>
              <w:t xml:space="preserve">feasibility_indicator</w:t>
            </w:r>
          </w:p>
        </w:tc>
        <w:tc>
          <w:tcPr/>
          <w:p>
            <w:pPr>
              <w:pStyle w:val="Compact"/>
            </w:pPr>
            <w:r>
              <w:t xml:space="preserve">Boolean</w:t>
            </w:r>
          </w:p>
        </w:tc>
        <w:tc>
          <w:tcPr/>
          <w:p>
            <w:pPr>
              <w:pStyle w:val="Compact"/>
            </w:pPr>
            <w:r>
              <w:t xml:space="preserve">—</w:t>
            </w:r>
          </w:p>
        </w:tc>
        <w:tc>
          <w:tcPr/>
          <w:p>
            <w:pPr>
              <w:pStyle w:val="Compact"/>
            </w:pPr>
            <w:r>
              <w:t xml:space="preserve">Required (eval layer)</w:t>
            </w:r>
          </w:p>
        </w:tc>
        <w:tc>
          <w:tcPr/>
          <w:p>
            <w:pPr>
              <w:pStyle w:val="Compact"/>
            </w:pPr>
            <w:r>
              <w:t xml:space="preserve">True if no exceedance without upgrade</w:t>
            </w:r>
          </w:p>
        </w:tc>
      </w:tr>
      <w:tr>
        <w:tc>
          <w:tcPr/>
          <w:p>
            <w:pPr>
              <w:pStyle w:val="Compact"/>
            </w:pPr>
            <w:r>
              <w:t xml:space="preserve">upgrade_class</w:t>
            </w:r>
          </w:p>
        </w:tc>
        <w:tc>
          <w:tcPr/>
          <w:p>
            <w:pPr>
              <w:pStyle w:val="Compact"/>
            </w:pPr>
            <w:r>
              <w:t xml:space="preserve">Enum</w:t>
            </w:r>
          </w:p>
        </w:tc>
        <w:tc>
          <w:tcPr/>
          <w:p>
            <w:pPr>
              <w:pStyle w:val="Compact"/>
            </w:pPr>
            <w:r>
              <w:t xml:space="preserve">—</w:t>
            </w:r>
          </w:p>
        </w:tc>
        <w:tc>
          <w:tcPr/>
          <w:p>
            <w:pPr>
              <w:pStyle w:val="Compact"/>
            </w:pPr>
            <w:r>
              <w:t xml:space="preserve">Required (eval layer)</w:t>
            </w:r>
          </w:p>
        </w:tc>
        <w:tc>
          <w:tcPr/>
          <w:p>
            <w:pPr>
              <w:pStyle w:val="Compact"/>
            </w:pPr>
            <w:r>
              <w:t xml:space="preserve">none, minor, moderate, major</w:t>
            </w:r>
          </w:p>
        </w:tc>
      </w:tr>
      <w:tr>
        <w:tc>
          <w:tcPr/>
          <w:p>
            <w:pPr>
              <w:pStyle w:val="Compact"/>
            </w:pPr>
            <w:r>
              <w:t xml:space="preserve">cost_adder_nzd</w:t>
            </w:r>
          </w:p>
        </w:tc>
        <w:tc>
          <w:tcPr/>
          <w:p>
            <w:pPr>
              <w:pStyle w:val="Compact"/>
            </w:pPr>
            <w:r>
              <w:t xml:space="preserve">Float</w:t>
            </w:r>
          </w:p>
        </w:tc>
        <w:tc>
          <w:tcPr/>
          <w:p>
            <w:pPr>
              <w:pStyle w:val="Compact"/>
            </w:pPr>
            <w:r>
              <w:t xml:space="preserve">NZD/year</w:t>
            </w:r>
          </w:p>
        </w:tc>
        <w:tc>
          <w:tcPr/>
          <w:p>
            <w:pPr>
              <w:pStyle w:val="Compact"/>
            </w:pPr>
            <w:r>
              <w:t xml:space="preserve">Required (eval layer)</w:t>
            </w:r>
          </w:p>
        </w:tc>
        <w:tc>
          <w:tcPr/>
          <w:p>
            <w:pPr>
              <w:pStyle w:val="Compact"/>
            </w:pPr>
            <w:r>
              <w:t xml:space="preserve">Non-negative</w:t>
            </w:r>
          </w:p>
        </w:tc>
      </w:tr>
    </w:tbl>
    <w:bookmarkEnd w:id="127"/>
    <w:bookmarkStart w:id="128" w:name="futureartefact-schema-version-1.0"/>
    <w:p>
      <w:pPr>
        <w:pStyle w:val="Heading3"/>
      </w:pPr>
      <w:r>
        <w:t xml:space="preserve">16.1.4 FutureArtefact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future_id</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Unique within ensemble</w:t>
            </w:r>
          </w:p>
        </w:tc>
      </w:tr>
      <w:tr>
        <w:tc>
          <w:tcPr/>
          <w:p>
            <w:pPr>
              <w:pStyle w:val="Compact"/>
            </w:pPr>
            <w:r>
              <w:t xml:space="preserve">headroom_mult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 typically 0.60 to 1.30</w:t>
            </w:r>
          </w:p>
        </w:tc>
      </w:tr>
      <w:tr>
        <w:tc>
          <w:tcPr/>
          <w:p>
            <w:pPr>
              <w:pStyle w:val="Compact"/>
            </w:pPr>
            <w:r>
              <w:t xml:space="preserve">demand_growth_mult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hydro_class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dry, normal, wet</w:t>
            </w:r>
          </w:p>
        </w:tc>
      </w:tr>
      <w:tr>
        <w:tc>
          <w:tcPr/>
          <w:p>
            <w:pPr>
              <w:pStyle w:val="Compact"/>
            </w:pPr>
            <w:r>
              <w:t xml:space="preserve">biomass_availability_mult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biomass_cost_mult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ets_price_nzd_per_tco2</w:t>
            </w:r>
          </w:p>
        </w:tc>
        <w:tc>
          <w:tcPr/>
          <w:p>
            <w:pPr>
              <w:pStyle w:val="Compact"/>
            </w:pPr>
            <w:r>
              <w:t xml:space="preserve">Float</w:t>
            </w:r>
          </w:p>
        </w:tc>
        <w:tc>
          <w:tcPr/>
          <w:p>
            <w:pPr>
              <w:pStyle w:val="Compact"/>
            </w:pPr>
            <w:r>
              <w:t xml:space="preserve">NZD/tCO2</w:t>
            </w:r>
          </w:p>
        </w:tc>
        <w:tc>
          <w:tcPr/>
          <w:p>
            <w:pPr>
              <w:pStyle w:val="Compact"/>
            </w:pPr>
            <w:r>
              <w:t xml:space="preserve">Required</w:t>
            </w:r>
          </w:p>
        </w:tc>
        <w:tc>
          <w:tcPr/>
          <w:p>
            <w:pPr>
              <w:pStyle w:val="Compact"/>
            </w:pPr>
            <w:r>
              <w:t xml:space="preserve">Non-negative</w:t>
            </w:r>
          </w:p>
        </w:tc>
      </w:tr>
      <w:tr>
        <w:tc>
          <w:tcPr/>
          <w:p>
            <w:pPr>
              <w:pStyle w:val="Compact"/>
            </w:pPr>
            <w:r>
              <w:t xml:space="preserve">upgrade_capex_mult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voll_nzd_per_mwh</w:t>
            </w:r>
          </w:p>
        </w:tc>
        <w:tc>
          <w:tcPr/>
          <w:p>
            <w:pPr>
              <w:pStyle w:val="Compact"/>
            </w:pPr>
            <w:r>
              <w:t xml:space="preserve">Float</w:t>
            </w:r>
          </w:p>
        </w:tc>
        <w:tc>
          <w:tcPr/>
          <w:p>
            <w:pPr>
              <w:pStyle w:val="Compact"/>
            </w:pPr>
            <w:r>
              <w:t xml:space="preserve">NZD/MWh</w:t>
            </w:r>
          </w:p>
        </w:tc>
        <w:tc>
          <w:tcPr/>
          <w:p>
            <w:pPr>
              <w:pStyle w:val="Compact"/>
            </w:pPr>
            <w:r>
              <w:t xml:space="preserve">Required</w:t>
            </w:r>
          </w:p>
        </w:tc>
        <w:tc>
          <w:tcPr/>
          <w:p>
            <w:pPr>
              <w:pStyle w:val="Compact"/>
            </w:pPr>
            <w:r>
              <w:t xml:space="preserve">Positive; discrete: 5000, 10000, 15000, 20000</w:t>
            </w:r>
          </w:p>
        </w:tc>
      </w:tr>
      <w:tr>
        <w:tc>
          <w:tcPr/>
          <w:p>
            <w:pPr>
              <w:pStyle w:val="Compact"/>
            </w:pPr>
            <w:r>
              <w:t xml:space="preserve">consents_uplift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Greater than or equal to 1.0</w:t>
            </w:r>
          </w:p>
        </w:tc>
      </w:tr>
      <w:tr>
        <w:tc>
          <w:tcPr/>
          <w:p>
            <w:pPr>
              <w:pStyle w:val="Compact"/>
            </w:pPr>
            <w:r>
              <w:t xml:space="preserve">p_elec_mult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r>
        <w:tc>
          <w:tcPr/>
          <w:p>
            <w:pPr>
              <w:pStyle w:val="Compact"/>
            </w:pPr>
            <w:r>
              <w:t xml:space="preserve">p_biomass_mult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r>
        <w:tc>
          <w:tcPr/>
          <w:p>
            <w:pPr>
              <w:pStyle w:val="Compact"/>
            </w:pPr>
            <w:r>
              <w:t xml:space="preserve">ets_mult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bl>
    <w:bookmarkEnd w:id="128"/>
    <w:bookmarkStart w:id="129" w:name="schema-version-history"/>
    <w:p>
      <w:pPr>
        <w:pStyle w:val="Heading3"/>
      </w:pPr>
      <w:r>
        <w:t xml:space="preserve">16.1.5 Schema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Version</w:t>
            </w:r>
          </w:p>
        </w:tc>
        <w:tc>
          <w:tcPr/>
          <w:p>
            <w:pPr>
              <w:pStyle w:val="Compact"/>
            </w:pPr>
            <w:r>
              <w:t xml:space="preserve">Date</w:t>
            </w:r>
          </w:p>
        </w:tc>
        <w:tc>
          <w:tcPr/>
          <w:p>
            <w:pPr>
              <w:pStyle w:val="Compact"/>
            </w:pPr>
            <w:r>
              <w:t xml:space="preserve">Change summary</w:t>
            </w:r>
          </w:p>
        </w:tc>
      </w:tr>
      <w:tr>
        <w:tc>
          <w:tcPr/>
          <w:p>
            <w:pPr>
              <w:pStyle w:val="Compact"/>
            </w:pPr>
            <w:r>
              <w:t xml:space="preserve">SignalsPack</w:t>
            </w:r>
          </w:p>
        </w:tc>
        <w:tc>
          <w:tcPr/>
          <w:p>
            <w:pPr>
              <w:pStyle w:val="Compact"/>
            </w:pPr>
            <w:r>
              <w:t xml:space="preserve">0.1.0</w:t>
            </w:r>
          </w:p>
        </w:tc>
        <w:tc>
          <w:tcPr/>
          <w:p>
            <w:pPr>
              <w:pStyle w:val="Compact"/>
            </w:pPr>
            <w:r>
              <w:t xml:space="preserve">December 2025</w:t>
            </w:r>
          </w:p>
        </w:tc>
        <w:tc>
          <w:tcPr/>
          <w:p>
            <w:pPr>
              <w:pStyle w:val="Compact"/>
            </w:pPr>
            <w:r>
              <w:t xml:space="preserve">Initial frozen schema; GXP hourly signals, emissions intensity, upgrade menu, manifest</w:t>
            </w:r>
          </w:p>
        </w:tc>
      </w:tr>
      <w:tr>
        <w:tc>
          <w:tcPr/>
          <w:p>
            <w:pPr>
              <w:pStyle w:val="Compact"/>
            </w:pPr>
            <w:r>
              <w:t xml:space="preserve">All others</w:t>
            </w:r>
          </w:p>
        </w:tc>
        <w:tc>
          <w:tcPr/>
          <w:p>
            <w:pPr>
              <w:pStyle w:val="Compact"/>
            </w:pPr>
            <w:r>
              <w:t xml:space="preserve">1.0</w:t>
            </w:r>
          </w:p>
        </w:tc>
        <w:tc>
          <w:tcPr/>
          <w:p>
            <w:pPr>
              <w:pStyle w:val="Compact"/>
            </w:pPr>
            <w:r>
              <w:t xml:space="preserve">2026</w:t>
            </w:r>
          </w:p>
        </w:tc>
        <w:tc>
          <w:tcPr/>
          <w:p>
            <w:pPr>
              <w:pStyle w:val="Compact"/>
            </w:pPr>
            <w:r>
              <w:t xml:space="preserve">Initial specification</w:t>
            </w:r>
          </w:p>
        </w:tc>
      </w:tr>
    </w:tbl>
    <w:bookmarkEnd w:id="129"/>
    <w:bookmarkStart w:id="130" w:name="Xbf55f1fe4a145bc828ce94146be4be9644f8ea8"/>
    <w:p>
      <w:pPr>
        <w:pStyle w:val="Heading3"/>
      </w:pPr>
      <w:r>
        <w:t xml:space="preserve">16.1.6 Cross-Reference: Fields Shared Across Families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Families that carry it</w:t>
            </w:r>
          </w:p>
        </w:tc>
        <w:tc>
          <w:tcPr/>
          <w:p>
            <w:pPr>
              <w:pStyle w:val="Compact"/>
            </w:pPr>
            <w:r>
              <w:t xml:space="preserve">Purpose</w:t>
            </w:r>
          </w:p>
        </w:tc>
      </w:tr>
      <w:tr>
        <w:tc>
          <w:tcPr/>
          <w:p>
            <w:pPr>
              <w:pStyle w:val="Compact"/>
            </w:pPr>
            <w:r>
              <w:t xml:space="preserve">artefact_id</w:t>
            </w:r>
          </w:p>
        </w:tc>
        <w:tc>
          <w:tcPr/>
          <w:p>
            <w:pPr>
              <w:pStyle w:val="Compact"/>
            </w:pPr>
            <w:r>
              <w:t xml:space="preserve">All families</w:t>
            </w:r>
          </w:p>
        </w:tc>
        <w:tc>
          <w:tcPr/>
          <w:p>
            <w:pPr>
              <w:pStyle w:val="Compact"/>
            </w:pPr>
            <w:r>
              <w:t xml:space="preserve">Unique identity for lineage and cross-reference</w:t>
            </w:r>
          </w:p>
        </w:tc>
      </w:tr>
      <w:tr>
        <w:tc>
          <w:tcPr/>
          <w:p>
            <w:pPr>
              <w:pStyle w:val="Compact"/>
            </w:pPr>
            <w:r>
              <w:t xml:space="preserve">future_id</w:t>
            </w:r>
          </w:p>
        </w:tc>
        <w:tc>
          <w:tcPr/>
          <w:p>
            <w:pPr>
              <w:pStyle w:val="Compact"/>
            </w:pPr>
            <w:r>
              <w:t xml:space="preserve">DemandPack, IncrementalElectricityPack, ResultArtefact, DecisionSummaryArtefact, ValidationArtefact</w:t>
            </w:r>
          </w:p>
        </w:tc>
        <w:tc>
          <w:tcPr/>
          <w:p>
            <w:pPr>
              <w:pStyle w:val="Compact"/>
            </w:pPr>
            <w:r>
              <w:t xml:space="preserve">Links all analytical outputs to the future conditions under which they were produced</w:t>
            </w:r>
          </w:p>
        </w:tc>
      </w:tr>
      <w:tr>
        <w:tc>
          <w:tcPr/>
          <w:p>
            <w:pPr>
              <w:pStyle w:val="Compact"/>
            </w:pPr>
            <w:r>
              <w:t xml:space="preserve">run_id</w:t>
            </w:r>
          </w:p>
        </w:tc>
        <w:tc>
          <w:tcPr/>
          <w:p>
            <w:pPr>
              <w:pStyle w:val="Compact"/>
            </w:pPr>
            <w:r>
              <w:t xml:space="preserve">DemandPack, IncrementalElectricityPack, ResultArtefact</w:t>
            </w:r>
          </w:p>
        </w:tc>
        <w:tc>
          <w:tcPr/>
          <w:p>
            <w:pPr>
              <w:pStyle w:val="Compact"/>
            </w:pPr>
            <w:r>
              <w:t xml:space="preserve">Links outputs to the specific pipeline run that produced them</w:t>
            </w:r>
          </w:p>
        </w:tc>
      </w:tr>
      <w:tr>
        <w:tc>
          <w:tcPr/>
          <w:p>
            <w:pPr>
              <w:pStyle w:val="Compact"/>
            </w:pPr>
            <w:r>
              <w:t xml:space="preserve">epoch</w:t>
            </w:r>
          </w:p>
        </w:tc>
        <w:tc>
          <w:tcPr/>
          <w:p>
            <w:pPr>
              <w:pStyle w:val="Compact"/>
            </w:pPr>
            <w:r>
              <w:t xml:space="preserve">DemandPack, IncrementalElectricityPack, SignalsPack</w:t>
            </w:r>
          </w:p>
        </w:tc>
        <w:tc>
          <w:tcPr/>
          <w:p>
            <w:pPr>
              <w:pStyle w:val="Compact"/>
            </w:pPr>
            <w:r>
              <w:t xml:space="preserve">Identifies the planning year context</w:t>
            </w:r>
          </w:p>
        </w:tc>
      </w:tr>
      <w:tr>
        <w:tc>
          <w:tcPr/>
          <w:p>
            <w:pPr>
              <w:pStyle w:val="Compact"/>
            </w:pPr>
            <w:r>
              <w:t xml:space="preserve">validation_status</w:t>
            </w:r>
          </w:p>
        </w:tc>
        <w:tc>
          <w:tcPr/>
          <w:p>
            <w:pPr>
              <w:pStyle w:val="Compact"/>
            </w:pPr>
            <w:r>
              <w:t xml:space="preserve">DemandPack, IncrementalElectricityPack, ResultArtefact</w:t>
            </w:r>
          </w:p>
        </w:tc>
        <w:tc>
          <w:tcPr/>
          <w:p>
            <w:pPr>
              <w:pStyle w:val="Compact"/>
            </w:pPr>
            <w:r>
              <w:t xml:space="preserve">Lifecycle stage for governance gating</w:t>
            </w:r>
          </w:p>
        </w:tc>
      </w:tr>
      <w:tr>
        <w:tc>
          <w:tcPr/>
          <w:p>
            <w:pPr>
              <w:pStyle w:val="Compact"/>
            </w:pPr>
            <w:r>
              <w:t xml:space="preserve">checksum</w:t>
            </w:r>
          </w:p>
        </w:tc>
        <w:tc>
          <w:tcPr/>
          <w:p>
            <w:pPr>
              <w:pStyle w:val="Compact"/>
            </w:pPr>
            <w:r>
              <w:t xml:space="preserve">DemandPack, IncrementalElectricityPack</w:t>
            </w:r>
          </w:p>
        </w:tc>
        <w:tc>
          <w:tcPr/>
          <w:p>
            <w:pPr>
              <w:pStyle w:val="Compact"/>
            </w:pPr>
            <w:r>
              <w:t xml:space="preserve">SHA-256 payload integrity verification</w:t>
            </w:r>
          </w:p>
        </w:tc>
      </w:tr>
    </w:tbl>
    <w:p>
      <w:r>
        <w:pict>
          <v:rect style="width:0;height:1.5pt" o:hralign="center" o:hrstd="t" o:hr="t"/>
        </w:pict>
      </w:r>
    </w:p>
    <w:bookmarkEnd w:id="130"/>
    <w:bookmarkEnd w:id="131"/>
    <w:bookmarkStart w:id="132" w:name="X68a1f591078c6440d6fa99ccee2d629e294df9e"/>
    <w:p>
      <w:pPr>
        <w:pStyle w:val="Heading2"/>
      </w:pPr>
      <w:r>
        <w:t xml:space="preserve">16.2 ReferenceArtefact (schema version 1.0) — Next-Phase Extension</w:t>
      </w:r>
    </w:p>
    <w:p>
      <w:pPr>
        <w:pStyle w:val="FirstParagraph"/>
      </w:pPr>
      <w:r>
        <w:t xml:space="preserve">The ReferenceArtefact is a next-phase addition to the canonical artefact family set, specified in Sub-Module SM-5.5-A. It registers external documents as governed analytical inputs with full provenance, closing the lineage gap between FutureArtefact calibration ranges and the primary data sources from which those ranges were derived.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ref_id</w:t>
            </w:r>
          </w:p>
        </w:tc>
        <w:tc>
          <w:tcPr/>
          <w:p>
            <w:pPr>
              <w:pStyle w:val="Compact"/>
            </w:pPr>
            <w:r>
              <w:t xml:space="preserve">UUID</w:t>
            </w:r>
          </w:p>
        </w:tc>
        <w:tc>
          <w:tcPr/>
          <w:p>
            <w:pPr>
              <w:pStyle w:val="Compact"/>
            </w:pPr>
            <w:r>
              <w:t xml:space="preserve">Required</w:t>
            </w:r>
          </w:p>
        </w:tc>
        <w:tc>
          <w:tcPr/>
          <w:p>
            <w:pPr>
              <w:pStyle w:val="Compact"/>
            </w:pPr>
            <w:r>
              <w:t xml:space="preserve">Unique identifier</w:t>
            </w:r>
          </w:p>
        </w:tc>
      </w:tr>
      <w:tr>
        <w:tc>
          <w:tcPr/>
          <w:p>
            <w:pPr>
              <w:pStyle w:val="Compact"/>
            </w:pPr>
            <w:r>
              <w:t xml:space="preserve">schema_version</w:t>
            </w:r>
          </w:p>
        </w:tc>
        <w:tc>
          <w:tcPr/>
          <w:p>
            <w:pPr>
              <w:pStyle w:val="Compact"/>
            </w:pPr>
            <w:r>
              <w:t xml:space="preserve">String</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Required</w:t>
            </w:r>
          </w:p>
        </w:tc>
        <w:tc>
          <w:tcPr/>
          <w:p>
            <w:pPr>
              <w:pStyle w:val="Compact"/>
            </w:pPr>
            <w:r>
              <w:t xml:space="preserve">“ReferenceArtefact”</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Full document title</w:t>
            </w:r>
          </w:p>
        </w:tc>
      </w:tr>
      <w:tr>
        <w:tc>
          <w:tcPr/>
          <w:p>
            <w:pPr>
              <w:pStyle w:val="Compact"/>
            </w:pPr>
            <w:r>
              <w:t xml:space="preserve">institution</w:t>
            </w:r>
          </w:p>
        </w:tc>
        <w:tc>
          <w:tcPr/>
          <w:p>
            <w:pPr>
              <w:pStyle w:val="Compact"/>
            </w:pPr>
            <w:r>
              <w:t xml:space="preserve">String</w:t>
            </w:r>
          </w:p>
        </w:tc>
        <w:tc>
          <w:tcPr/>
          <w:p>
            <w:pPr>
              <w:pStyle w:val="Compact"/>
            </w:pPr>
            <w:r>
              <w:t xml:space="preserve">Required</w:t>
            </w:r>
          </w:p>
        </w:tc>
        <w:tc>
          <w:tcPr/>
          <w:p>
            <w:pPr>
              <w:pStyle w:val="Compact"/>
            </w:pPr>
            <w:r>
              <w:t xml:space="preserve">Authoring institution</w:t>
            </w:r>
          </w:p>
        </w:tc>
      </w:tr>
      <w:tr>
        <w:tc>
          <w:tcPr/>
          <w:p>
            <w:pPr>
              <w:pStyle w:val="Compact"/>
            </w:pPr>
            <w:r>
              <w:t xml:space="preserve">authors</w:t>
            </w:r>
          </w:p>
        </w:tc>
        <w:tc>
          <w:tcPr/>
          <w:p>
            <w:pPr>
              <w:pStyle w:val="Compact"/>
            </w:pPr>
            <w:r>
              <w:t xml:space="preserve">String</w:t>
            </w:r>
          </w:p>
        </w:tc>
        <w:tc>
          <w:tcPr/>
          <w:p>
            <w:pPr>
              <w:pStyle w:val="Compact"/>
            </w:pPr>
            <w:r>
              <w:t xml:space="preserve">Optional</w:t>
            </w:r>
          </w:p>
        </w:tc>
        <w:tc>
          <w:tcPr/>
          <w:p>
            <w:pPr>
              <w:pStyle w:val="Compact"/>
            </w:pPr>
            <w:r>
              <w:t xml:space="preserve">Primary authors or report number</w:t>
            </w:r>
          </w:p>
        </w:tc>
      </w:tr>
      <w:tr>
        <w:tc>
          <w:tcPr/>
          <w:p>
            <w:pPr>
              <w:pStyle w:val="Compact"/>
            </w:pPr>
            <w:r>
              <w:t xml:space="preserve">url_or_doi</w:t>
            </w:r>
          </w:p>
        </w:tc>
        <w:tc>
          <w:tcPr/>
          <w:p>
            <w:pPr>
              <w:pStyle w:val="Compact"/>
            </w:pPr>
            <w:r>
              <w:t xml:space="preserve">String</w:t>
            </w:r>
          </w:p>
        </w:tc>
        <w:tc>
          <w:tcPr/>
          <w:p>
            <w:pPr>
              <w:pStyle w:val="Compact"/>
            </w:pPr>
            <w:r>
              <w:t xml:space="preserve">Required</w:t>
            </w:r>
          </w:p>
        </w:tc>
        <w:tc>
          <w:tcPr/>
          <w:p>
            <w:pPr>
              <w:pStyle w:val="Compact"/>
            </w:pPr>
            <w:r>
              <w:t xml:space="preserve">Stable URL or DOI</w:t>
            </w:r>
          </w:p>
        </w:tc>
      </w:tr>
      <w:tr>
        <w:tc>
          <w:tcPr/>
          <w:p>
            <w:pPr>
              <w:pStyle w:val="Compact"/>
            </w:pPr>
            <w:r>
              <w:t xml:space="preserve">publication_date</w:t>
            </w:r>
          </w:p>
        </w:tc>
        <w:tc>
          <w:tcPr/>
          <w:p>
            <w:pPr>
              <w:pStyle w:val="Compact"/>
            </w:pPr>
            <w:r>
              <w:t xml:space="preserve">Date</w:t>
            </w:r>
          </w:p>
        </w:tc>
        <w:tc>
          <w:tcPr/>
          <w:p>
            <w:pPr>
              <w:pStyle w:val="Compact"/>
            </w:pPr>
            <w:r>
              <w:t xml:space="preserve">Required</w:t>
            </w:r>
          </w:p>
        </w:tc>
        <w:tc>
          <w:tcPr/>
          <w:p>
            <w:pPr>
              <w:pStyle w:val="Compact"/>
            </w:pPr>
            <w:r>
              <w:t xml:space="preserve">Publication or last revision date</w:t>
            </w:r>
          </w:p>
        </w:tc>
      </w:tr>
      <w:tr>
        <w:tc>
          <w:tcPr/>
          <w:p>
            <w:pPr>
              <w:pStyle w:val="Compact"/>
            </w:pPr>
            <w:r>
              <w:t xml:space="preserve">calibrates_fields</w:t>
            </w:r>
          </w:p>
        </w:tc>
        <w:tc>
          <w:tcPr/>
          <w:p>
            <w:pPr>
              <w:pStyle w:val="Compact"/>
            </w:pPr>
            <w:r>
              <w:t xml:space="preserve">List</w:t>
            </w:r>
          </w:p>
        </w:tc>
        <w:tc>
          <w:tcPr/>
          <w:p>
            <w:pPr>
              <w:pStyle w:val="Compact"/>
            </w:pPr>
            <w:r>
              <w:t xml:space="preserve">Required</w:t>
            </w:r>
          </w:p>
        </w:tc>
        <w:tc>
          <w:tcPr/>
          <w:p>
            <w:pPr>
              <w:pStyle w:val="Compact"/>
            </w:pPr>
            <w:r>
              <w:t xml:space="preserve">FutureArtefact fields this document calibrates</w:t>
            </w:r>
          </w:p>
        </w:tc>
      </w:tr>
      <w:tr>
        <w:tc>
          <w:tcPr/>
          <w:p>
            <w:pPr>
              <w:pStyle w:val="Compact"/>
            </w:pPr>
            <w:r>
              <w:t xml:space="preserve">calibrates_sections</w:t>
            </w:r>
          </w:p>
        </w:tc>
        <w:tc>
          <w:tcPr/>
          <w:p>
            <w:pPr>
              <w:pStyle w:val="Compact"/>
            </w:pPr>
            <w:r>
              <w:t xml:space="preserve">List</w:t>
            </w:r>
          </w:p>
        </w:tc>
        <w:tc>
          <w:tcPr/>
          <w:p>
            <w:pPr>
              <w:pStyle w:val="Compact"/>
            </w:pPr>
            <w:r>
              <w:t xml:space="preserve">Optional</w:t>
            </w:r>
          </w:p>
        </w:tc>
        <w:tc>
          <w:tcPr/>
          <w:p>
            <w:pPr>
              <w:pStyle w:val="Compact"/>
            </w:pPr>
            <w:r>
              <w:t xml:space="preserve">Module section numbers this document informs</w:t>
            </w:r>
          </w:p>
        </w:tc>
      </w:tr>
      <w:tr>
        <w:tc>
          <w:tcPr/>
          <w:p>
            <w:pPr>
              <w:pStyle w:val="Compact"/>
            </w:pPr>
            <w:r>
              <w:t xml:space="preserve">calibration_method</w:t>
            </w:r>
          </w:p>
        </w:tc>
        <w:tc>
          <w:tcPr/>
          <w:p>
            <w:pPr>
              <w:pStyle w:val="Compact"/>
            </w:pPr>
            <w:r>
              <w:t xml:space="preserve">String</w:t>
            </w:r>
          </w:p>
        </w:tc>
        <w:tc>
          <w:tcPr/>
          <w:p>
            <w:pPr>
              <w:pStyle w:val="Compact"/>
            </w:pPr>
            <w:r>
              <w:t xml:space="preserve">Required</w:t>
            </w:r>
          </w:p>
        </w:tc>
        <w:tc>
          <w:tcPr/>
          <w:p>
            <w:pPr>
              <w:pStyle w:val="Compact"/>
            </w:pPr>
            <w:r>
              <w:t xml:space="preserve">How document content was translated into parameter ranges</w:t>
            </w:r>
          </w:p>
        </w:tc>
      </w:tr>
      <w:tr>
        <w:tc>
          <w:tcPr/>
          <w:p>
            <w:pPr>
              <w:pStyle w:val="Compact"/>
            </w:pPr>
            <w:r>
              <w:t xml:space="preserve">file_sha256</w:t>
            </w:r>
          </w:p>
        </w:tc>
        <w:tc>
          <w:tcPr/>
          <w:p>
            <w:pPr>
              <w:pStyle w:val="Compact"/>
            </w:pPr>
            <w:r>
              <w:t xml:space="preserve">String</w:t>
            </w:r>
          </w:p>
        </w:tc>
        <w:tc>
          <w:tcPr/>
          <w:p>
            <w:pPr>
              <w:pStyle w:val="Compact"/>
            </w:pPr>
            <w:r>
              <w:t xml:space="preserve">Optional</w:t>
            </w:r>
          </w:p>
        </w:tc>
        <w:tc>
          <w:tcPr/>
          <w:p>
            <w:pPr>
              <w:pStyle w:val="Compact"/>
            </w:pPr>
            <w:r>
              <w:t xml:space="preserve">SHA256 hash of downloaded source file</w:t>
            </w:r>
          </w:p>
        </w:tc>
      </w:tr>
      <w:tr>
        <w:tc>
          <w:tcPr/>
          <w:p>
            <w:pPr>
              <w:pStyle w:val="Compact"/>
            </w:pPr>
            <w:r>
              <w:t xml:space="preserve">validation_status</w:t>
            </w:r>
          </w:p>
        </w:tc>
        <w:tc>
          <w:tcPr/>
          <w:p>
            <w:pPr>
              <w:pStyle w:val="Compact"/>
            </w:pPr>
            <w:r>
              <w:t xml:space="preserve">Enum</w:t>
            </w:r>
          </w:p>
        </w:tc>
        <w:tc>
          <w:tcPr/>
          <w:p>
            <w:pPr>
              <w:pStyle w:val="Compact"/>
            </w:pPr>
            <w:r>
              <w:t xml:space="preserve">Required</w:t>
            </w:r>
          </w:p>
        </w:tc>
        <w:tc>
          <w:tcPr/>
          <w:p>
            <w:pPr>
              <w:pStyle w:val="Compact"/>
            </w:pPr>
            <w:r>
              <w:t xml:space="preserve">provisional, validated, superseded</w:t>
            </w:r>
          </w:p>
        </w:tc>
      </w:tr>
    </w:tbl>
    <w:p>
      <w:pPr>
        <w:pStyle w:val="BodyText"/>
      </w:pPr>
      <w:r>
        <w:rPr>
          <w:i/>
          <w:iCs/>
        </w:rPr>
        <w:t xml:space="preserve">Status: ○ Specified. Full implementation follows SM-3.7-A backbone development. Registry entries are declared in Table SM-5.5-A-3.</w:t>
      </w:r>
    </w:p>
    <w:bookmarkEnd w:id="132"/>
    <w:bookmarkEnd w:id="133"/>
    <w:bookmarkStart w:id="135" w:name="sub-module-3.7-a"/>
    <w:p>
      <w:pPr>
        <w:pStyle w:val="Heading1"/>
      </w:pPr>
      <w:r>
        <w:t xml:space="preserve">17. Sub-Module 3.7-A</w:t>
      </w:r>
    </w:p>
    <w:p>
      <w:pPr>
        <w:pStyle w:val="FirstParagraph"/>
      </w:pPr>
      <w:r>
        <w:t xml:space="preserve">Backbone Implementation: DuckDB, Parquet, Snakemake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SM-3.7-A: Backbone Implementation, DuckDB, Parquet, Snakemake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§3.7</w:t>
                  </w:r>
                </w:p>
              </w:tc>
            </w:tr>
            <w:tr>
              <w:tc>
                <w:tcPr/>
                <w:p>
                  <w:pPr>
                    <w:pStyle w:val="Compact"/>
                  </w:pPr>
                  <w:r>
                    <w:rPr>
                      <w:b/>
                      <w:bCs/>
                    </w:rPr>
                    <w:t xml:space="preserve">Contributes</w:t>
                  </w:r>
                </w:p>
              </w:tc>
              <w:tc>
                <w:tcPr/>
                <w:p>
                  <w:pPr>
                    <w:pStyle w:val="Compact"/>
                  </w:pPr>
                  <w:r>
                    <w:t xml:space="preserve">Entity relationship schema, DuckDB table definitions, Parquet storage design, Snakemake orchestration rules, and migration path from the current file-system implementation</w:t>
                  </w:r>
                </w:p>
              </w:tc>
            </w:tr>
            <w:tr>
              <w:tc>
                <w:tcPr/>
                <w:p>
                  <w:pPr>
                    <w:pStyle w:val="Compact"/>
                  </w:pPr>
                  <w:r>
                    <w:rPr>
                      <w:b/>
                      <w:bCs/>
                    </w:rPr>
                    <w:t xml:space="preserve">Skip condition</w:t>
                  </w:r>
                </w:p>
              </w:tc>
              <w:tc>
                <w:tcPr/>
                <w:p>
                  <w:pPr>
                    <w:pStyle w:val="Compact"/>
                  </w:pPr>
                  <w:r>
                    <w:t xml:space="preserve">Skip for conceptual reading; process when implementing the next-phase DuckDB/Parquet backbone</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bookmarkStart w:id="134" w:name="X65941703e7327f7d9abbc880fce1da1e838a4ff"/>
    <w:p>
      <w:pPr>
        <w:pStyle w:val="Heading2"/>
      </w:pPr>
      <w:r>
        <w:t xml:space="preserve">17.1 SM-3.7-A: Backbone Implementation, DuckDB, Parquet, Snakemake</w:t>
      </w:r>
    </w:p>
    <w:p>
      <w:pPr>
        <w:pStyle w:val="FirstParagraph"/>
      </w:pPr>
      <w:r>
        <w:t xml:space="preserve">DuckDB is appropriate for the backbone’s query layer for four reasons. It is an in-process analytical database that requires no server, making it suitable for a research environment where infrastructure overhead must be minimal. It supports SQL with the full suite of analytical extensions: window functions for time-series operations, lateral joins for artefact cross-referencing, and GROUP BY aggregations for ensemble-level robustness metrics. It is natively compatible with Python through the duckdb package, with R through the duckdb R package, and with Parquet files through its native Parquet reader. It is open-source and actively maintained by a research-oriented community.</w:t>
      </w:r>
    </w:p>
    <w:p>
      <w:pPr>
        <w:pStyle w:val="BodyText"/>
      </w:pPr>
      <w:r>
        <w:t xml:space="preserve">Parquet is appropriate for artefact storage for three reasons. Its columnar format is efficient for the time-series arrays that dominate the analytical content of DemandPacks, SignalsPacks, and similar artefacts: reading a single column (for example, the heat_demand_mw array) does not require reading any other column. It is supported natively by DuckDB, Python (via PyArrow and pandas), R, and Julia. It preserves schema metadata alongside data, making it self-describing in a way that is compatible with the mandatory provenance principle.</w:t>
      </w:r>
    </w:p>
    <w:p>
      <w:pPr>
        <w:pStyle w:val="BodyText"/>
      </w:pPr>
      <w:r>
        <w:t xml:space="preserve">Entity relationship schema. The backbone requires four tables.</w:t>
      </w:r>
    </w:p>
    <w:p>
      <w:pPr>
        <w:pStyle w:val="BodyText"/>
      </w:pPr>
      <w:r>
        <w:t xml:space="preserve">The artefact table stores one row per artefact instance with columns: artefact_id (primary key, UUID), artefact_family (string), schema_version (string), site_id (string), run_id (UUID, foreign key), future_id (integer, foreign key), pathway_id (string), epoch (string), validation_status (enum), produced_at (timestamp), parquet_path (string), checksum (string).</w:t>
      </w:r>
    </w:p>
    <w:p>
      <w:pPr>
        <w:pStyle w:val="BodyText"/>
      </w:pPr>
      <w:r>
        <w:t xml:space="preserve">The run registry table stores one row per pipeline run with columns: run_id (primary key, UUID), bundle_id (string), module_name (string), module_version (string), executed_at (timestamp), configuration_hash (string), status (enum: completed, failed, partial).</w:t>
      </w:r>
    </w:p>
    <w:p>
      <w:pPr>
        <w:pStyle w:val="BodyText"/>
      </w:pPr>
      <w:r>
        <w:t xml:space="preserve">The lineage table stores one row per directed dependency relationship with columns: relationship_id (UUID), source_artefact_id (UUID, foreign key), consuming_run_id (UUID, foreign key), produced_artefact_id (UUID, foreign key), relationship_type (enum: input, output).</w:t>
      </w:r>
    </w:p>
    <w:p>
      <w:pPr>
        <w:pStyle w:val="BodyText"/>
      </w:pPr>
      <w:r>
        <w:t xml:space="preserve">The validation registry table stores one row per acceptance gate check with columns: validation_id (UUID), assessed_artefact_id (UUID, foreign key), gate_name (string), outcome (enum: passed, failed), failure_details (string, nullable), assessed_at (timestamp).</w:t>
      </w:r>
    </w:p>
    <w:p>
      <w:pPr>
        <w:pStyle w:val="BodyText"/>
      </w:pPr>
      <w:r>
        <w:t xml:space="preserve">Snakemake orchestration. The Snakemake rule file defines one rule per module run, specifying the input artefact paths as Snakemake input dependencies and the output artefact paths as Snakemake output targets. The rule body executes the module, runs the acceptance gate checks, writes ValidationArtefacts for all checks, and writes the output artefact to Parquet only if all gates pass. If any gate fails, Snakemake marks the rule as failed, preventing any downstream rule that depends on the output from executing. This rule-dependency structure enforces the acceptance gate requirement at the workflow level, not only at the module level.</w:t>
      </w:r>
    </w:p>
    <w:p>
      <w:pPr>
        <w:pStyle w:val="BodyText"/>
      </w:pPr>
      <w:r>
        <w:t xml:space="preserve">Migration path from the file-system implementation. The current file-system run-bundle structure maps to the backbone schema as follows. The bundle name maps to the bundle_id field in the run registry. The epoch tag subdirectory and run-id subdirectory together identify the run. The dispatch summary CSV and the RDM summary CSV are the primary ResultArtefacts. The SHA256 hash records in the provenance JSON files correspond to the checksum fields in the artefact table. Migration proceeds by: (1) reading all existing run-bundle outputs, (2) constructing artefact table rows from the file metadata, (3) constructing run registry rows from the bundle structure, (4) constructing lineage rows from the pipeline stage dependencies, and (5) loading all artefacts into Parquet files with their provenance metadata. Step 5 requires no changes to any module’s internal logic; it is a post-processing step that reads the existing CSV outputs and writes them to Parquet.</w:t>
      </w:r>
    </w:p>
    <w:bookmarkEnd w:id="134"/>
    <w:bookmarkEnd w:id="135"/>
    <w:bookmarkStart w:id="137" w:name="sub-module-3.8-a"/>
    <w:p>
      <w:pPr>
        <w:pStyle w:val="Heading1"/>
      </w:pPr>
      <w:r>
        <w:t xml:space="preserve">18. Sub-Module 3.8-A</w:t>
      </w:r>
    </w:p>
    <w:p>
      <w:pPr>
        <w:pStyle w:val="FirstParagraph"/>
      </w:pPr>
      <w:r>
        <w:t xml:space="preserve">AI/ML Provenance Requirements and Acceptance Protocol</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SM-3.8-A: AI/ML Provenance Requirements and Acceptance Protocol</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§3.8</w:t>
                  </w:r>
                </w:p>
              </w:tc>
            </w:tr>
            <w:tr>
              <w:tc>
                <w:tcPr/>
                <w:p>
                  <w:pPr>
                    <w:pStyle w:val="Compact"/>
                  </w:pPr>
                  <w:r>
                    <w:rPr>
                      <w:b/>
                      <w:bCs/>
                    </w:rPr>
                    <w:t xml:space="preserve">Contributes</w:t>
                  </w:r>
                </w:p>
              </w:tc>
              <w:tc>
                <w:tcPr/>
                <w:p>
                  <w:pPr>
                    <w:pStyle w:val="Compact"/>
                  </w:pPr>
                  <w:r>
                    <w:t xml:space="preserve">Complete specification of the five additional provenance fields, the confidence scoring protocol, the regime boundary detection and response protocol, and the human acceptance workflow</w:t>
                  </w:r>
                </w:p>
              </w:tc>
            </w:tr>
            <w:tr>
              <w:tc>
                <w:tcPr/>
                <w:p>
                  <w:pPr>
                    <w:pStyle w:val="Compact"/>
                  </w:pPr>
                  <w:r>
                    <w:rPr>
                      <w:b/>
                      <w:bCs/>
                    </w:rPr>
                    <w:t xml:space="preserve">Skip condition</w:t>
                  </w:r>
                </w:p>
              </w:tc>
              <w:tc>
                <w:tcPr/>
                <w:p>
                  <w:pPr>
                    <w:pStyle w:val="Compact"/>
                  </w:pPr>
                  <w:r>
                    <w:t xml:space="preserve">Skip until surrogate modules are being deployed</w:t>
                  </w:r>
                </w:p>
              </w:tc>
            </w:tr>
            <w:tr>
              <w:tc>
                <w:tcPr/>
                <w:p>
                  <w:pPr>
                    <w:pStyle w:val="Compact"/>
                  </w:pPr>
                  <w:r>
                    <w:rPr>
                      <w:b/>
                      <w:bCs/>
                    </w:rPr>
                    <w:t xml:space="preserve">Passes to</w:t>
                  </w:r>
                </w:p>
              </w:tc>
              <w:tc>
                <w:tcPr/>
                <w:p>
                  <w:pPr>
                    <w:pStyle w:val="Compact"/>
                  </w:pPr>
                  <w:r>
                    <w:t xml:space="preserve">Module 6 SM-6.6-E</w:t>
                  </w:r>
                </w:p>
              </w:tc>
            </w:tr>
            <w:tr>
              <w:tc>
                <w:tcPr/>
                <w:p>
                  <w:pPr>
                    <w:pStyle w:val="Compact"/>
                  </w:pPr>
                  <w:r>
                    <w:rPr>
                      <w:b/>
                      <w:bCs/>
                    </w:rPr>
                    <w:t xml:space="preserve">Sub-Modules here</w:t>
                  </w:r>
                </w:p>
              </w:tc>
              <w:tc>
                <w:tcPr/>
                <w:p>
                  <w:pPr>
                    <w:pStyle w:val="Compact"/>
                  </w:pPr>
                  <w:r>
                    <w:t xml:space="preserve">None</w:t>
                  </w:r>
                </w:p>
              </w:tc>
            </w:tr>
          </w:tbl>
          <w:p/>
        </w:tc>
      </w:tr>
    </w:tbl>
    <w:bookmarkStart w:id="136" w:name="X87a03f6055f044d88e6777ecba32a6dc5e79cb0"/>
    <w:p>
      <w:pPr>
        <w:pStyle w:val="Heading2"/>
      </w:pPr>
      <w:r>
        <w:t xml:space="preserve">18.1 SM-3.8-A: AI/ML Provenance Requirements and Acceptance Protocol</w:t>
      </w:r>
    </w:p>
    <w:p>
      <w:pPr>
        <w:pStyle w:val="FirstParagraph"/>
      </w:pPr>
      <w:r>
        <w:t xml:space="preserve">The five additional provenance fields for AI/ML-produced artefacts are specified as follows.</w:t>
      </w:r>
    </w:p>
    <w:p>
      <w:pPr>
        <w:pStyle w:val="BodyText"/>
      </w:pPr>
      <w:r>
        <w:t xml:space="preserve">The model_type_version field carries a structured identifier of the form [architecture]:[version]:[commit], for example gradient_boosting_regressor:v2.1:a3f7c9d. It references an entry in the model registry, a governed table in the backbone that stores the full model specification, hyperparameters, and training configuration.</w:t>
      </w:r>
    </w:p>
    <w:p>
      <w:pPr>
        <w:pStyle w:val="BodyText"/>
      </w:pPr>
      <w:r>
        <w:t xml:space="preserve">The training_data_id field carries the artefact identifier of the governed training dataset from which the model was trained. The training dataset is itself a governed artefact in the backbone with its own provenance, schema, and validation record.</w:t>
      </w:r>
    </w:p>
    <w:p>
      <w:pPr>
        <w:pStyle w:val="BodyText"/>
      </w:pPr>
      <w:r>
        <w:t xml:space="preserve">The confidence_score field carries a float in [0,1] representing the surrogate’s self-assessed reliability for this specific prediction. A confidence score of 1.0 indicates the input is well within the interior of the training distribution; a confidence score below the declared threshold (default 0.7) triggers a truth model verification request.</w:t>
      </w:r>
    </w:p>
    <w:p>
      <w:pPr>
        <w:pStyle w:val="BodyText"/>
      </w:pPr>
      <w:r>
        <w:t xml:space="preserve">The regime_flag field is a boolean indicating whether the input was detected as near a regime boundary. Regime boundaries are pre-identified from the full model’s output surface during training; inputs within a declared distance of a boundary in the input feature space receive a True regime flag regardless of their confidence score.</w:t>
      </w:r>
    </w:p>
    <w:p>
      <w:pPr>
        <w:pStyle w:val="BodyText"/>
      </w:pPr>
      <w:r>
        <w:t xml:space="preserve">The human_acceptance_id field carries the identifier of the human acceptance record in the validation registry. This record is created when a qualified reviewer examines the artefact and confirms that its content is plausible and appropriate for the analytical context.</w:t>
      </w:r>
    </w:p>
    <w:p>
      <w:pPr>
        <w:pStyle w:val="BodyText"/>
      </w:pPr>
      <w:r>
        <w:t xml:space="preserve">Confidence score protocol. The confidence score is computed as</w:t>
      </w:r>
      <w:r>
        <w:t xml:space="preserve"> </w:t>
      </w:r>
      <m:oMath>
        <m:r>
          <m:t>c</m:t>
        </m:r>
        <m:r>
          <m:rPr>
            <m:sty m:val="p"/>
          </m:rPr>
          <m:t>=</m:t>
        </m:r>
        <m:r>
          <m:t>1</m:t>
        </m:r>
        <m:r>
          <m:rPr>
            <m:sty m:val="p"/>
          </m:rPr>
          <m:t>−</m:t>
        </m:r>
        <m:sSub>
          <m:e>
            <m:r>
              <m:t>d</m:t>
            </m:r>
          </m:e>
          <m:sub>
            <m:r>
              <m:rPr>
                <m:nor/>
                <m:sty m:val="p"/>
              </m:rPr>
              <m:t>norm</m:t>
            </m:r>
          </m:sub>
        </m:sSub>
      </m:oMath>
      <w:r>
        <w:t xml:space="preserve">, where</w:t>
      </w:r>
      <w:r>
        <w:t xml:space="preserve"> </w:t>
      </w:r>
      <m:oMath>
        <m:sSub>
          <m:e>
            <m:r>
              <m:t>d</m:t>
            </m:r>
          </m:e>
          <m:sub>
            <m:r>
              <m:rPr>
                <m:nor/>
                <m:sty m:val="p"/>
              </m:rPr>
              <m:t>norm</m:t>
            </m:r>
          </m:sub>
        </m:sSub>
      </m:oMath>
      <w:r>
        <w:t xml:space="preserve"> </w:t>
      </w:r>
      <w:r>
        <w:t xml:space="preserve">is the distance from the input feature vector to the nearest training sample, normalised by the maximum nearest-neighbour distance in the training set. Equivalently, a Gaussian process surrogate can use the posterior standard deviation normalised by the prior standard deviation as the uncertainty measure. When</w:t>
      </w:r>
      <w:r>
        <w:t xml:space="preserve"> </w:t>
      </w:r>
      <m:oMath>
        <m:r>
          <m:t>c</m:t>
        </m:r>
        <m:r>
          <m:rPr>
            <m:sty m:val="p"/>
          </m:rPr>
          <m:t>&lt;</m:t>
        </m:r>
        <m:r>
          <m:t>0.7</m:t>
        </m:r>
      </m:oMath>
      <w:r>
        <w:t xml:space="preserve">, the orchestration layer queues the input for truth model evaluation, runs the full PyPSA model (or equivalent full model) for that future, and replaces the surrogate prediction with the full model output before the artefact is admitted to the backbone. The full model output is recorded as a non-surrogate artefact with its own provenance.</w:t>
      </w:r>
    </w:p>
    <w:p>
      <w:pPr>
        <w:pStyle w:val="BodyText"/>
      </w:pPr>
      <w:r>
        <w:t xml:space="preserve">Regime boundary protocol. During surrogate training, a preliminary grid scan identifies the input regions where the full model output changes most rapidly. These regions, typically near the transition from feasible-without-upgrade to exceedance conditions for the regional electricity module, are declared as regime boundaries and stored in the model registry. When a new input is evaluated, its distance to the nearest declared boundary is compared to a declared tolerance. Inputs within tolerance receive a True regime_flag and are automatically queued for truth model verification regardless of their confidence score.</w:t>
      </w:r>
    </w:p>
    <w:p>
      <w:pPr>
        <w:pStyle w:val="BodyText"/>
      </w:pPr>
      <w:r>
        <w:t xml:space="preserve">Human acceptance workflow. A generated AI/ML artefact with a confidence score above the threshold and no regime flag is reviewed by a designated analyst before backbone admission. The review checks: (1) whether the output values are physically plausible given the input conditions; (2) whether the confidence score is consistent with the analyst’s domain assessment of the input’s difficulty; and (3) whether the artefact’s declared provenance is complete and consistent. The analyst records the review outcome in the validation registry. A positive review produces a human_acceptance_id that is embedded in the artefact’s provenance. A negative review returns the artefact to provisional status and flags it for investigation.</w:t>
      </w:r>
    </w:p>
    <w:p>
      <w:pPr>
        <w:pStyle w:val="BodyText"/>
      </w:pPr>
      <w:r>
        <w:t xml:space="preserve">Table SM-3.8-A: Standard versus AI/ML artefact provenance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Provenance field</w:t>
            </w:r>
          </w:p>
        </w:tc>
        <w:tc>
          <w:tcPr/>
          <w:p>
            <w:pPr>
              <w:pStyle w:val="Compact"/>
            </w:pPr>
            <w:r>
              <w:t xml:space="preserve">Standard artefact</w:t>
            </w:r>
          </w:p>
        </w:tc>
        <w:tc>
          <w:tcPr/>
          <w:p>
            <w:pPr>
              <w:pStyle w:val="Compact"/>
            </w:pPr>
            <w:r>
              <w:t xml:space="preserve">AI/ML artefact</w:t>
            </w:r>
          </w:p>
        </w:tc>
      </w:tr>
      <w:tr>
        <w:tc>
          <w:tcPr/>
          <w:p>
            <w:pPr>
              <w:pStyle w:val="Compact"/>
            </w:pPr>
            <w:r>
              <w:t xml:space="preserve">artefact_id</w:t>
            </w:r>
          </w:p>
        </w:tc>
        <w:tc>
          <w:tcPr/>
          <w:p>
            <w:pPr>
              <w:pStyle w:val="Compact"/>
            </w:pPr>
            <w:r>
              <w:t xml:space="preserve">Required</w:t>
            </w:r>
          </w:p>
        </w:tc>
        <w:tc>
          <w:tcPr/>
          <w:p>
            <w:pPr>
              <w:pStyle w:val="Compact"/>
            </w:pPr>
            <w:r>
              <w:t xml:space="preserve">Required</w:t>
            </w:r>
          </w:p>
        </w:tc>
      </w:tr>
      <w:tr>
        <w:tc>
          <w:tcPr/>
          <w:p>
            <w:pPr>
              <w:pStyle w:val="Compact"/>
            </w:pPr>
            <w:r>
              <w:t xml:space="preserve">schema_version</w:t>
            </w:r>
          </w:p>
        </w:tc>
        <w:tc>
          <w:tcPr/>
          <w:p>
            <w:pPr>
              <w:pStyle w:val="Compact"/>
            </w:pPr>
            <w:r>
              <w:t xml:space="preserve">Required</w:t>
            </w:r>
          </w:p>
        </w:tc>
        <w:tc>
          <w:tcPr/>
          <w:p>
            <w:pPr>
              <w:pStyle w:val="Compact"/>
            </w:pPr>
            <w:r>
              <w:t xml:space="preserve">Required</w:t>
            </w:r>
          </w:p>
        </w:tc>
      </w:tr>
      <w:tr>
        <w:tc>
          <w:tcPr/>
          <w:p>
            <w:pPr>
              <w:pStyle w:val="Compact"/>
            </w:pPr>
            <w:r>
              <w:t xml:space="preserve">artefact_family</w:t>
            </w:r>
          </w:p>
        </w:tc>
        <w:tc>
          <w:tcPr/>
          <w:p>
            <w:pPr>
              <w:pStyle w:val="Compact"/>
            </w:pPr>
            <w:r>
              <w:t xml:space="preserve">Required</w:t>
            </w:r>
          </w:p>
        </w:tc>
        <w:tc>
          <w:tcPr/>
          <w:p>
            <w:pPr>
              <w:pStyle w:val="Compact"/>
            </w:pPr>
            <w:r>
              <w:t xml:space="preserve">Required</w:t>
            </w:r>
          </w:p>
        </w:tc>
      </w:tr>
      <w:tr>
        <w:tc>
          <w:tcPr/>
          <w:p>
            <w:pPr>
              <w:pStyle w:val="Compact"/>
            </w:pPr>
            <w:r>
              <w:t xml:space="preserve">run_id</w:t>
            </w:r>
          </w:p>
        </w:tc>
        <w:tc>
          <w:tcPr/>
          <w:p>
            <w:pPr>
              <w:pStyle w:val="Compact"/>
            </w:pPr>
            <w:r>
              <w:t xml:space="preserve">Required</w:t>
            </w:r>
          </w:p>
        </w:tc>
        <w:tc>
          <w:tcPr/>
          <w:p>
            <w:pPr>
              <w:pStyle w:val="Compact"/>
            </w:pPr>
            <w:r>
              <w:t xml:space="preserve">Required</w:t>
            </w:r>
          </w:p>
        </w:tc>
      </w:tr>
      <w:tr>
        <w:tc>
          <w:tcPr/>
          <w:p>
            <w:pPr>
              <w:pStyle w:val="Compact"/>
            </w:pPr>
            <w:r>
              <w:t xml:space="preserve">future_id</w:t>
            </w:r>
          </w:p>
        </w:tc>
        <w:tc>
          <w:tcPr/>
          <w:p>
            <w:pPr>
              <w:pStyle w:val="Compact"/>
            </w:pPr>
            <w:r>
              <w:t xml:space="preserve">Required</w:t>
            </w:r>
          </w:p>
        </w:tc>
        <w:tc>
          <w:tcPr/>
          <w:p>
            <w:pPr>
              <w:pStyle w:val="Compact"/>
            </w:pPr>
            <w:r>
              <w:t xml:space="preserve">Required</w:t>
            </w:r>
          </w:p>
        </w:tc>
      </w:tr>
      <w:tr>
        <w:tc>
          <w:tcPr/>
          <w:p>
            <w:pPr>
              <w:pStyle w:val="Compact"/>
            </w:pPr>
            <w:r>
              <w:t xml:space="preserve">produced_by</w:t>
            </w:r>
          </w:p>
        </w:tc>
        <w:tc>
          <w:tcPr/>
          <w:p>
            <w:pPr>
              <w:pStyle w:val="Compact"/>
            </w:pPr>
            <w:r>
              <w:t xml:space="preserve">Required (module name and version)</w:t>
            </w:r>
          </w:p>
        </w:tc>
        <w:tc>
          <w:tcPr/>
          <w:p>
            <w:pPr>
              <w:pStyle w:val="Compact"/>
            </w:pPr>
            <w:r>
              <w:t xml:space="preserve">Required (includes surrogate model reference)</w:t>
            </w:r>
          </w:p>
        </w:tc>
      </w:tr>
      <w:tr>
        <w:tc>
          <w:tcPr/>
          <w:p>
            <w:pPr>
              <w:pStyle w:val="Compact"/>
            </w:pPr>
            <w:r>
              <w:t xml:space="preserve">validation_status</w:t>
            </w:r>
          </w:p>
        </w:tc>
        <w:tc>
          <w:tcPr/>
          <w:p>
            <w:pPr>
              <w:pStyle w:val="Compact"/>
            </w:pPr>
            <w:r>
              <w:t xml:space="preserve">Required</w:t>
            </w:r>
          </w:p>
        </w:tc>
        <w:tc>
          <w:tcPr/>
          <w:p>
            <w:pPr>
              <w:pStyle w:val="Compact"/>
            </w:pPr>
            <w:r>
              <w:t xml:space="preserve">Required</w:t>
            </w:r>
          </w:p>
        </w:tc>
      </w:tr>
      <w:tr>
        <w:tc>
          <w:tcPr/>
          <w:p>
            <w:pPr>
              <w:pStyle w:val="Compact"/>
            </w:pPr>
            <w:r>
              <w:t xml:space="preserve">checksum</w:t>
            </w:r>
          </w:p>
        </w:tc>
        <w:tc>
          <w:tcPr/>
          <w:p>
            <w:pPr>
              <w:pStyle w:val="Compact"/>
            </w:pPr>
            <w:r>
              <w:t xml:space="preserve">Required</w:t>
            </w:r>
          </w:p>
        </w:tc>
        <w:tc>
          <w:tcPr/>
          <w:p>
            <w:pPr>
              <w:pStyle w:val="Compact"/>
            </w:pPr>
            <w:r>
              <w:t xml:space="preserve">Required</w:t>
            </w:r>
          </w:p>
        </w:tc>
      </w:tr>
      <w:tr>
        <w:tc>
          <w:tcPr/>
          <w:p>
            <w:pPr>
              <w:pStyle w:val="Compact"/>
            </w:pPr>
            <w:r>
              <w:t xml:space="preserve">model_type_version</w:t>
            </w:r>
          </w:p>
        </w:tc>
        <w:tc>
          <w:tcPr/>
          <w:p>
            <w:pPr>
              <w:pStyle w:val="Compact"/>
            </w:pPr>
            <w:r>
              <w:t xml:space="preserve">Not applicable</w:t>
            </w:r>
          </w:p>
        </w:tc>
        <w:tc>
          <w:tcPr/>
          <w:p>
            <w:pPr>
              <w:pStyle w:val="Compact"/>
            </w:pPr>
            <w:r>
              <w:t xml:space="preserve">Required</w:t>
            </w:r>
          </w:p>
        </w:tc>
      </w:tr>
      <w:tr>
        <w:tc>
          <w:tcPr/>
          <w:p>
            <w:pPr>
              <w:pStyle w:val="Compact"/>
            </w:pPr>
            <w:r>
              <w:t xml:space="preserve">training_data_id</w:t>
            </w:r>
          </w:p>
        </w:tc>
        <w:tc>
          <w:tcPr/>
          <w:p>
            <w:pPr>
              <w:pStyle w:val="Compact"/>
            </w:pPr>
            <w:r>
              <w:t xml:space="preserve">Not applicable</w:t>
            </w:r>
          </w:p>
        </w:tc>
        <w:tc>
          <w:tcPr/>
          <w:p>
            <w:pPr>
              <w:pStyle w:val="Compact"/>
            </w:pPr>
            <w:r>
              <w:t xml:space="preserve">Required</w:t>
            </w:r>
          </w:p>
        </w:tc>
      </w:tr>
      <w:tr>
        <w:tc>
          <w:tcPr/>
          <w:p>
            <w:pPr>
              <w:pStyle w:val="Compact"/>
            </w:pPr>
            <w:r>
              <w:t xml:space="preserve">confidence_score</w:t>
            </w:r>
          </w:p>
        </w:tc>
        <w:tc>
          <w:tcPr/>
          <w:p>
            <w:pPr>
              <w:pStyle w:val="Compact"/>
            </w:pPr>
            <w:r>
              <w:t xml:space="preserve">Not applicable</w:t>
            </w:r>
          </w:p>
        </w:tc>
        <w:tc>
          <w:tcPr/>
          <w:p>
            <w:pPr>
              <w:pStyle w:val="Compact"/>
            </w:pPr>
            <w:r>
              <w:t xml:space="preserve">Required</w:t>
            </w:r>
          </w:p>
        </w:tc>
      </w:tr>
      <w:tr>
        <w:tc>
          <w:tcPr/>
          <w:p>
            <w:pPr>
              <w:pStyle w:val="Compact"/>
            </w:pPr>
            <w:r>
              <w:t xml:space="preserve">regime_flag</w:t>
            </w:r>
          </w:p>
        </w:tc>
        <w:tc>
          <w:tcPr/>
          <w:p>
            <w:pPr>
              <w:pStyle w:val="Compact"/>
            </w:pPr>
            <w:r>
              <w:t xml:space="preserve">Not applicable</w:t>
            </w:r>
          </w:p>
        </w:tc>
        <w:tc>
          <w:tcPr/>
          <w:p>
            <w:pPr>
              <w:pStyle w:val="Compact"/>
            </w:pPr>
            <w:r>
              <w:t xml:space="preserve">Required</w:t>
            </w:r>
          </w:p>
        </w:tc>
      </w:tr>
      <w:tr>
        <w:tc>
          <w:tcPr/>
          <w:p>
            <w:pPr>
              <w:pStyle w:val="Compact"/>
            </w:pPr>
            <w:r>
              <w:t xml:space="preserve">human_acceptance_id</w:t>
            </w:r>
          </w:p>
        </w:tc>
        <w:tc>
          <w:tcPr/>
          <w:p>
            <w:pPr>
              <w:pStyle w:val="Compact"/>
            </w:pPr>
            <w:r>
              <w:t xml:space="preserve">Not applicable</w:t>
            </w:r>
          </w:p>
        </w:tc>
        <w:tc>
          <w:tcPr/>
          <w:p>
            <w:pPr>
              <w:pStyle w:val="Compact"/>
            </w:pPr>
            <w:r>
              <w:t xml:space="preserve">Required</w:t>
            </w:r>
          </w:p>
        </w:tc>
      </w:tr>
    </w:tbl>
    <w:bookmarkEnd w:id="136"/>
    <w:bookmarkEnd w:id="137"/>
    <w:bookmarkStart w:id="152" w:name="module-2-modelling-foundations"/>
    <w:p>
      <w:pPr>
        <w:pStyle w:val="Heading1"/>
      </w:pPr>
      <w:r>
        <w:t xml:space="preserve">19. Module 2: Modelling Foundations</w:t>
      </w:r>
    </w:p>
    <w:p>
      <w:pPr>
        <w:pStyle w:val="FirstParagraph"/>
      </w:pPr>
      <w:r>
        <w:t xml:space="preserve">Tools, Machinery, and the Logic of Exploration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2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Establishes what analytical tools are available to generate decision-relevant consequences, how each tool should be used, and what limits the toolkit has that point toward the architecture of Module 3</w:t>
                  </w:r>
                </w:p>
              </w:tc>
            </w:tr>
            <w:tr>
              <w:tc>
                <w:tcPr/>
                <w:p>
                  <w:pPr>
                    <w:pStyle w:val="Compact"/>
                  </w:pPr>
                  <w:r>
                    <w:rPr>
                      <w:b/>
                      <w:bCs/>
                    </w:rPr>
                    <w:t xml:space="preserve">Assumes</w:t>
                  </w:r>
                </w:p>
              </w:tc>
              <w:tc>
                <w:tcPr/>
                <w:p>
                  <w:pPr>
                    <w:pStyle w:val="Compact"/>
                  </w:pPr>
                  <w:r>
                    <w:t xml:space="preserve">Module 1, particularly the seven requirements of Module 1 §1.7</w:t>
                  </w:r>
                </w:p>
              </w:tc>
            </w:tr>
            <w:tr>
              <w:tc>
                <w:tcPr/>
                <w:p>
                  <w:pPr>
                    <w:pStyle w:val="Compact"/>
                  </w:pPr>
                  <w:r>
                    <w:rPr>
                      <w:b/>
                      <w:bCs/>
                    </w:rPr>
                    <w:t xml:space="preserve">Contributes</w:t>
                  </w:r>
                </w:p>
              </w:tc>
              <w:tc>
                <w:tcPr/>
                <w:p>
                  <w:pPr>
                    <w:pStyle w:val="Compact"/>
                  </w:pPr>
                  <w:r>
                    <w:t xml:space="preserve">The decision-relevant boundary logic for representation; the reframing of optimisation as consequence generation; simulation and surrogate emulation as exploratory and scalability tools; the decision-critical future selection logic; and the governance gap that makes an architectural response necessary</w:t>
                  </w:r>
                </w:p>
              </w:tc>
            </w:tr>
            <w:tr>
              <w:tc>
                <w:tcPr/>
                <w:p>
                  <w:pPr>
                    <w:pStyle w:val="Compact"/>
                  </w:pPr>
                  <w:r>
                    <w:rPr>
                      <w:b/>
                      <w:bCs/>
                    </w:rPr>
                    <w:t xml:space="preserve">Passes to</w:t>
                  </w:r>
                </w:p>
              </w:tc>
              <w:tc>
                <w:tcPr/>
                <w:p>
                  <w:pPr>
                    <w:pStyle w:val="Compact"/>
                  </w:pPr>
                  <w:r>
                    <w:t xml:space="preserve">Module 3 (the architecture that organises these tools); Module 5 (domain-specific tool choices); Module 6 (PoC tool implementations)</w:t>
                  </w:r>
                </w:p>
              </w:tc>
            </w:tr>
            <w:tr>
              <w:tc>
                <w:tcPr/>
                <w:p>
                  <w:pPr>
                    <w:pStyle w:val="Compact"/>
                  </w:pPr>
                  <w:r>
                    <w:rPr>
                      <w:b/>
                      <w:bCs/>
                    </w:rPr>
                    <w:t xml:space="preserve">Can be read independently</w:t>
                  </w:r>
                </w:p>
              </w:tc>
              <w:tc>
                <w:tcPr/>
                <w:p>
                  <w:pPr>
                    <w:pStyle w:val="Compact"/>
                  </w:pPr>
                  <w:r>
                    <w:t xml:space="preserve">Yes, after Module 1</w:t>
                  </w:r>
                </w:p>
              </w:tc>
            </w:tr>
            <w:tr>
              <w:tc>
                <w:tcPr/>
                <w:p>
                  <w:pPr>
                    <w:pStyle w:val="Compact"/>
                  </w:pPr>
                  <w:r>
                    <w:rPr>
                      <w:b/>
                      <w:bCs/>
                    </w:rPr>
                    <w:t xml:space="preserve">Sub-Modules</w:t>
                  </w:r>
                </w:p>
              </w:tc>
              <w:tc>
                <w:tcPr/>
                <w:p>
                  <w:pPr>
                    <w:pStyle w:val="Compact"/>
                  </w:pPr>
                  <w:r>
                    <w:t xml:space="preserve">SM-2.2-A (Optimisation Role Summary); SM-2.3-A (Surrogate Validation Protocol); SM-2.4-A (Scenario Discovery Methods)</w:t>
                  </w:r>
                </w:p>
              </w:tc>
            </w:tr>
          </w:tbl>
          <w:p/>
        </w:tc>
      </w:tr>
    </w:tbl>
    <w:bookmarkStart w:id="138" w:name="Xe3e187b946834871b3813e5b533b2f3de603610"/>
    <w:p>
      <w:pPr>
        <w:pStyle w:val="Heading2"/>
      </w:pPr>
      <w:r>
        <w:t xml:space="preserve">19.1 §2.1 Representation: Boundaries, Scale, and Aggregation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§2.1 Representation: Boundaries, Scale, and Aggregation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1, particularly Module 1 §1.7</w:t>
                  </w:r>
                </w:p>
              </w:tc>
            </w:tr>
            <w:tr>
              <w:tc>
                <w:tcPr/>
                <w:p>
                  <w:pPr>
                    <w:pStyle w:val="Compact"/>
                  </w:pPr>
                  <w:r>
                    <w:rPr>
                      <w:b/>
                      <w:bCs/>
                    </w:rPr>
                    <w:t xml:space="preserve">Contributes</w:t>
                  </w:r>
                </w:p>
              </w:tc>
              <w:tc>
                <w:tcPr/>
                <w:p>
                  <w:pPr>
                    <w:pStyle w:val="Compact"/>
                  </w:pPr>
                  <w:r>
                    <w:t xml:space="preserve">Establishes that the three primary choices in model representation, boundary, scale, and aggregation level, are governed by decision relevance rather than physical convenience or computational tractability</w:t>
                  </w:r>
                </w:p>
              </w:tc>
            </w:tr>
            <w:tr>
              <w:tc>
                <w:tcPr/>
                <w:p>
                  <w:pPr>
                    <w:pStyle w:val="Compact"/>
                  </w:pPr>
                  <w:r>
                    <w:rPr>
                      <w:b/>
                      <w:bCs/>
                    </w:rPr>
                    <w:t xml:space="preserve">Skip condition</w:t>
                  </w:r>
                </w:p>
              </w:tc>
              <w:tc>
                <w:tcPr/>
                <w:p>
                  <w:pPr>
                    <w:pStyle w:val="Compact"/>
                  </w:pPr>
                  <w:r>
                    <w:t xml:space="preserve">Skip if reader already applies decision-relevant boundary logic in modelling practice</w:t>
                  </w:r>
                </w:p>
              </w:tc>
            </w:tr>
            <w:tr>
              <w:tc>
                <w:tcPr/>
                <w:p>
                  <w:pPr>
                    <w:pStyle w:val="Compact"/>
                  </w:pPr>
                  <w:r>
                    <w:rPr>
                      <w:b/>
                      <w:bCs/>
                    </w:rPr>
                    <w:t xml:space="preserve">Passes to</w:t>
                  </w:r>
                </w:p>
              </w:tc>
              <w:tc>
                <w:tcPr/>
                <w:p>
                  <w:pPr>
                    <w:pStyle w:val="Compact"/>
                  </w:pPr>
                  <w:r>
                    <w:t xml:space="preserve">§2.2, §2.3, §2.4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A model does not represent reality; it represents selected features of reality in a form that serves a purpose. The selection is never neutral. Every model boundary excludes something. Every scale choice aggregates something. Every aggregation hides variation that might be consequential. The question is not whether these choices involve trade-offs but whether they are made consciously and in service of the decision the model is meant to support. The decision-first boundary principle of §0.3 applies to representation directly: boundaries, scale, and aggregation level are set by what must remain visible for the comparison to be valid.</w:t>
      </w:r>
    </w:p>
    <w:p>
      <w:pPr>
        <w:pStyle w:val="BodyText"/>
      </w:pPr>
      <w:r>
        <w:t xml:space="preserve">Boundaries determine what is inside the model and what is treated as external or given. A spatial boundary defines the geographic or physical extent. A temporal boundary defines the period and resolution. A sectoral boundary determines which interacting systems are included. An institutional boundary determines which actors and their decisions are represented. Under the decision-first principle, each boundary choice should be answerable by the question: is this inclusion or exclusion required to preserve a consequence that is relevant to the comparison? If a consequence that would change the decision ranking lies outside the boundary, the boundary is wrong. If a consequence that does not change the decision ranking lies inside the boundary at significant computational cost, the boundary is over-specified. The principle is discriminating rather than permissive: it includes what the decision requires and excludes what the decision does not require.</w:t>
      </w:r>
    </w:p>
    <w:p>
      <w:pPr>
        <w:pStyle w:val="BodyText"/>
      </w:pPr>
      <w:r>
        <w:t xml:space="preserve">Scale determines the spatial, temporal, and organisational level at which model variables are defined and dynamics are represented. A national energy model operates at the scale of aggregated sectors and annual time periods. A site-level process simulation operates at the scale of individual equipment and sub-hourly time steps. Each scale is appropriate for the consequences it is designed to reveal; neither is appropriate for the consequences the other was designed to reveal. In decision-centred modelling, the appropriate scale for any component of the analytical environment is the scale at which the decision-relevant consequences become visible. This is a practical criterion rather than a formal one: it requires knowing what the consequences are before knowing what scale is needed to reveal them, which is why the decision must be articulated before the representation is designed.</w:t>
      </w:r>
    </w:p>
    <w:p>
      <w:pPr>
        <w:pStyle w:val="BodyText"/>
      </w:pPr>
      <w:r>
        <w:t xml:space="preserve">Aggregation is unavoidable in modelling but carries costs that the decision-first principle makes explicit. Two industrial facilities with the same annual energy demand may have very different temporal demand profiles, peak demand characteristics, and grid interface consequences. An aggregation that combines them into one load profile may preserve the annual total while destroying the temporal structure that determines whether the GXP hosting capacity is exceeded during winter peak periods. This is not a deficiency of aggregation in general; it is a deficiency of aggregation that removes detail that is decision-relevant. The test is always the same: does this aggregation change the decision-relevant comparison? If yes, it is destructive simplification. If no, it is appropriate abstraction.</w:t>
      </w:r>
    </w:p>
    <w:p>
      <w:pPr>
        <w:pStyle w:val="BodyText"/>
      </w:pPr>
      <w:r>
        <w:t xml:space="preserve">The Edendale case illustrates this test concretely. Aggregating the facility’s heat demand to an annual total would make the GXP adequacy assessment in Module 6 meaningless. The adequacy assessment depends critically on the temporal coincidence of peak electrical demand with regional grid stress conditions: the question of whether the grid’s hosting capacity is exceeded in the hours of highest simultaneous demand in a dry hydro year, during winter peak periods. That question cannot be answered from an annual total. The DemandPack artefact preserves the hourly resolution precisely because the decision-relevant consequence requires it, and the GXP assessment confirms, through the 23-of-64 finding, that the temporal structure is not a decorative detail but a material determinant of pathway feasibility.</w:t>
      </w:r>
    </w:p>
    <w:p>
      <w:pPr>
        <w:pStyle w:val="BodyText"/>
      </w:pPr>
      <w:r>
        <w:t xml:space="preserve">The artefact schema decisions that govern exactly which fields must be preserved at which resolution are developed in Module 3 §3.5, where the canonical artefact families are specified. Section §2.2 now turns to the analytical machinery that operates on representations to generate consequences.</w:t>
      </w:r>
    </w:p>
    <w:bookmarkEnd w:id="138"/>
    <w:bookmarkStart w:id="142" w:name="optimisation-as-consequence-generation"/>
    <w:p>
      <w:pPr>
        <w:pStyle w:val="Heading2"/>
      </w:pPr>
      <w:r>
        <w:t xml:space="preserve">19.2 §2.2 Optimisation as Consequence Generation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§2.2 Optimisation as Consequence Generation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w:t>
                  </w:r>
                </w:p>
              </w:tc>
            </w:tr>
            <w:tr>
              <w:tc>
                <w:tcPr/>
                <w:p>
                  <w:pPr>
                    <w:pStyle w:val="Compact"/>
                  </w:pPr>
                  <w:r>
                    <w:rPr>
                      <w:b/>
                      <w:bCs/>
                    </w:rPr>
                    <w:t xml:space="preserve">Contributes</w:t>
                  </w:r>
                </w:p>
              </w:tc>
              <w:tc>
                <w:tcPr/>
                <w:p>
                  <w:pPr>
                    <w:pStyle w:val="Compact"/>
                  </w:pPr>
                  <w:r>
                    <w:t xml:space="preserve">Reframes optimisation as a conditional consequence-generation mechanism rather than a decision process, and establishes the appropriate roles of LP, MILP, and stochastic programming in the framework’s analytical chain</w:t>
                  </w:r>
                </w:p>
              </w:tc>
            </w:tr>
            <w:tr>
              <w:tc>
                <w:tcPr/>
                <w:p>
                  <w:pPr>
                    <w:pStyle w:val="Compact"/>
                  </w:pPr>
                  <w:r>
                    <w:rPr>
                      <w:b/>
                      <w:bCs/>
                    </w:rPr>
                    <w:t xml:space="preserve">Skip condition</w:t>
                  </w:r>
                </w:p>
              </w:tc>
              <w:tc>
                <w:tcPr/>
                <w:p>
                  <w:pPr>
                    <w:pStyle w:val="Compact"/>
                  </w:pPr>
                  <w:r>
                    <w:t xml:space="preserve">Skip if reader already understands optimisation’s role as conditional consequence generation within a DMDU outer loop</w:t>
                  </w:r>
                </w:p>
              </w:tc>
            </w:tr>
            <w:tr>
              <w:tc>
                <w:tcPr/>
                <w:p>
                  <w:pPr>
                    <w:pStyle w:val="Compact"/>
                  </w:pPr>
                  <w:r>
                    <w:rPr>
                      <w:b/>
                      <w:bCs/>
                    </w:rPr>
                    <w:t xml:space="preserve">Passes to</w:t>
                  </w:r>
                </w:p>
              </w:tc>
              <w:tc>
                <w:tcPr/>
                <w:p>
                  <w:pPr>
                    <w:pStyle w:val="Compact"/>
                  </w:pPr>
                  <w:r>
                    <w:t xml:space="preserve">§2.3, §2.5</w:t>
                  </w:r>
                </w:p>
              </w:tc>
            </w:tr>
            <w:tr>
              <w:tc>
                <w:tcPr/>
                <w:p>
                  <w:pPr>
                    <w:pStyle w:val="Compact"/>
                  </w:pPr>
                  <w:r>
                    <w:rPr>
                      <w:b/>
                      <w:bCs/>
                    </w:rPr>
                    <w:t xml:space="preserve">Sub-Modules here</w:t>
                  </w:r>
                </w:p>
              </w:tc>
              <w:tc>
                <w:tcPr/>
                <w:p>
                  <w:pPr>
                    <w:pStyle w:val="Compact"/>
                  </w:pPr>
                  <w:r>
                    <w:t xml:space="preserve">SM-2.2-A: LP, MILP, and Stochastic Optimisation, Role Summary</w:t>
                  </w:r>
                </w:p>
              </w:tc>
            </w:tr>
          </w:tbl>
          <w:p/>
        </w:tc>
      </w:tr>
    </w:tbl>
    <w:p>
      <w:pPr>
        <w:pStyle w:val="BodyText"/>
      </w:pPr>
      <w:r>
        <w:t xml:space="preserve">Optimisation is the most powerful analytical machinery available for a wide class of planning problems, and it has an important role throughout the framework’s analytical chain. What it cannot do is make the decisions the framework is designed to support. The distinction is not pedantic; it has practical consequences for how optimisation is deployed and interpreted.</w:t>
      </w:r>
    </w:p>
    <w:p>
      <w:pPr>
        <w:pStyle w:val="BodyText"/>
      </w:pPr>
      <w:r>
        <w:t xml:space="preserve">Optimisation answers a conditional question: given this representation, these constraints, these costs, and these future conditions, what allocation or configuration minimises total cost or maximises some specified objective? That conditional answer is analytically valuable. It tells the decision-maker what is efficient within the declared formulation. What it does not tell the decision-maker is whether the formulation is the right one, whether the declared future conditions are the ones that matter, or whether the optimal solution within this boundary remains optimal when consequences outside the boundary are considered. Optimisation as consequence generation is the framing that resolves this tension. Optimisation generates the consequences associated with each alternative under each future; the DMDU outer layer evaluates those consequences through regret, robustness, and satisficing metrics. Optimisation is a module-internal tool; the decision process is the outer layer. Keeping these roles distinct is what allows optimisation to be applied rigorously without the illusion of closure that §1.2 identified as one of its characteristic failure modes.</w:t>
      </w:r>
    </w:p>
    <w:p>
      <w:pPr>
        <w:pStyle w:val="BodyText"/>
      </w:pPr>
      <w:r>
        <w:t xml:space="preserve">Different optimisation classes serve different analytical roles within this framework. Linear programming is especially suited to dispatch and screening problems where the relationships between decision variables and objectives are approximately linear and where transparency and marginal interpretation matter. LP dual variables provide shadow prices that are directly interpretable as value indicators: the shadow price of a capacity constraint is the marginal cost of relaxing that constraint, which is precisely the kind of adequacy signal that a regional electricity module should pass to the evaluation layer through a SignalsPack. PyPSA, which uses Linopy as its algebraic modelling layer, produces these dual variables as standard outputs and is the natural implementation tool for the regional electricity module specified in SM-6.6-E.</w:t>
      </w:r>
    </w:p>
    <w:p>
      <w:pPr>
        <w:pStyle w:val="BodyText"/>
      </w:pPr>
      <w:r>
        <w:t xml:space="preserve">Mixed-integer programming handles discrete choices that LP cannot represent: whether a technology is committed or idle in a given period, whether a staging decision is taken in year one or year five, whether a particular upgrade option is installed or not. MILP is appropriate for the unit-commitment-lite dispatch logic already implemented in the proof of concept’s optimal-subset mode, and for the upgrade option selection in the grid RDM evaluation.</w:t>
      </w:r>
    </w:p>
    <w:p>
      <w:pPr>
        <w:pStyle w:val="BodyText"/>
      </w:pPr>
      <w:r>
        <w:t xml:space="preserve">Stochastic programming extends LP and MILP to represent uncertainty explicitly through scenarios with probabilities, making it appropriate when the uncertainty within a module has a defensible probabilistic structure and when the cost of recourse decisions is part of what is being optimised. This is the right tool when uncertainty is parametric, well-characterised, and specific to a module’s internal operation. It is not the right tool for the outer DMDU ensemble, where the uncertainty is structural rather than parametric and probabilities are contested. The outer ensemble is handled by the DMDU orchestration layer, not by stochastic programming.</w:t>
      </w:r>
    </w:p>
    <w:p>
      <w:pPr>
        <w:pStyle w:val="BodyText"/>
      </w:pPr>
      <w:r>
        <w:t xml:space="preserve">The open-source modelling ecosystem provides mature implementations of all three optimisation classes that are architecturally compatible with the framework. PyPSA and Linopy provide network-aware LP and MILP for the regional electricity module. Calliope provides flexible multi-scale energy system optimisation with strong transparency commitments. OSeMOSYS provides a lean, open-source long-range energy system modelling framework that has been used in national energy planning contexts across multiple countries and is compatible with the FutureArtefact ensemble design approach. Sub-Module SM-2.2-A provides the formal problem statements and the framework role summary for each optimisation class.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SM-2.2-A</w:t>
            </w:r>
          </w:p>
        </w:tc>
      </w:tr>
      <w:tr>
        <w:trPr>
          <w:cantSplit/>
        </w:trPr>
        <w:tc>
          <w:tcPr>
            <w:tcMar>
              <w:top w:w="108" w:type="dxa"/>
              <w:bottom w:w="108" w:type="dxa"/>
            </w:tcMar>
          </w:tcPr>
          <w:p>
            <w:pPr>
              <w:pStyle w:val="BodyText"/>
            </w:pPr>
            <w:pPr>
              <w:spacing w:before="16" w:after="16"/>
            </w:pPr>
            <w:r>
              <w:t xml:space="preserve">LP, MILP, and Stochastic Optimisation: Role Summary — formal problem statements, role table, and PyPSA/Linopy integration note — is in</w:t>
            </w:r>
            <w:r>
              <w:t xml:space="preserve"> </w:t>
            </w:r>
            <w:hyperlink r:id="rId141">
              <w:r>
                <w:rPr>
                  <w:rStyle w:val="Hyperlink"/>
                </w:rPr>
                <w:t xml:space="preserve">SM-2.2-A</w:t>
              </w:r>
            </w:hyperlink>
            <w:r>
              <w:t xml:space="preserve">. Skip if the optimisation classes and their appropriate uses are already known.</w:t>
            </w:r>
          </w:p>
          <w:p/>
        </w:tc>
      </w:tr>
    </w:tbl>
    <w:bookmarkEnd w:id="142"/>
    <w:bookmarkStart w:id="146" w:name="simulation-and-surrogate-emulation"/>
    <w:p>
      <w:pPr>
        <w:pStyle w:val="Heading2"/>
      </w:pPr>
      <w:r>
        <w:t xml:space="preserve">19.3 §2.3 Simulation and Surrogate Emulation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§2.3 Simulation and Surrogate Emulation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§2.2</w:t>
                  </w:r>
                </w:p>
              </w:tc>
            </w:tr>
            <w:tr>
              <w:tc>
                <w:tcPr/>
                <w:p>
                  <w:pPr>
                    <w:pStyle w:val="Compact"/>
                  </w:pPr>
                  <w:r>
                    <w:rPr>
                      <w:b/>
                      <w:bCs/>
                    </w:rPr>
                    <w:t xml:space="preserve">Contributes</w:t>
                  </w:r>
                </w:p>
              </w:tc>
              <w:tc>
                <w:tcPr/>
                <w:p>
                  <w:pPr>
                    <w:pStyle w:val="Compact"/>
                  </w:pPr>
                  <w:r>
                    <w:t xml:space="preserve">Establishes simulation as legitimate exploratory machinery and surrogate emulation as the scalability mechanism for large DMDU ensembles, and introduces the decision-ranking preservation criterion for surrogate validation</w:t>
                  </w:r>
                </w:p>
              </w:tc>
            </w:tr>
            <w:tr>
              <w:tc>
                <w:tcPr/>
                <w:p>
                  <w:pPr>
                    <w:pStyle w:val="Compact"/>
                  </w:pPr>
                  <w:r>
                    <w:rPr>
                      <w:b/>
                      <w:bCs/>
                    </w:rPr>
                    <w:t xml:space="preserve">Skip condition</w:t>
                  </w:r>
                </w:p>
              </w:tc>
              <w:tc>
                <w:tcPr/>
                <w:p>
                  <w:pPr>
                    <w:pStyle w:val="Compact"/>
                  </w:pPr>
                  <w:r>
                    <w:t xml:space="preserve">Skip if reader knows simulation-based exploration and DMDU-surrogate validation; consult SM-2.3-A for the full validation protocol</w:t>
                  </w:r>
                </w:p>
              </w:tc>
            </w:tr>
            <w:tr>
              <w:tc>
                <w:tcPr/>
                <w:p>
                  <w:pPr>
                    <w:pStyle w:val="Compact"/>
                  </w:pPr>
                  <w:r>
                    <w:rPr>
                      <w:b/>
                      <w:bCs/>
                    </w:rPr>
                    <w:t xml:space="preserve">Passes to</w:t>
                  </w:r>
                </w:p>
              </w:tc>
              <w:tc>
                <w:tcPr/>
                <w:p>
                  <w:pPr>
                    <w:pStyle w:val="Compact"/>
                  </w:pPr>
                  <w:r>
                    <w:t xml:space="preserve">§2.4, §2.5, Module 3</w:t>
                  </w:r>
                </w:p>
              </w:tc>
            </w:tr>
            <w:tr>
              <w:tc>
                <w:tcPr/>
                <w:p>
                  <w:pPr>
                    <w:pStyle w:val="Compact"/>
                  </w:pPr>
                  <w:r>
                    <w:rPr>
                      <w:b/>
                      <w:bCs/>
                    </w:rPr>
                    <w:t xml:space="preserve">Sub-Modules here</w:t>
                  </w:r>
                </w:p>
              </w:tc>
              <w:tc>
                <w:tcPr/>
                <w:p>
                  <w:pPr>
                    <w:pStyle w:val="Compact"/>
                  </w:pPr>
                  <w:r>
                    <w:t xml:space="preserve">SM-2.3-A: Decision-Ranking Preservation, Validation Protocol</w:t>
                  </w:r>
                </w:p>
              </w:tc>
            </w:tr>
          </w:tbl>
          <w:p/>
        </w:tc>
      </w:tr>
    </w:tbl>
    <w:p>
      <w:pPr>
        <w:pStyle w:val="BodyText"/>
      </w:pPr>
      <w:r>
        <w:t xml:space="preserve">Optimisation is the right machinery when the question is what is best under a stated formulation. When the question is what happens, how a system evolves, how it responds to different sequences of conditions, or whether a declared operating logic remains viable across different futures, simulation is the appropriate tool. Simulation is not a fallback for cases where optimisation is intractable. It is a different kind of analytical machinery for a different kind of question.</w:t>
      </w:r>
    </w:p>
    <w:p>
      <w:pPr>
        <w:pStyle w:val="BodyText"/>
      </w:pPr>
      <w:r>
        <w:t xml:space="preserve">Simulation generates time-resolved trajectories of a system’s behaviour under specified rules, initial conditions, and external forcing. Its strengths are temporal realism, the representation of chronology and sequence, the ability to capture feedback and threshold effects, and its natural compatibility with uncertainty exploration: once a system can be run repeatedly under different conditions, examining distributions of consequences across those conditions becomes straightforward. In the framework’s Facility Module, the proportional dispatch logic already implemented in the proof of concept is a simulation: at each hourly timestep, heat demand is allocated across available units by capacity fraction, producing a time-resolved dispatch record that feeds the incremental electricity calculation. The OpenModelica-based thermal network simulation specified in SM-6.4-C is a higher-fidelity simulation of the same facility using equation-based physical modelling of connected thermal components.</w:t>
      </w:r>
    </w:p>
    <w:p>
      <w:pPr>
        <w:pStyle w:val="BodyText"/>
      </w:pPr>
      <w:r>
        <w:t xml:space="preserve">OpenModelica is particularly suited to the Facility Module because it can represent the physical connectivity of steam headers, heat exchangers, boilers, and heat pumps as a network of components governed by conservation equations. This level of physical fidelity is warranted when the dispatch pattern, peak demand timing, or thermal storage behaviour materially affects the GXP adequacy assessment. It is not warranted in a first-generation proof of concept where the primary analytical question concerns the architectural validity of the site-to-region coupling rather than the precision of the dispatch schedule. The progressive-refinement philosophy determines when OpenModelica is introduced: when the regret sensitivity diagnostics indicate that the proportional dispatch simplification is materially changing the regional adequacy finding.</w:t>
      </w:r>
    </w:p>
    <w:p>
      <w:pPr>
        <w:pStyle w:val="BodyText"/>
      </w:pPr>
      <w:r>
        <w:t xml:space="preserve">Surrogate emulation addresses the computational constraint that becomes binding when an expensive module must be evaluated many times inside a large DMDU ensemble. A full PyPSA regional electricity optimisation for the Southland transmission context under one future takes several minutes of computation. Running it for 500 or 5,000 futures in the ensemble is impractical at that cost. A trained ML surrogate of the PyPSA module, which learns to approximate the module’s input-output mapping from a sample of full model runs, reduces the per-evaluation cost by several orders of magnitude while retaining the analytical content that matters for the decision.</w:t>
      </w:r>
    </w:p>
    <w:p>
      <w:pPr>
        <w:pStyle w:val="BodyText"/>
      </w:pPr>
      <w:r>
        <w:t xml:space="preserve">The key design principle for surrogate emulation under the decision-first boundary principle is that the surrogate emulates the module at its output boundary, not at its internal variable level. A surrogate for the regional electricity module needs to produce a valid SignalsPack, the schema-conforming governed output that the Facility Module and evaluation layer consume. It does not need to reproduce every nodal price, every line loading fraction, or every dispatch dispatch decision internal to the PyPSA model. This reduction in output dimensionality is not a compromise on fidelity; it is the decision-first principle applied to the surrogate specification: what must be emulated is what crosses the thin-waist boundary, and that is the SignalsPack fields.</w:t>
      </w:r>
    </w:p>
    <w:p>
      <w:pPr>
        <w:pStyle w:val="BodyText"/>
      </w:pPr>
      <w:r>
        <w:t xml:space="preserve">The appropriate validation criterion for a DMDU surrogate follows from the same principle. Standard ML validation metrics, RMSE, R², mean absolute error, measure average prediction accuracy across all outputs and all inputs. What matters for a DMDU application is whether the surrogate produces the same decision-relevant outputs: the same preferred alternative, the same regret ranking, and the same threshold-violation pattern as the full model, across the futures where the decision is most sensitive. This is the decision-ranking preservation criterion, and it is the acceptance standard against which every surrogate in this framework is validated. Sub-Module SM-2.3-A develops the full validation protocol.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SM-2.3-A</w:t>
            </w:r>
          </w:p>
        </w:tc>
      </w:tr>
      <w:tr>
        <w:trPr>
          <w:cantSplit/>
        </w:trPr>
        <w:tc>
          <w:tcPr>
            <w:tcMar>
              <w:top w:w="108" w:type="dxa"/>
              <w:bottom w:w="108" w:type="dxa"/>
            </w:tcMar>
          </w:tcPr>
          <w:p>
            <w:pPr>
              <w:pStyle w:val="BodyText"/>
            </w:pPr>
            <w:pPr>
              <w:spacing w:before="16" w:after="16"/>
            </w:pPr>
            <w:r>
              <w:t xml:space="preserve">Decision-Ranking Preservation: Validation Protocol — formal definition, validation workflow, confidence scoring, and active learning protocol — is in</w:t>
            </w:r>
            <w:r>
              <w:t xml:space="preserve"> </w:t>
            </w:r>
            <w:hyperlink r:id="rId145">
              <w:r>
                <w:rPr>
                  <w:rStyle w:val="Hyperlink"/>
                </w:rPr>
                <w:t xml:space="preserve">SM-2.3-A</w:t>
              </w:r>
            </w:hyperlink>
            <w:r>
              <w:t xml:space="preserve">. Skip if the surrogate validation approach is already known.</w:t>
            </w:r>
          </w:p>
          <w:p/>
        </w:tc>
      </w:tr>
    </w:tbl>
    <w:bookmarkEnd w:id="146"/>
    <w:bookmarkStart w:id="150" w:name="constructing-and-selecting-futures"/>
    <w:p>
      <w:pPr>
        <w:pStyle w:val="Heading2"/>
      </w:pPr>
      <w:r>
        <w:t xml:space="preserve">19.4 §2.4 Constructing and Selecting Futures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§2.4 Constructing and Selecting Futures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 §2.2, §2.3</w:t>
                  </w:r>
                </w:p>
              </w:tc>
            </w:tr>
            <w:tr>
              <w:tc>
                <w:tcPr/>
                <w:p>
                  <w:pPr>
                    <w:pStyle w:val="Compact"/>
                  </w:pPr>
                  <w:r>
                    <w:rPr>
                      <w:b/>
                      <w:bCs/>
                    </w:rPr>
                    <w:t xml:space="preserve">Contributes</w:t>
                  </w:r>
                </w:p>
              </w:tc>
              <w:tc>
                <w:tcPr/>
                <w:p>
                  <w:pPr>
                    <w:pStyle w:val="Compact"/>
                  </w:pPr>
                  <w:r>
                    <w:t xml:space="preserve">Establishes the decision-first logic for future construction and selection, the classification of uncertainty types, the paired-futures requirement, and the ensemble size progression from anchor futures through LHS expansion to surrogate-enabled thousands</w:t>
                  </w:r>
                </w:p>
              </w:tc>
            </w:tr>
            <w:tr>
              <w:tc>
                <w:tcPr/>
                <w:p>
                  <w:pPr>
                    <w:pStyle w:val="Compact"/>
                  </w:pPr>
                  <w:r>
                    <w:rPr>
                      <w:b/>
                      <w:bCs/>
                    </w:rPr>
                    <w:t xml:space="preserve">Skip condition</w:t>
                  </w:r>
                </w:p>
              </w:tc>
              <w:tc>
                <w:tcPr/>
                <w:p>
                  <w:pPr>
                    <w:pStyle w:val="Compact"/>
                  </w:pPr>
                  <w:r>
                    <w:t xml:space="preserve">Skip if reader understands decision-critical future selection and PRIM/CART; consult SM-2.4-A for methods detail</w:t>
                  </w:r>
                </w:p>
              </w:tc>
            </w:tr>
            <w:tr>
              <w:tc>
                <w:tcPr/>
                <w:p>
                  <w:pPr>
                    <w:pStyle w:val="Compact"/>
                  </w:pPr>
                  <w:r>
                    <w:rPr>
                      <w:b/>
                      <w:bCs/>
                    </w:rPr>
                    <w:t xml:space="preserve">Passes to</w:t>
                  </w:r>
                </w:p>
              </w:tc>
              <w:tc>
                <w:tcPr/>
                <w:p>
                  <w:pPr>
                    <w:pStyle w:val="Compact"/>
                  </w:pPr>
                  <w:r>
                    <w:t xml:space="preserve">§2.5, Module 5, Module 6</w:t>
                  </w:r>
                </w:p>
              </w:tc>
            </w:tr>
            <w:tr>
              <w:tc>
                <w:tcPr/>
                <w:p>
                  <w:pPr>
                    <w:pStyle w:val="Compact"/>
                  </w:pPr>
                  <w:r>
                    <w:rPr>
                      <w:b/>
                      <w:bCs/>
                    </w:rPr>
                    <w:t xml:space="preserve">Sub-Modules here</w:t>
                  </w:r>
                </w:p>
              </w:tc>
              <w:tc>
                <w:tcPr/>
                <w:p>
                  <w:pPr>
                    <w:pStyle w:val="Compact"/>
                  </w:pPr>
                  <w:r>
                    <w:t xml:space="preserve">SM-2.4-A: Scenario Discovery Methods, PRIM and CART</w:t>
                  </w:r>
                </w:p>
              </w:tc>
            </w:tr>
          </w:tbl>
          <w:p/>
        </w:tc>
      </w:tr>
    </w:tbl>
    <w:p>
      <w:pPr>
        <w:pStyle w:val="BodyText"/>
      </w:pPr>
      <w:r>
        <w:t xml:space="preserve">Representation and analytical machinery together determine how the model generates consequences for a given set of conditions. Futures determine which conditions are tested. A poorly designed future set can narrow the analytical problem as completely as a poorly designed model; a future set that explores only familiar territory will not reveal the vulnerabilities that a long-horizon commitment may harbour.</w:t>
      </w:r>
    </w:p>
    <w:p>
      <w:pPr>
        <w:pStyle w:val="BodyText"/>
      </w:pPr>
      <w:r>
        <w:t xml:space="preserve">Uncertainties relevant to a decision problem fall into four classes. Parametric uncertainty concerns the values of quantities already present in the representation: technology costs, fuel prices, demand growth rates, resource availability indices. These are naturally varied through multipliers applied to reference values and are the most straightforward class to represent. Structural uncertainty concerns the possibility that the model itself may be incomplete or that the causal pathways it represents may be incorrect: a regional electricity model that does not represent multi-site demand aggregation may systematically underestimate hosting capacity stress regardless of parameter values. Policy uncertainty concerns future regulatory settings, carbon price trajectories, infrastructure investment programmes, and institutional arrangements. Policy uncertainty often manifests as discrete regime shifts rather than continuous parameter variation, making scenario classes a more appropriate representation than probability distributions. Behavioural uncertainty concerns how actors respond when conditions change: whether competing industrial users electrify simultaneously, whether regulators enforce compliance, whether Transpower prioritises a specific reinforcement project. The five uncertain driver dimensions in the Edendale ensemble, GXP headroom, regional demand growth, hydro year class, biomass availability, and ETS carbon price, span all four classes.</w:t>
      </w:r>
    </w:p>
    <w:p>
      <w:pPr>
        <w:pStyle w:val="BodyText"/>
      </w:pPr>
      <w:r>
        <w:t xml:space="preserve">The paired-futures requirement, introduced in §1.4 as a consequence of Requirement 5 in §1.7, has a direct implication for future construction. All pathway alternatives must be evaluated under identical external conditions in every future. This means the FutureArtefact for a given future carries the same uncertain driver values regardless of which pathway is being evaluated under it. Differences in performance outcomes across pathways are then attributable to pathway characteristics, not to asymmetric experimental conditions. The futures.csv file in the Edendale proof of concept enforces this requirement: the same file is used as the source of futures for both the 2035_EB and 2035_BB grid RDM evaluations, and the overlay module verifies that both evaluations reference identical future identifiers before computing the comparison.</w:t>
      </w:r>
    </w:p>
    <w:p>
      <w:pPr>
        <w:pStyle w:val="BodyText"/>
      </w:pPr>
      <w:r>
        <w:t xml:space="preserve">The selection of which futures to include in the ensemble is the most analytically consequential design choice, and it is where the decision-first principle most directly displaces the instinct to explore input-space extremes. The futures that earn a place in the ensemble are not those with the most extreme individual input values but those that are most decision-critical in the outcome space: the futures that produce rank reversals between competing pathways, threshold violations that would not be visible at central-case conditions, or regret concentrations that distinguish the strategies most sharply. This is the inversion from input-extremity to consequence-centrality that defines decision-critical future selection.</w:t>
      </w:r>
    </w:p>
    <w:p>
      <w:pPr>
        <w:pStyle w:val="BodyText"/>
      </w:pPr>
      <w:r>
        <w:t xml:space="preserve">In practice, ensemble construction proceeds through a staged expansion. The first stage produces a small set of hand-designed anchor futures, typically 21 in the Edendale ensemble, that span the most analytically important combinations identified by expert knowledge and preliminary screening. These anchor futures are preserved exactly in all subsequent ensemble versions, providing a stable regression test baseline. The second stage expands the ensemble to 100 futures using Latin hypercube sampling across continuous driver dimensions, preserving the 21 anchors and adding 79 futures that improve coverage of the uncertainty space. The third stage, which requires a trained and validated surrogate of the regional module, expands the ensemble to several hundred or thousand futures, making statistically meaningful scenario discovery and vulnerability mapping feasible. The three-stage progression is governed at each step by the decision-first principle: expansion is warranted when regret sensitivity diagnostics indicate that the current ensemble is missing futures that would change the decision-relevant comparison.</w:t>
      </w:r>
    </w:p>
    <w:p>
      <w:pPr>
        <w:pStyle w:val="BodyText"/>
      </w:pPr>
      <w:r>
        <w:t xml:space="preserve">The diagnostic methods that identify decision-critical futures and vulnerability regions, PRIM and CART, are developed in Sub-Module SM-2.4-A.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tip.png" id="148"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SM-2.4-A</w:t>
            </w:r>
          </w:p>
        </w:tc>
      </w:tr>
      <w:tr>
        <w:trPr>
          <w:cantSplit/>
        </w:trPr>
        <w:tc>
          <w:tcPr>
            <w:tcMar>
              <w:top w:w="108" w:type="dxa"/>
              <w:bottom w:w="108" w:type="dxa"/>
            </w:tcMar>
          </w:tcPr>
          <w:p>
            <w:pPr>
              <w:pStyle w:val="BodyText"/>
            </w:pPr>
            <w:pPr>
              <w:spacing w:before="16" w:after="16"/>
            </w:pPr>
            <w:r>
              <w:t xml:space="preserve">Scenario Discovery Methods: PRIM and CART — algorithms, worked Edendale application, and comparison table — is in</w:t>
            </w:r>
            <w:r>
              <w:t xml:space="preserve"> </w:t>
            </w:r>
            <w:hyperlink r:id="rId149">
              <w:r>
                <w:rPr>
                  <w:rStyle w:val="Hyperlink"/>
                </w:rPr>
                <w:t xml:space="preserve">SM-2.4-A</w:t>
              </w:r>
            </w:hyperlink>
            <w:r>
              <w:t xml:space="preserve">. Skip if PRIM and CART are already known.</w:t>
            </w:r>
          </w:p>
          <w:p/>
        </w:tc>
      </w:tr>
    </w:tbl>
    <w:bookmarkEnd w:id="150"/>
    <w:bookmarkStart w:id="151" w:name="Xe65a928f97e5ea3a075fb28f5fba9ee517b5353"/>
    <w:p>
      <w:pPr>
        <w:pStyle w:val="Heading2"/>
      </w:pPr>
      <w:r>
        <w:t xml:space="preserve">19.5 §2.5 From Tools to Architecture: What the Toolkit Cannot Do Alone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§2.5 From Tools to Architecture: What the Toolkit Cannot Do Alone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 through §2.4</w:t>
                  </w:r>
                </w:p>
              </w:tc>
            </w:tr>
            <w:tr>
              <w:tc>
                <w:tcPr/>
                <w:p>
                  <w:pPr>
                    <w:pStyle w:val="Compact"/>
                  </w:pPr>
                  <w:r>
                    <w:rPr>
                      <w:b/>
                      <w:bCs/>
                    </w:rPr>
                    <w:t xml:space="preserve">Contributes</w:t>
                  </w:r>
                </w:p>
              </w:tc>
              <w:tc>
                <w:tcPr/>
                <w:p>
                  <w:pPr>
                    <w:pStyle w:val="Compact"/>
                  </w:pPr>
                  <w:r>
                    <w:t xml:space="preserve">Identifies the governance gap that the analytical toolkit cannot close by itself and provides the transition to the architectural response of Module 3</w:t>
                  </w:r>
                </w:p>
              </w:tc>
            </w:tr>
            <w:tr>
              <w:tc>
                <w:tcPr/>
                <w:p>
                  <w:pPr>
                    <w:pStyle w:val="Compact"/>
                  </w:pPr>
                  <w:r>
                    <w:rPr>
                      <w:b/>
                      <w:bCs/>
                    </w:rPr>
                    <w:t xml:space="preserve">Skip condition</w:t>
                  </w:r>
                </w:p>
              </w:tc>
              <w:tc>
                <w:tcPr/>
                <w:p>
                  <w:pPr>
                    <w:pStyle w:val="Compact"/>
                  </w:pPr>
                  <w:r>
                    <w:t xml:space="preserve">Do not skip — this is the bridge between Modules 2 and 3</w:t>
                  </w:r>
                </w:p>
              </w:tc>
            </w:tr>
            <w:tr>
              <w:tc>
                <w:tcPr/>
                <w:p>
                  <w:pPr>
                    <w:pStyle w:val="Compact"/>
                  </w:pPr>
                  <w:r>
                    <w:rPr>
                      <w:b/>
                      <w:bCs/>
                    </w:rPr>
                    <w:t xml:space="preserve">Passes to</w:t>
                  </w:r>
                </w:p>
              </w:tc>
              <w:tc>
                <w:tcPr/>
                <w:p>
                  <w:pPr>
                    <w:pStyle w:val="Compact"/>
                  </w:pPr>
                  <w:r>
                    <w:t xml:space="preserve">Module 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four sections of this module have developed the analytical toolkit available to the framework: the representation choices governed by decision-relevance, the optimisation machinery that generates conditional consequences, the simulation and surrogate tools that extend the range of questions that can be asked and the scale at which they can be asked, and the future construction and selection logic that determines which conditions are tested. This toolkit is powerful. It is not sufficient.</w:t>
      </w:r>
    </w:p>
    <w:p>
      <w:pPr>
        <w:pStyle w:val="BodyText"/>
      </w:pPr>
      <w:r>
        <w:t xml:space="preserve">The insufficiency has a specific character. Tools cannot draw their own appropriate boundaries; the decision-first principle must be applied before any tool is configured. Tools cannot manage their own comparability across versions; a second-generation surrogate that produces different consequences from a first-generation full model represents progress only if the comparison between the two is itself tractable, which requires that both operated within a shared schema and that their outputs were stored with shared provenance. Tools cannot preserve their own analytical history; a result produced under a first-generation proportional dispatch assumption is only comparable with one produced under a second-generation LP-based scheduling assumption if both are stored with their generating conditions intact and linked through explicit lineage. Tools cannot validate their own outputs; a surrogate that satisfies decision-ranking preservation on a random held-out set but fails it on the decision-critical futures it encounters in deployment provides misleading confidence unless the validation was designed to test the right conditions. None of these properties can be provided by the tools themselves, regardless of how sophisticated those tools become.</w:t>
      </w:r>
    </w:p>
    <w:p>
      <w:pPr>
        <w:pStyle w:val="BodyText"/>
      </w:pPr>
      <w:r>
        <w:t xml:space="preserve">What the toolkit requires that it cannot provide for itself is a governance architecture: the infrastructure that enforces schema conformance at every module output, maintains explicit lineage from every result back to the inputs and conditions that produced it, gates admission to the comparison chain through declared acceptance criteria, and preserves the append-only analytical history that makes progressive refinement cumulative rather than destructive.</w:t>
      </w:r>
    </w:p>
    <w:p>
      <w:pPr>
        <w:pStyle w:val="BodyText"/>
      </w:pPr>
      <w:r>
        <w:t xml:space="preserve">The architecture of Module 3 does not introduce new tools. It creates the conditions under which the tools described in this module satisfy the seven requirements of §1.7. Requirement 5, comparability across alternatives and futures, is satisfied by the paired-futures design and schema-governed artefact exchange that Module 3 specifies. Requirement 6, traceability and revisability, is satisfied by the governed backbone that Module 3 designs. The other requirements follow from the combination of the tools of Module 2 operating within the boundaries of the architecture of Module 3. The governance architecture is not overhead; it is what transforms a collection of sophisticated tools into a decision-centred analytical environment.</w:t>
      </w:r>
    </w:p>
    <w:bookmarkEnd w:id="151"/>
    <w:bookmarkEnd w:id="152"/>
    <w:bookmarkStart w:id="157" w:name="sub-module-2.2-a"/>
    <w:p>
      <w:pPr>
        <w:pStyle w:val="Heading1"/>
      </w:pPr>
      <w:r>
        <w:t xml:space="preserve">20. Sub-Module 2.2-A</w:t>
      </w:r>
    </w:p>
    <w:p>
      <w:pPr>
        <w:pStyle w:val="FirstParagraph"/>
      </w:pPr>
      <w:r>
        <w:t xml:space="preserve">LP, MILP, and Stochastic Optimisation, Role Summary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SM-2.2-A: LP, MILP, and Stochastic Optimisation, Role Summary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§2.2</w:t>
                  </w:r>
                </w:p>
              </w:tc>
            </w:tr>
            <w:tr>
              <w:tc>
                <w:tcPr/>
                <w:p>
                  <w:pPr>
                    <w:pStyle w:val="Compact"/>
                  </w:pPr>
                  <w:r>
                    <w:rPr>
                      <w:b/>
                      <w:bCs/>
                    </w:rPr>
                    <w:t xml:space="preserve">Contributes</w:t>
                  </w:r>
                </w:p>
              </w:tc>
              <w:tc>
                <w:tcPr/>
                <w:p>
                  <w:pPr>
                    <w:pStyle w:val="Compact"/>
                  </w:pPr>
                  <w:r>
                    <w:t xml:space="preserve">Formal problem statements for LP, MILP, and two-stage stochastic programming, a role summary table, and a note on how PyPSA/Linopy network optimisation outputs translate into SignalsPack fields</w:t>
                  </w:r>
                </w:p>
              </w:tc>
            </w:tr>
            <w:tr>
              <w:tc>
                <w:tcPr/>
                <w:p>
                  <w:pPr>
                    <w:pStyle w:val="Compact"/>
                  </w:pPr>
                  <w:r>
                    <w:rPr>
                      <w:b/>
                      <w:bCs/>
                    </w:rPr>
                    <w:t xml:space="preserve">Skip condition</w:t>
                  </w:r>
                </w:p>
              </w:tc>
              <w:tc>
                <w:tcPr/>
                <w:p>
                  <w:pPr>
                    <w:pStyle w:val="Compact"/>
                  </w:pPr>
                  <w:r>
                    <w:t xml:space="preserve">Skip if optimisation classes and their uses are already known</w:t>
                  </w:r>
                </w:p>
              </w:tc>
            </w:tr>
            <w:tr>
              <w:tc>
                <w:tcPr/>
                <w:p>
                  <w:pPr>
                    <w:pStyle w:val="Compact"/>
                  </w:pPr>
                  <w:r>
                    <w:rPr>
                      <w:b/>
                      <w:bCs/>
                    </w:rPr>
                    <w:t xml:space="preserve">Passes to</w:t>
                  </w:r>
                </w:p>
              </w:tc>
              <w:tc>
                <w:tcPr/>
                <w:p>
                  <w:pPr>
                    <w:pStyle w:val="Compact"/>
                  </w:pPr>
                  <w:r>
                    <w:t xml:space="preserve">§2.3, SM-6.6-E</w:t>
                  </w:r>
                </w:p>
              </w:tc>
            </w:tr>
            <w:tr>
              <w:tc>
                <w:tcPr/>
                <w:p>
                  <w:pPr>
                    <w:pStyle w:val="Compact"/>
                  </w:pPr>
                  <w:r>
                    <w:rPr>
                      <w:b/>
                      <w:bCs/>
                    </w:rPr>
                    <w:t xml:space="preserve">Sub-Modules here</w:t>
                  </w:r>
                </w:p>
              </w:tc>
              <w:tc>
                <w:tcPr/>
                <w:p>
                  <w:pPr>
                    <w:pStyle w:val="Compact"/>
                  </w:pPr>
                  <w:r>
                    <w:t xml:space="preserve">None</w:t>
                  </w:r>
                </w:p>
              </w:tc>
            </w:tr>
          </w:tbl>
          <w:p/>
        </w:tc>
      </w:tr>
    </w:tbl>
    <w:bookmarkStart w:id="156" w:name="X6402a51fa30169410af258e02f778bc913a4caa"/>
    <w:p>
      <w:pPr>
        <w:pStyle w:val="Heading2"/>
      </w:pPr>
      <w:r>
        <w:t xml:space="preserve">20.1 SM-2.2-A: LP, MILP, and Stochastic Optimisation, Role Summary</w:t>
      </w:r>
    </w:p>
    <w:bookmarkStart w:id="155" w:name="X51c30451cf8a0e0560f49c2cea4cfaf5cca984a"/>
    <w:p>
      <w:pPr>
        <w:pStyle w:val="Heading3"/>
      </w:pPr>
      <w:r>
        <w:t xml:space="preserve">20.1.1 The Four Classes of Policy: Powell’s Unified Framework</w:t>
      </w:r>
    </w:p>
    <w:p>
      <w:pPr>
        <w:pStyle w:val="FirstParagraph"/>
      </w:pPr>
      <w:r>
        <w:t xml:space="preserve">Any method for making decisions in a sequential decision problem — from a simple dispatch rule to a full stochastic programme — can be classified into one of four policy classes, or a hybrid of several. This taxonomy was developed by Warren Powell at Princeton University and provides the organising framework for understanding what role each modelling method plays within the DCM analytical environment.</w:t>
      </w:r>
    </w:p>
    <w:p>
      <w:pPr>
        <w:pStyle w:val="BodyText"/>
      </w:pPr>
      <w:r>
        <w:t xml:space="preserve">A policy</w:t>
      </w:r>
      <w:r>
        <w:t xml:space="preserve"> </w:t>
      </w:r>
      <m:oMath>
        <m:r>
          <m:t>π</m:t>
        </m:r>
      </m:oMath>
      <w:r>
        <w:t xml:space="preserve"> </w:t>
      </w:r>
      <w:r>
        <w:t xml:space="preserve">is any function that maps the current state</w:t>
      </w:r>
      <w:r>
        <w:t xml:space="preserve"> </w:t>
      </w:r>
      <m:oMath>
        <m:sSub>
          <m:e>
            <m:r>
              <m:t>S</m:t>
            </m:r>
          </m:e>
          <m:sub>
            <m:r>
              <m:t>t</m:t>
            </m:r>
          </m:sub>
        </m:sSub>
      </m:oMath>
      <w:r>
        <w:t xml:space="preserve"> </w:t>
      </w:r>
      <w:r>
        <w:t xml:space="preserve">to a decision</w:t>
      </w:r>
      <w:r>
        <w:t xml:space="preserve"> </w:t>
      </w:r>
      <m:oMath>
        <m:sSub>
          <m:e>
            <m:r>
              <m:t>X</m:t>
            </m:r>
          </m:e>
          <m:sub>
            <m:r>
              <m:t>t</m:t>
            </m:r>
          </m:sub>
        </m:sSub>
      </m:oMath>
      <w:r>
        <w:t xml:space="preserve">:</w:t>
      </w:r>
    </w:p>
    <w:p>
      <w:pPr>
        <w:pStyle w:val="BodyText"/>
      </w:pPr>
      <m:oMathPara>
        <m:oMathParaPr>
          <m:jc m:val="center"/>
        </m:oMathParaPr>
        <m:oMath>
          <m:sSub>
            <m:e>
              <m:r>
                <m:t>X</m:t>
              </m:r>
            </m:e>
            <m:sub>
              <m:r>
                <m:t>t</m:t>
              </m:r>
            </m:sub>
          </m:sSub>
          <m:r>
            <m:rPr>
              <m:sty m:val="p"/>
            </m:rPr>
            <m:t>=</m:t>
          </m:r>
          <m:sSup>
            <m:e>
              <m:r>
                <m:t>X</m:t>
              </m:r>
            </m:e>
            <m:sup>
              <m:r>
                <m:t>π</m:t>
              </m:r>
            </m:sup>
          </m:sSup>
          <m:r>
            <m:rPr>
              <m:sty m:val="p"/>
            </m:rPr>
            <m:t>(</m:t>
          </m:r>
          <m:sSub>
            <m:e>
              <m:r>
                <m:t>S</m:t>
              </m:r>
            </m:e>
            <m:sub>
              <m:r>
                <m:t>t</m:t>
              </m:r>
            </m:sub>
          </m:sSub>
          <m:r>
            <m:rPr>
              <m:sty m:val="p"/>
            </m:rPr>
            <m:t>∣</m:t>
          </m:r>
          <m:r>
            <m:t>θ</m:t>
          </m:r>
          <m:r>
            <m:rPr>
              <m:sty m:val="p"/>
            </m:rPr>
            <m:t>)</m:t>
          </m:r>
        </m:oMath>
      </m:oMathPara>
    </w:p>
    <w:p>
      <w:pPr>
        <w:pStyle w:val="FirstParagraph"/>
      </w:pPr>
      <w:r>
        <w:t xml:space="preserve">where</w:t>
      </w:r>
      <w:r>
        <w:t xml:space="preserve"> </w:t>
      </w:r>
      <m:oMath>
        <m:r>
          <m:t>θ</m:t>
        </m:r>
      </m:oMath>
      <w:r>
        <w:t xml:space="preserve"> </w:t>
      </w:r>
      <w:r>
        <w:t xml:space="preserve">are tunable parameters and</w:t>
      </w:r>
      <w:r>
        <w:t xml:space="preserve"> </w:t>
      </w:r>
      <m:oMath>
        <m:r>
          <m:t>f</m:t>
        </m:r>
      </m:oMath>
      <w:r>
        <w:t xml:space="preserve"> </w:t>
      </w:r>
      <w:r>
        <w:t xml:space="preserve">is the function class. Searching for the best policy means searching over both</w:t>
      </w:r>
      <w:r>
        <w:t xml:space="preserve"> </w:t>
      </w:r>
      <m:oMath>
        <m:r>
          <m:t>f</m:t>
        </m:r>
        <m:r>
          <m:rPr>
            <m:sty m:val="p"/>
          </m:rPr>
          <m:t>∈</m:t>
        </m:r>
        <m:r>
          <m:t>F</m:t>
        </m:r>
      </m:oMath>
      <w:r>
        <w:t xml:space="preserve"> </w:t>
      </w:r>
      <w:r>
        <w:t xml:space="preserve">(the class of function) and</w:t>
      </w:r>
      <w:r>
        <w:t xml:space="preserve"> </w:t>
      </w:r>
      <m:oMath>
        <m:r>
          <m:t>θ</m:t>
        </m:r>
        <m:r>
          <m:rPr>
            <m:sty m:val="p"/>
          </m:rPr>
          <m:t>∈</m:t>
        </m:r>
        <m:r>
          <m:rPr>
            <m:sty m:val="p"/>
          </m:rPr>
          <m:t>Θ</m:t>
        </m:r>
      </m:oMath>
      <w:r>
        <w:t xml:space="preserve"> </w:t>
      </w:r>
      <w:r>
        <w:t xml:space="preserve">(the parameterisation within that class).</w:t>
      </w:r>
    </w:p>
    <w:p>
      <w:pPr>
        <w:pStyle w:val="BodyText"/>
      </w:pPr>
      <w:r>
        <w:t xml:space="preserve">The four classes are:</w:t>
      </w:r>
    </w:p>
    <w:p>
      <w:pPr>
        <w:pStyle w:val="BodyText"/>
      </w:pPr>
      <w:r>
        <w:rPr>
          <w:b/>
          <w:bCs/>
        </w:rPr>
        <w:t xml:space="preserve">1. Policy Function Approximations (PFAs)</w:t>
      </w:r>
      <w:r>
        <w:t xml:space="preserve"> </w:t>
      </w:r>
      <w:r>
        <w:t xml:space="preserve">Any analytical function that returns a decision directly from the state variable, without solving an embedded optimisation problem. Rule-based dispatch logic —</w:t>
      </w:r>
      <w:r>
        <w:t xml:space="preserve"> </w:t>
      </w:r>
      <w:r>
        <w:t xml:space="preserve">“run the base boiler first, then the peaking boiler”</w:t>
      </w:r>
      <w:r>
        <w:t xml:space="preserve"> </w:t>
      </w:r>
      <w:r>
        <w:t xml:space="preserve">— is a PFA. Proportional dispatch, as used in the DCM PoC, is a PFA parameterised by the capacity fractions.</w:t>
      </w:r>
    </w:p>
    <w:p>
      <w:pPr>
        <w:pStyle w:val="BodyText"/>
      </w:pPr>
      <w:r>
        <w:rPr>
          <w:b/>
          <w:bCs/>
        </w:rPr>
        <w:t xml:space="preserve">2. Cost Function Approximations (CFAs)</w:t>
      </w:r>
      <w:r>
        <w:t xml:space="preserve"> </w:t>
      </w:r>
      <w:r>
        <w:t xml:space="preserve">Parameterised versions of deterministic approximations that do not explicitly plan into the future. These modify the immediate cost function to produce better behaviour over time. A CFA is appropriate when the full stochastic programme is computationally intractable or when probabilities over futures cannot be specified — both conditions that apply in the DCM context.</w:t>
      </w:r>
    </w:p>
    <w:p>
      <w:pPr>
        <w:pStyle w:val="BodyText"/>
      </w:pPr>
      <w:r>
        <w:rPr>
          <w:b/>
          <w:bCs/>
        </w:rPr>
        <w:t xml:space="preserve">3. Value Function Approximations (VFAs)</w:t>
      </w:r>
      <w:r>
        <w:t xml:space="preserve"> </w:t>
      </w:r>
      <w:r>
        <w:t xml:space="preserve">These approximate Bellman’s value function, representing the expected future value of being in state</w:t>
      </w:r>
      <w:r>
        <w:t xml:space="preserve"> </w:t>
      </w:r>
      <m:oMath>
        <m:sSub>
          <m:e>
            <m:r>
              <m:t>S</m:t>
            </m:r>
          </m:e>
          <m:sub>
            <m:r>
              <m:t>t</m:t>
            </m:r>
          </m:sub>
        </m:sSub>
      </m:oMath>
      <w:r>
        <w:t xml:space="preserve">. VFAs are the domain of reinforcement learning and approximate dynamic programming. They are powerful for problems with large, well-characterised state spaces and available training data. In the DCM framework, VFAs become relevant as surrogate models (SM-2.3-A) that accelerate ensemble evaluation by approximating the dispatch module’s outputs without running full simulations.</w:t>
      </w:r>
    </w:p>
    <w:p>
      <w:pPr>
        <w:pStyle w:val="BodyText"/>
      </w:pPr>
      <w:r>
        <w:rPr>
          <w:b/>
          <w:bCs/>
        </w:rPr>
        <w:t xml:space="preserve">4. Direct Lookahead Approximations (DLAs)</w:t>
      </w:r>
      <w:r>
        <w:t xml:space="preserve"> </w:t>
      </w:r>
      <w:r>
        <w:t xml:space="preserve">These solve a deterministic or stochastic approximation of the decision problem over a finite horizon — the familiar rolling horizon procedure, parameterised to perform well under uncertainty. LP dispatch with a 24-hour or seasonal lookahead horizon is a DLA. Two-stage stochastic programming (Dantzig) is a DLA that explicitly represents one stage of future uncertainty.</w:t>
      </w:r>
    </w:p>
    <w:p>
      <w:pPr>
        <w:pStyle w:val="BodyText"/>
      </w:pPr>
      <w:r>
        <w:rPr>
          <w:b/>
          <w:bCs/>
        </w:rPr>
        <w:t xml:space="preserve">The DCM framework in Powell’s taxonomy</w:t>
      </w:r>
    </w:p>
    <w:p>
      <w:pPr>
        <w:pStyle w:val="BodyText"/>
      </w:pPr>
      <w:r>
        <w:t xml:space="preserve">The current DCM proof-of-concept uses a PFA (proportional dispatch) for computational tractability across 100 futures. The LP dispatch module is a single-period DLA. The surrogate acceleration pathway in SM-2.3-A moves toward VFA territory. Powell’s insight — that the policy class taxonomy produces better decisions than knowledge of any single method — is directly analogous to the DCM framework’s argument: understanding the decision structure produces better outcomes than optimising any single assumed future.</w:t>
      </w:r>
    </w:p>
    <w:p>
      <w:pPr>
        <w:pStyle w:val="BodyText"/>
      </w:pPr>
      <w:r>
        <w:rPr>
          <w:b/>
          <w:bCs/>
        </w:rPr>
        <w:t xml:space="preserve">The critical extension: deep uncertainty</w:t>
      </w:r>
    </w:p>
    <w:p>
      <w:pPr>
        <w:pStyle w:val="BodyText"/>
      </w:pPr>
      <w:r>
        <w:t xml:space="preserve">Powell’s unified formulation maximises expected cumulative contribution:</w:t>
      </w:r>
    </w:p>
    <w:p>
      <w:pPr>
        <w:pStyle w:val="BodyText"/>
      </w:pPr>
      <m:oMathPara>
        <m:oMathParaPr>
          <m:jc m:val="center"/>
        </m:oMathParaPr>
        <m:oMath>
          <m:limLow>
            <m:e>
              <m:r>
                <m:rPr>
                  <m:sty m:val="p"/>
                </m:rPr>
                <m:t>max</m:t>
              </m:r>
            </m:e>
            <m:lim>
              <m:r>
                <m:t>f</m:t>
              </m:r>
              <m:r>
                <m:rPr>
                  <m:sty m:val="p"/>
                </m:rPr>
                <m:t>∈</m:t>
              </m:r>
              <m:r>
                <m:t>F</m:t>
              </m:r>
            </m:lim>
          </m:limLow>
          <m:limLow>
            <m:e>
              <m:r>
                <m:rPr>
                  <m:sty m:val="p"/>
                </m:rPr>
                <m:t>max</m:t>
              </m:r>
            </m:e>
            <m:lim>
              <m:r>
                <m:t>θ</m:t>
              </m:r>
              <m:r>
                <m:rPr>
                  <m:sty m:val="p"/>
                </m:rPr>
                <m:t>∈</m:t>
              </m:r>
              <m:r>
                <m:rPr>
                  <m:sty m:val="p"/>
                </m:rPr>
                <m:t>Θ</m:t>
              </m:r>
            </m:lim>
          </m:limLow>
          <m:r>
            <m:rPr>
              <m:scr m:val="double-struck"/>
              <m:sty m:val="p"/>
            </m:rPr>
            <m:t>E</m:t>
          </m:r>
          <m:d>
            <m:dPr>
              <m:begChr m:val="["/>
              <m:sepChr m:val="|"/>
              <m:endChr m:val="]"/>
              <m:grow/>
            </m:dPr>
            <m:e>
              <m:nary>
                <m:naryPr>
                  <m:chr m:val="∑"/>
                  <m:limLoc m:val="undOvr"/>
                  <m:subHide m:val="off"/>
                  <m:supHide m:val="off"/>
                </m:naryPr>
                <m:sub>
                  <m:r>
                    <m:t>t</m:t>
                  </m:r>
                  <m:r>
                    <m:rPr>
                      <m:sty m:val="p"/>
                    </m:rPr>
                    <m:t>=</m:t>
                  </m:r>
                  <m:r>
                    <m:t>0</m:t>
                  </m:r>
                </m:sub>
                <m:sup>
                  <m:r>
                    <m:t>T</m:t>
                  </m:r>
                </m:sup>
                <m:e>
                  <m:sSub>
                    <m:e>
                      <m:r>
                        <m:t>C</m:t>
                      </m:r>
                    </m:e>
                    <m:sub>
                      <m:r>
                        <m:t>t</m:t>
                      </m:r>
                    </m:sub>
                  </m:sSub>
                </m:e>
              </m:nary>
              <m:r>
                <m:t>​</m:t>
              </m:r>
              <m:d>
                <m:dPr>
                  <m:begChr m:val="("/>
                  <m:sepChr m:val=""/>
                  <m:endChr m:val=")"/>
                  <m:grow/>
                </m:dPr>
                <m:e>
                  <m:sSub>
                    <m:e>
                      <m:r>
                        <m:t>S</m:t>
                      </m:r>
                    </m:e>
                    <m:sub>
                      <m:r>
                        <m:t>t</m:t>
                      </m:r>
                    </m:sub>
                  </m:sSub>
                  <m:r>
                    <m:rPr>
                      <m:sty m:val="p"/>
                    </m:rPr>
                    <m:t>,</m:t>
                  </m:r>
                  <m:sSup>
                    <m:e>
                      <m:r>
                        <m:t>X</m:t>
                      </m:r>
                    </m:e>
                    <m:sup>
                      <m:r>
                        <m:t>π</m:t>
                      </m:r>
                    </m:sup>
                  </m:sSup>
                  <m:r>
                    <m:rPr>
                      <m:sty m:val="p"/>
                    </m:rPr>
                    <m:t>(</m:t>
                  </m:r>
                  <m:sSub>
                    <m:e>
                      <m:r>
                        <m:t>S</m:t>
                      </m:r>
                    </m:e>
                    <m:sub>
                      <m:r>
                        <m:t>t</m:t>
                      </m:r>
                    </m:sub>
                  </m:sSub>
                  <m:r>
                    <m:rPr>
                      <m:sty m:val="p"/>
                    </m:rPr>
                    <m:t>|</m:t>
                  </m:r>
                  <m:r>
                    <m:t>θ</m:t>
                  </m:r>
                  <m:r>
                    <m:rPr>
                      <m:sty m:val="p"/>
                    </m:rPr>
                    <m:t>)</m:t>
                  </m:r>
                </m:e>
              </m:d>
            </m:e>
            <m:e>
              <m:sSub>
                <m:e>
                  <m:r>
                    <m:t>S</m:t>
                  </m:r>
                </m:e>
                <m:sub>
                  <m:r>
                    <m:t>0</m:t>
                  </m:r>
                </m:sub>
              </m:sSub>
            </m:e>
          </m:d>
        </m:oMath>
      </m:oMathPara>
    </w:p>
    <w:p>
      <w:pPr>
        <w:pStyle w:val="FirstParagraph"/>
      </w:pPr>
      <w:r>
        <w:t xml:space="preserve">The DCM framework is the appropriate generalisation for conditions where the expectation operator</w:t>
      </w:r>
      <w:r>
        <w:t xml:space="preserve"> </w:t>
      </w:r>
      <m:oMath>
        <m:r>
          <m:rPr>
            <m:scr m:val="double-struck"/>
            <m:sty m:val="p"/>
          </m:rPr>
          <m:t>E</m:t>
        </m:r>
        <m:r>
          <m:rPr>
            <m:sty m:val="p"/>
          </m:rPr>
          <m:t>[</m:t>
        </m:r>
        <m:r>
          <m:rPr>
            <m:sty m:val="p"/>
          </m:rPr>
          <m:t>⋅</m:t>
        </m:r>
        <m:r>
          <m:rPr>
            <m:sty m:val="p"/>
          </m:rPr>
          <m:t>]</m:t>
        </m:r>
      </m:oMath>
      <w:r>
        <w:t xml:space="preserve"> </w:t>
      </w:r>
      <w:r>
        <w:t xml:space="preserve">cannot be applied — because probabilities over futures are not available or not defensible. Under deep uncertainty, the expectation is replaced by the robustness, regret, and satisficing metrics defined in SM-1.2-A. Powell’s four policy classes apply in both regimes; only the evaluative standard changes.</w:t>
      </w:r>
    </w:p>
    <w:p>
      <w:pPr>
        <w:pStyle w:val="BodyText"/>
      </w:pPr>
      <w:r>
        <w:t xml:space="preserve">Linear programming minimises a linear objective function subject to linear inequality and equality constraints. The standard form is:</w:t>
      </w:r>
    </w:p>
    <w:p>
      <w:pPr>
        <w:pStyle w:val="BodyText"/>
      </w:pPr>
      <m:oMathPara>
        <m:oMathParaPr>
          <m:jc m:val="center"/>
        </m:oMathParaPr>
        <m:oMath>
          <m:limLow>
            <m:e>
              <m:r>
                <m:rPr>
                  <m:sty m:val="p"/>
                </m:rPr>
                <m:t>min</m:t>
              </m:r>
            </m:e>
            <m:lim>
              <m:r>
                <m:t>x</m:t>
              </m:r>
            </m:lim>
          </m:limLow>
          <m:r>
            <m:t> </m:t>
          </m:r>
          <m:sSup>
            <m:e>
              <m:r>
                <m:t>c</m:t>
              </m:r>
            </m:e>
            <m:sup>
              <m:r>
                <m:rPr>
                  <m:sty m:val="p"/>
                </m:rPr>
                <m:t>⊤</m:t>
              </m:r>
            </m:sup>
          </m:sSup>
          <m:r>
            <m:t>x</m:t>
          </m:r>
          <m:r>
            <m:t> </m:t>
          </m:r>
          <m:r>
            <m:rPr>
              <m:nor/>
              <m:sty m:val="p"/>
            </m:rPr>
            <m:t>subject to</m:t>
          </m:r>
          <m:r>
            <m:t> </m:t>
          </m:r>
          <m:r>
            <m:t>A</m:t>
          </m:r>
          <m:r>
            <m:t>x</m:t>
          </m:r>
          <m:r>
            <m:rPr>
              <m:sty m:val="p"/>
            </m:rPr>
            <m:t>≤</m:t>
          </m:r>
          <m:r>
            <m:t>b</m:t>
          </m:r>
          <m:r>
            <m:rPr>
              <m:sty m:val="p"/>
            </m:rPr>
            <m:t>,</m:t>
          </m:r>
          <m:r>
            <m:t> </m:t>
          </m:r>
          <m:r>
            <m:t>x</m:t>
          </m:r>
          <m:r>
            <m:rPr>
              <m:sty m:val="p"/>
            </m:rPr>
            <m:t>≥</m:t>
          </m:r>
          <m:r>
            <m:t>0</m:t>
          </m:r>
        </m:oMath>
      </m:oMathPara>
    </w:p>
    <w:p>
      <w:pPr>
        <w:pStyle w:val="FirstParagraph"/>
      </w:pPr>
      <w:r>
        <w:t xml:space="preserve">where</w:t>
      </w:r>
      <w:r>
        <w:t xml:space="preserve"> </w:t>
      </w:r>
      <m:oMath>
        <m:r>
          <m:t>x</m:t>
        </m:r>
        <m:r>
          <m:rPr>
            <m:sty m:val="p"/>
          </m:rPr>
          <m:t>∈</m:t>
        </m:r>
        <m:sSup>
          <m:e>
            <m:r>
              <m:rPr>
                <m:scr m:val="double-struck"/>
                <m:sty m:val="p"/>
              </m:rPr>
              <m:t>R</m:t>
            </m:r>
          </m:e>
          <m:sup>
            <m:r>
              <m:t>n</m:t>
            </m:r>
          </m:sup>
        </m:sSup>
      </m:oMath>
      <w:r>
        <w:t xml:space="preserve"> </w:t>
      </w:r>
      <w:r>
        <w:t xml:space="preserve">is the vector of decision variables,</w:t>
      </w:r>
      <w:r>
        <w:t xml:space="preserve"> </w:t>
      </w:r>
      <m:oMath>
        <m:r>
          <m:t>c</m:t>
        </m:r>
      </m:oMath>
      <w:r>
        <w:t xml:space="preserve"> </w:t>
      </w:r>
      <w:r>
        <w:t xml:space="preserve">is the cost vector, and</w:t>
      </w:r>
      <w:r>
        <w:t xml:space="preserve"> </w:t>
      </w:r>
      <m:oMath>
        <m:r>
          <m:t>A</m:t>
        </m:r>
      </m:oMath>
      <w:r>
        <w:t xml:space="preserve">,</w:t>
      </w:r>
      <w:r>
        <w:t xml:space="preserve"> </w:t>
      </w:r>
      <m:oMath>
        <m:r>
          <m:t>b</m:t>
        </m:r>
      </m:oMath>
      <w:r>
        <w:t xml:space="preserve"> </w:t>
      </w:r>
      <w:r>
        <w:t xml:space="preserve">define the constraint set. The LP dual provides shadow prices for each binding constraint, which in an electricity network context correspond to the nodal marginal prices and congestion rents that inform the SignalsPack fields. A PyPSA LP optimisation of the regional electricity network under a specific future produces, among other outputs, the nodal marginal price at the Edendale GXP, the line loading fractions that indicate whether congestion is occurring, and the system adequacy margin. These outputs are post-processed into the SignalsPack fields: the feasibility indicator, the upgrade class, the cost adder, and the scarcity index.</w:t>
      </w:r>
    </w:p>
    <w:p>
      <w:pPr>
        <w:pStyle w:val="BodyText"/>
      </w:pPr>
      <w:r>
        <w:t xml:space="preserve">Mixed-integer programming extends LP by allowing some decision variables to take integer or binary values:</w:t>
      </w:r>
    </w:p>
    <w:p>
      <w:pPr>
        <w:pStyle w:val="BodyText"/>
      </w:pPr>
      <m:oMathPara>
        <m:oMathParaPr>
          <m:jc m:val="center"/>
        </m:oMathParaPr>
        <m:oMath>
          <m:limLow>
            <m:e>
              <m:r>
                <m:rPr>
                  <m:sty m:val="p"/>
                </m:rPr>
                <m:t>min</m:t>
              </m:r>
            </m:e>
            <m:lim>
              <m:r>
                <m:t>x</m:t>
              </m:r>
              <m:r>
                <m:rPr>
                  <m:sty m:val="p"/>
                </m:rPr>
                <m:t>,</m:t>
              </m:r>
              <m:r>
                <m:t>y</m:t>
              </m:r>
            </m:lim>
          </m:limLow>
          <m:r>
            <m:t> </m:t>
          </m:r>
          <m:sSup>
            <m:e>
              <m:r>
                <m:t>c</m:t>
              </m:r>
            </m:e>
            <m:sup>
              <m:r>
                <m:rPr>
                  <m:sty m:val="p"/>
                </m:rPr>
                <m:t>⊤</m:t>
              </m:r>
            </m:sup>
          </m:sSup>
          <m:r>
            <m:t>x</m:t>
          </m:r>
          <m:r>
            <m:rPr>
              <m:sty m:val="p"/>
            </m:rPr>
            <m:t>+</m:t>
          </m:r>
          <m:sSup>
            <m:e>
              <m:r>
                <m:t>d</m:t>
              </m:r>
            </m:e>
            <m:sup>
              <m:r>
                <m:rPr>
                  <m:sty m:val="p"/>
                </m:rPr>
                <m:t>⊤</m:t>
              </m:r>
            </m:sup>
          </m:sSup>
          <m:r>
            <m:t>y</m:t>
          </m:r>
          <m:r>
            <m:t> </m:t>
          </m:r>
          <m:r>
            <m:rPr>
              <m:nor/>
              <m:sty m:val="p"/>
            </m:rPr>
            <m:t>subject to</m:t>
          </m:r>
          <m:r>
            <m:t> </m:t>
          </m:r>
          <m:r>
            <m:t>A</m:t>
          </m:r>
          <m:r>
            <m:t>x</m:t>
          </m:r>
          <m:r>
            <m:rPr>
              <m:sty m:val="p"/>
            </m:rPr>
            <m:t>+</m:t>
          </m:r>
          <m:r>
            <m:t>B</m:t>
          </m:r>
          <m:r>
            <m:t>y</m:t>
          </m:r>
          <m:r>
            <m:rPr>
              <m:sty m:val="p"/>
            </m:rPr>
            <m:t>≤</m:t>
          </m:r>
          <m:r>
            <m:t>b</m:t>
          </m:r>
          <m:r>
            <m:rPr>
              <m:sty m:val="p"/>
            </m:rPr>
            <m:t>,</m:t>
          </m:r>
          <m:r>
            <m:t> </m:t>
          </m:r>
          <m:r>
            <m:t>x</m:t>
          </m:r>
          <m:r>
            <m:rPr>
              <m:sty m:val="p"/>
            </m:rPr>
            <m:t>≥</m:t>
          </m:r>
          <m:r>
            <m:t>0</m:t>
          </m:r>
          <m:r>
            <m:rPr>
              <m:sty m:val="p"/>
            </m:rPr>
            <m:t>,</m:t>
          </m:r>
          <m:r>
            <m:t> </m:t>
          </m:r>
          <m:r>
            <m:t>y</m:t>
          </m:r>
          <m:r>
            <m:rPr>
              <m:sty m:val="p"/>
            </m:rPr>
            <m:t>∈</m:t>
          </m:r>
          <m:r>
            <m:rPr>
              <m:sty m:val="p"/>
            </m:rPr>
            <m:t>{</m:t>
          </m:r>
          <m:r>
            <m:t>0</m:t>
          </m:r>
          <m:r>
            <m:rPr>
              <m:sty m:val="p"/>
            </m:rPr>
            <m:t>,</m:t>
          </m:r>
          <m:r>
            <m:t>1</m:t>
          </m:r>
          <m:sSup>
            <m:e>
              <m:r>
                <m:rPr>
                  <m:sty m:val="p"/>
                </m:rPr>
                <m:t>}</m:t>
              </m:r>
            </m:e>
            <m:sup>
              <m:r>
                <m:t>m</m:t>
              </m:r>
            </m:sup>
          </m:sSup>
        </m:oMath>
      </m:oMathPara>
    </w:p>
    <w:p>
      <w:pPr>
        <w:pStyle w:val="FirstParagraph"/>
      </w:pPr>
      <w:r>
        <w:t xml:space="preserve">where</w:t>
      </w:r>
      <w:r>
        <w:t xml:space="preserve"> </w:t>
      </w:r>
      <m:oMath>
        <m:r>
          <m:t>y</m:t>
        </m:r>
      </m:oMath>
      <w:r>
        <w:t xml:space="preserve"> </w:t>
      </w:r>
      <w:r>
        <w:t xml:space="preserve">represents binary commitment decisions. MILP is appropriate for the unit-commitment logic in the site dispatch module, where each boiler or electric boiler unit is either committed or not in a given scheduling block, and for the upgrade option selection in the grid RDM evaluation, where each upgrade option is either installed or not.</w:t>
      </w:r>
    </w:p>
    <w:p>
      <w:pPr>
        <w:pStyle w:val="BodyText"/>
      </w:pPr>
      <w:r>
        <w:t xml:space="preserve">Two-stage stochastic programming adds an explicit probabilistic structure to LP or MILP. The first stage makes here-and-now decisions</w:t>
      </w:r>
      <w:r>
        <w:t xml:space="preserve"> </w:t>
      </w:r>
      <m:oMath>
        <m:r>
          <m:t>x</m:t>
        </m:r>
      </m:oMath>
      <w:r>
        <w:t xml:space="preserve"> </w:t>
      </w:r>
      <w:r>
        <w:t xml:space="preserve">before uncertainty is resolved; the second stage makes recourse decisions</w:t>
      </w:r>
      <w:r>
        <w:t xml:space="preserve"> </w:t>
      </w:r>
      <m:oMath>
        <m:r>
          <m:t>y</m:t>
        </m:r>
        <m:r>
          <m:rPr>
            <m:sty m:val="p"/>
          </m:rPr>
          <m:t>(</m:t>
        </m:r>
        <m:r>
          <m:t>ω</m:t>
        </m:r>
        <m:r>
          <m:rPr>
            <m:sty m:val="p"/>
          </m:rPr>
          <m:t>)</m:t>
        </m:r>
      </m:oMath>
      <w:r>
        <w:t xml:space="preserve"> </w:t>
      </w:r>
      <w:r>
        <w:t xml:space="preserve">after scenario</w:t>
      </w:r>
      <w:r>
        <w:t xml:space="preserve"> </w:t>
      </w:r>
      <m:oMath>
        <m:r>
          <m:t>ω</m:t>
        </m:r>
      </m:oMath>
      <w:r>
        <w:t xml:space="preserve"> </w:t>
      </w:r>
      <w:r>
        <w:t xml:space="preserve">is realised:</w:t>
      </w:r>
    </w:p>
    <w:p>
      <w:pPr>
        <w:pStyle w:val="BodyText"/>
      </w:pPr>
      <m:oMathPara>
        <m:oMathParaPr>
          <m:jc m:val="center"/>
        </m:oMathParaPr>
        <m:oMath>
          <m:limLow>
            <m:e>
              <m:r>
                <m:rPr>
                  <m:sty m:val="p"/>
                </m:rPr>
                <m:t>min</m:t>
              </m:r>
            </m:e>
            <m:lim>
              <m:r>
                <m:t>x</m:t>
              </m:r>
            </m:lim>
          </m:limLow>
          <m:r>
            <m:t> </m:t>
          </m:r>
          <m:sSup>
            <m:e>
              <m:r>
                <m:t>c</m:t>
              </m:r>
            </m:e>
            <m:sup>
              <m:r>
                <m:rPr>
                  <m:sty m:val="p"/>
                </m:rPr>
                <m:t>⊤</m:t>
              </m:r>
            </m:sup>
          </m:sSup>
          <m:r>
            <m:t>x</m:t>
          </m:r>
          <m:r>
            <m:rPr>
              <m:sty m:val="p"/>
            </m:rPr>
            <m:t>+</m:t>
          </m:r>
          <m:sSub>
            <m:e>
              <m:r>
                <m:rPr>
                  <m:scr m:val="double-struck"/>
                  <m:sty m:val="p"/>
                </m:rPr>
                <m:t>E</m:t>
              </m:r>
            </m:e>
            <m:sub>
              <m:r>
                <m:t>ω</m:t>
              </m:r>
            </m:sub>
          </m:sSub>
          <m:r>
            <m:rPr>
              <m:sty m:val="p"/>
            </m:rPr>
            <m:t>[</m:t>
          </m:r>
          <m:r>
            <m:t>Q</m:t>
          </m:r>
          <m:r>
            <m:rPr>
              <m:sty m:val="p"/>
            </m:rPr>
            <m:t>(</m:t>
          </m:r>
          <m:r>
            <m:t>x</m:t>
          </m:r>
          <m:r>
            <m:rPr>
              <m:sty m:val="p"/>
            </m:rPr>
            <m:t>,</m:t>
          </m:r>
          <m:r>
            <m:t>ω</m:t>
          </m:r>
          <m:r>
            <m:rPr>
              <m:sty m:val="p"/>
            </m:rPr>
            <m:t>)</m:t>
          </m:r>
          <m:r>
            <m:rPr>
              <m:sty m:val="p"/>
            </m:rPr>
            <m:t>]</m:t>
          </m:r>
          <m:r>
            <m:t> </m:t>
          </m:r>
          <m:r>
            <m:rPr>
              <m:nor/>
              <m:sty m:val="p"/>
            </m:rPr>
            <m:t>subject to</m:t>
          </m:r>
          <m:r>
            <m:t> </m:t>
          </m:r>
          <m:r>
            <m:t>A</m:t>
          </m:r>
          <m:r>
            <m:t>x</m:t>
          </m:r>
          <m:r>
            <m:rPr>
              <m:sty m:val="p"/>
            </m:rPr>
            <m:t>≤</m:t>
          </m:r>
          <m:r>
            <m:t>b</m:t>
          </m:r>
          <m:r>
            <m:rPr>
              <m:sty m:val="p"/>
            </m:rPr>
            <m:t>,</m:t>
          </m:r>
          <m:r>
            <m:t> </m:t>
          </m:r>
          <m:r>
            <m:t>x</m:t>
          </m:r>
          <m:r>
            <m:rPr>
              <m:sty m:val="p"/>
            </m:rPr>
            <m:t>≥</m:t>
          </m:r>
          <m:r>
            <m:t>0</m:t>
          </m:r>
        </m:oMath>
      </m:oMathPara>
    </w:p>
    <w:p>
      <w:pPr>
        <w:pStyle w:val="FirstParagraph"/>
      </w:pPr>
      <w:r>
        <w:t xml:space="preserve">where</w:t>
      </w:r>
      <w:r>
        <w:t xml:space="preserve"> </w:t>
      </w:r>
      <m:oMath>
        <m:r>
          <m:t>Q</m:t>
        </m:r>
        <m:r>
          <m:rPr>
            <m:sty m:val="p"/>
          </m:rPr>
          <m:t>(</m:t>
        </m:r>
        <m:r>
          <m:t>x</m:t>
        </m:r>
        <m:r>
          <m:rPr>
            <m:sty m:val="p"/>
          </m:rPr>
          <m:t>,</m:t>
        </m:r>
        <m:r>
          <m:t>ω</m:t>
        </m:r>
        <m:r>
          <m:rPr>
            <m:sty m:val="p"/>
          </m:rPr>
          <m:t>)</m:t>
        </m:r>
        <m:r>
          <m:rPr>
            <m:sty m:val="p"/>
          </m:rPr>
          <m:t>=</m:t>
        </m:r>
        <m:sSub>
          <m:e>
            <m:r>
              <m:rPr>
                <m:sty m:val="p"/>
              </m:rPr>
              <m:t>min</m:t>
            </m:r>
          </m:e>
          <m:sub>
            <m:r>
              <m:t>y</m:t>
            </m:r>
          </m:sub>
        </m:sSub>
        <m:r>
          <m:rPr>
            <m:sty m:val="p"/>
          </m:rPr>
          <m:t>{</m:t>
        </m:r>
        <m:r>
          <m:t>q</m:t>
        </m:r>
        <m:r>
          <m:rPr>
            <m:sty m:val="p"/>
          </m:rPr>
          <m:t>(</m:t>
        </m:r>
        <m:r>
          <m:t>ω</m:t>
        </m:r>
        <m:sSup>
          <m:e>
            <m:r>
              <m:rPr>
                <m:sty m:val="p"/>
              </m:rPr>
              <m:t>)</m:t>
            </m:r>
          </m:e>
          <m:sup>
            <m:r>
              <m:rPr>
                <m:sty m:val="p"/>
              </m:rPr>
              <m:t>⊤</m:t>
            </m:r>
          </m:sup>
        </m:sSup>
        <m:r>
          <m:t>y</m:t>
        </m:r>
        <m:r>
          <m:rPr>
            <m:sty m:val="p"/>
          </m:rPr>
          <m:t>:</m:t>
        </m:r>
        <m:r>
          <m:t>T</m:t>
        </m:r>
        <m:r>
          <m:rPr>
            <m:sty m:val="p"/>
          </m:rPr>
          <m:t>(</m:t>
        </m:r>
        <m:r>
          <m:t>ω</m:t>
        </m:r>
        <m:r>
          <m:rPr>
            <m:sty m:val="p"/>
          </m:rPr>
          <m:t>)</m:t>
        </m:r>
        <m:r>
          <m:t>x</m:t>
        </m:r>
        <m:r>
          <m:rPr>
            <m:sty m:val="p"/>
          </m:rPr>
          <m:t>+</m:t>
        </m:r>
        <m:r>
          <m:t>W</m:t>
        </m:r>
        <m:r>
          <m:t>y</m:t>
        </m:r>
        <m:r>
          <m:rPr>
            <m:sty m:val="p"/>
          </m:rPr>
          <m:t>≥</m:t>
        </m:r>
        <m:r>
          <m:t>h</m:t>
        </m:r>
        <m:r>
          <m:rPr>
            <m:sty m:val="p"/>
          </m:rPr>
          <m:t>(</m:t>
        </m:r>
        <m:r>
          <m:t>ω</m:t>
        </m:r>
        <m:r>
          <m:rPr>
            <m:sty m:val="p"/>
          </m:rPr>
          <m:t>)</m:t>
        </m:r>
        <m:r>
          <m:rPr>
            <m:sty m:val="p"/>
          </m:rPr>
          <m:t>}</m:t>
        </m:r>
      </m:oMath>
      <w:r>
        <w:t xml:space="preserve"> </w:t>
      </w:r>
      <w:r>
        <w:t xml:space="preserve">is the recourse cost. Two-stage stochastic programming is appropriate for near-term operational decisions within a module where a meaningful probability distribution over scenarios can be constructed. It is not appropriate for the outer DMDU ensemble, which operates under deep uncertainty where such distributions are contested.</w:t>
      </w:r>
    </w:p>
    <w:p>
      <w:pPr>
        <w:pStyle w:val="BodyText"/>
      </w:pPr>
      <w:r>
        <w:t xml:space="preserve">Table SM-2.2-A: Optimisation classes and their roles in the framework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Formal structure</w:t>
            </w:r>
          </w:p>
        </w:tc>
        <w:tc>
          <w:tcPr/>
          <w:p>
            <w:pPr>
              <w:pStyle w:val="Compact"/>
            </w:pPr>
            <w:r>
              <w:t xml:space="preserve">Uncertainty type handled</w:t>
            </w:r>
          </w:p>
        </w:tc>
        <w:tc>
          <w:tcPr/>
          <w:p>
            <w:pPr>
              <w:pStyle w:val="Compact"/>
            </w:pPr>
            <w:r>
              <w:t xml:space="preserve">Example role in framework</w:t>
            </w:r>
          </w:p>
        </w:tc>
        <w:tc>
          <w:tcPr/>
          <w:p>
            <w:pPr>
              <w:pStyle w:val="Compact"/>
            </w:pPr>
            <w:r>
              <w:t xml:space="preserve">Primary limitation in this context</w:t>
            </w:r>
          </w:p>
        </w:tc>
      </w:tr>
      <w:tr>
        <w:tc>
          <w:tcPr/>
          <w:p>
            <w:pPr>
              <w:pStyle w:val="Compact"/>
            </w:pPr>
            <w:r>
              <w:t xml:space="preserve">LP</w:t>
            </w:r>
          </w:p>
        </w:tc>
        <w:tc>
          <w:tcPr/>
          <w:p>
            <w:pPr>
              <w:pStyle w:val="Compact"/>
            </w:pPr>
            <w:r>
              <w:t xml:space="preserve">Linear objective, linear constraints, continuous variables</w:t>
            </w:r>
          </w:p>
        </w:tc>
        <w:tc>
          <w:tcPr/>
          <w:p>
            <w:pPr>
              <w:pStyle w:val="Compact"/>
            </w:pPr>
            <w:r>
              <w:t xml:space="preserve">None (deterministic given future)</w:t>
            </w:r>
          </w:p>
        </w:tc>
        <w:tc>
          <w:tcPr/>
          <w:p>
            <w:pPr>
              <w:pStyle w:val="Compact"/>
            </w:pPr>
            <w:r>
              <w:t xml:space="preserve">Regional electricity dispatch; GXP adequacy screening</w:t>
            </w:r>
          </w:p>
        </w:tc>
        <w:tc>
          <w:tcPr/>
          <w:p>
            <w:pPr>
              <w:pStyle w:val="Compact"/>
            </w:pPr>
            <w:r>
              <w:t xml:space="preserve">Cannot represent discrete commitments; no structural uncertainty</w:t>
            </w:r>
          </w:p>
        </w:tc>
      </w:tr>
      <w:tr>
        <w:tc>
          <w:tcPr/>
          <w:p>
            <w:pPr>
              <w:pStyle w:val="Compact"/>
            </w:pPr>
            <w:r>
              <w:t xml:space="preserve">MILP</w:t>
            </w:r>
          </w:p>
        </w:tc>
        <w:tc>
          <w:tcPr/>
          <w:p>
            <w:pPr>
              <w:pStyle w:val="Compact"/>
            </w:pPr>
            <w:r>
              <w:t xml:space="preserve">LP with binary/integer variables</w:t>
            </w:r>
          </w:p>
        </w:tc>
        <w:tc>
          <w:tcPr/>
          <w:p>
            <w:pPr>
              <w:pStyle w:val="Compact"/>
            </w:pPr>
            <w:r>
              <w:t xml:space="preserve">None (deterministic given future)</w:t>
            </w:r>
          </w:p>
        </w:tc>
        <w:tc>
          <w:tcPr/>
          <w:p>
            <w:pPr>
              <w:pStyle w:val="Compact"/>
            </w:pPr>
            <w:r>
              <w:t xml:space="preserve">Site unit commitment; upgrade option selection in grid RDM</w:t>
            </w:r>
          </w:p>
        </w:tc>
        <w:tc>
          <w:tcPr/>
          <w:p>
            <w:pPr>
              <w:pStyle w:val="Compact"/>
            </w:pPr>
            <w:r>
              <w:t xml:space="preserve">Computationally expensive at scale; no structural uncertainty</w:t>
            </w:r>
          </w:p>
        </w:tc>
      </w:tr>
      <w:tr>
        <w:tc>
          <w:tcPr/>
          <w:p>
            <w:pPr>
              <w:pStyle w:val="Compact"/>
            </w:pPr>
            <w:r>
              <w:t xml:space="preserve">Two-stage stochastic</w:t>
            </w:r>
          </w:p>
        </w:tc>
        <w:tc>
          <w:tcPr/>
          <w:p>
            <w:pPr>
              <w:pStyle w:val="Compact"/>
            </w:pPr>
            <w:r>
              <w:t xml:space="preserve">MILP or LP with scenario-weighted recourse</w:t>
            </w:r>
          </w:p>
        </w:tc>
        <w:tc>
          <w:tcPr/>
          <w:p>
            <w:pPr>
              <w:pStyle w:val="Compact"/>
            </w:pPr>
            <w:r>
              <w:t xml:space="preserve">Parametric, probabilistic</w:t>
            </w:r>
          </w:p>
        </w:tc>
        <w:tc>
          <w:tcPr/>
          <w:p>
            <w:pPr>
              <w:pStyle w:val="Compact"/>
            </w:pPr>
            <w:r>
              <w:t xml:space="preserve">Operational scheduling with known demand variability</w:t>
            </w:r>
          </w:p>
        </w:tc>
        <w:tc>
          <w:tcPr/>
          <w:p>
            <w:pPr>
              <w:pStyle w:val="Compact"/>
            </w:pPr>
            <w:r>
              <w:t xml:space="preserve">Requires probability distribution; not suitable for deep uncertainty in outer ensemble</w:t>
            </w:r>
          </w:p>
        </w:tc>
      </w:tr>
      <w:tr>
        <w:tc>
          <w:tcPr/>
          <w:p>
            <w:pPr>
              <w:pStyle w:val="Compact"/>
            </w:pPr>
            <w:r>
              <w:t xml:space="preserve">Outer DMDU ensemble</w:t>
            </w:r>
          </w:p>
        </w:tc>
        <w:tc>
          <w:tcPr/>
          <w:p>
            <w:pPr>
              <w:pStyle w:val="Compact"/>
            </w:pPr>
            <w:r>
              <w:t xml:space="preserve">Any inner optimisation across paired futures</w:t>
            </w:r>
          </w:p>
        </w:tc>
        <w:tc>
          <w:tcPr/>
          <w:p>
            <w:pPr>
              <w:pStyle w:val="Compact"/>
            </w:pPr>
            <w:r>
              <w:t xml:space="preserve">Structural, deep</w:t>
            </w:r>
          </w:p>
        </w:tc>
        <w:tc>
          <w:tcPr/>
          <w:p>
            <w:pPr>
              <w:pStyle w:val="Compact"/>
            </w:pPr>
            <w:r>
              <w:t xml:space="preserve">Full pathway comparison across 64 futures</w:t>
            </w:r>
          </w:p>
        </w:tc>
        <w:tc>
          <w:tcPr/>
          <w:p>
            <w:pPr>
              <w:pStyle w:val="Compact"/>
            </w:pPr>
            <w:r>
              <w:t xml:space="preserve">Not a single optimisation — requires the architecture of Modules 3 and 6</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tip.png" id="154"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Connection: Powell and the DMDU Tradition</w:t>
            </w:r>
          </w:p>
        </w:tc>
      </w:tr>
      <w:tr>
        <w:trPr>
          <w:cantSplit/>
        </w:trPr>
        <w:tc>
          <w:tcPr>
            <w:tcMar>
              <w:top w:w="108" w:type="dxa"/>
              <w:bottom w:w="108" w:type="dxa"/>
            </w:tcMar>
          </w:tcPr>
          <w:p>
            <w:pPr>
              <w:pStyle w:val="BodyText"/>
            </w:pPr>
            <w:pPr>
              <w:spacing w:before="16" w:after="16"/>
            </w:pPr>
            <w:r>
              <w:t xml:space="preserve">Powell’s framework originates in stochastic optimisation — a domain where probability distributions over futures are assumed available. The DMDU tradition (Lempert, Walker, Kwakkel) addresses the case where they are not. The DCM framework bridges the two: it uses Powell’s policy class taxonomy to structure the analytical choices, and the DMDU evaluative standards (regret, robustness, satisficing) to replace expected value when probabilities cannot be specified. See SM-1.4-A for the intellectual lineage and SM-1.2-A for the formal definitions.</w:t>
            </w:r>
          </w:p>
          <w:p/>
        </w:tc>
      </w:tr>
    </w:tbl>
    <w:bookmarkEnd w:id="155"/>
    <w:bookmarkEnd w:id="156"/>
    <w:bookmarkEnd w:id="157"/>
    <w:bookmarkStart w:id="159" w:name="sub-module-2.3-a"/>
    <w:p>
      <w:pPr>
        <w:pStyle w:val="Heading1"/>
      </w:pPr>
      <w:r>
        <w:t xml:space="preserve">21. Sub-Module 2.3-A</w:t>
      </w:r>
    </w:p>
    <w:p>
      <w:pPr>
        <w:pStyle w:val="FirstParagraph"/>
      </w:pPr>
      <w:r>
        <w:t xml:space="preserve">Decision-Ranking Preservation, Validation Protocol</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SM-2.3-A: Decision-Ranking Preservation, Validation Protocol</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§2.3</w:t>
                  </w:r>
                </w:p>
              </w:tc>
            </w:tr>
            <w:tr>
              <w:tc>
                <w:tcPr/>
                <w:p>
                  <w:pPr>
                    <w:pStyle w:val="Compact"/>
                  </w:pPr>
                  <w:r>
                    <w:rPr>
                      <w:b/>
                      <w:bCs/>
                    </w:rPr>
                    <w:t xml:space="preserve">Contributes</w:t>
                  </w:r>
                </w:p>
              </w:tc>
              <w:tc>
                <w:tcPr/>
                <w:p>
                  <w:pPr>
                    <w:pStyle w:val="Compact"/>
                  </w:pPr>
                  <w:r>
                    <w:t xml:space="preserve">Formal definition of the decision-ranking preservation criterion, the validation workflow, confidence scoring logic, and active learning protocol for surrogate development</w:t>
                  </w:r>
                </w:p>
              </w:tc>
            </w:tr>
            <w:tr>
              <w:tc>
                <w:tcPr/>
                <w:p>
                  <w:pPr>
                    <w:pStyle w:val="Compact"/>
                  </w:pPr>
                  <w:r>
                    <w:rPr>
                      <w:b/>
                      <w:bCs/>
                    </w:rPr>
                    <w:t xml:space="preserve">Skip condition</w:t>
                  </w:r>
                </w:p>
              </w:tc>
              <w:tc>
                <w:tcPr/>
                <w:p>
                  <w:pPr>
                    <w:pStyle w:val="Compact"/>
                  </w:pPr>
                  <w:r>
                    <w:t xml:space="preserve">Skip if surrogate validation approach is already known; process in full when implementing a surrogate module</w:t>
                  </w:r>
                </w:p>
              </w:tc>
            </w:tr>
            <w:tr>
              <w:tc>
                <w:tcPr/>
                <w:p>
                  <w:pPr>
                    <w:pStyle w:val="Compact"/>
                  </w:pPr>
                  <w:r>
                    <w:rPr>
                      <w:b/>
                      <w:bCs/>
                    </w:rPr>
                    <w:t xml:space="preserve">Passes to</w:t>
                  </w:r>
                </w:p>
              </w:tc>
              <w:tc>
                <w:tcPr/>
                <w:p>
                  <w:pPr>
                    <w:pStyle w:val="Compact"/>
                  </w:pPr>
                  <w:r>
                    <w:t xml:space="preserve">§2.4, SM-6.6-E</w:t>
                  </w:r>
                </w:p>
              </w:tc>
            </w:tr>
            <w:tr>
              <w:tc>
                <w:tcPr/>
                <w:p>
                  <w:pPr>
                    <w:pStyle w:val="Compact"/>
                  </w:pPr>
                  <w:r>
                    <w:rPr>
                      <w:b/>
                      <w:bCs/>
                    </w:rPr>
                    <w:t xml:space="preserve">Sub-Modules here</w:t>
                  </w:r>
                </w:p>
              </w:tc>
              <w:tc>
                <w:tcPr/>
                <w:p>
                  <w:pPr>
                    <w:pStyle w:val="Compact"/>
                  </w:pPr>
                  <w:r>
                    <w:t xml:space="preserve">None</w:t>
                  </w:r>
                </w:p>
              </w:tc>
            </w:tr>
          </w:tbl>
          <w:p/>
        </w:tc>
      </w:tr>
    </w:tbl>
    <w:bookmarkStart w:id="158" w:name="Xf4dcb1b9653718fc64eea4841368d22cd062c52"/>
    <w:p>
      <w:pPr>
        <w:pStyle w:val="Heading2"/>
      </w:pPr>
      <w:r>
        <w:t xml:space="preserve">21.1 SM-2.3-A: Decision-Ranking Preservation, Validation Protocol</w:t>
      </w:r>
    </w:p>
    <w:p>
      <w:pPr>
        <w:pStyle w:val="FirstParagraph"/>
      </w:pPr>
      <w:r>
        <w:t xml:space="preserve">Formal definition. Let</w:t>
      </w:r>
      <w:r>
        <w:t xml:space="preserve"> </w:t>
      </w:r>
      <m:oMath>
        <m:acc>
          <m:accPr>
            <m:chr m:val="̂"/>
          </m:accPr>
          <m:e>
            <m:r>
              <m:t>f</m:t>
            </m:r>
          </m:e>
        </m:acc>
        <m:r>
          <m:rPr>
            <m:sty m:val="p"/>
          </m:rPr>
          <m:t>(</m:t>
        </m:r>
        <m:r>
          <m:rPr>
            <m:sty m:val="p"/>
          </m:rPr>
          <m:t>⋅</m:t>
        </m:r>
        <m:r>
          <m:rPr>
            <m:sty m:val="p"/>
          </m:rPr>
          <m:t>)</m:t>
        </m:r>
      </m:oMath>
      <w:r>
        <w:t xml:space="preserve"> </w:t>
      </w:r>
      <w:r>
        <w:t xml:space="preserve">denote a trained surrogate of a full model</w:t>
      </w:r>
      <w:r>
        <w:t xml:space="preserve"> </w:t>
      </w:r>
      <m:oMath>
        <m:r>
          <m:t>f</m:t>
        </m:r>
        <m:r>
          <m:rPr>
            <m:sty m:val="p"/>
          </m:rPr>
          <m:t>(</m:t>
        </m:r>
        <m:r>
          <m:rPr>
            <m:sty m:val="p"/>
          </m:rPr>
          <m:t>⋅</m:t>
        </m:r>
        <m:r>
          <m:rPr>
            <m:sty m:val="p"/>
          </m:rPr>
          <m:t>)</m:t>
        </m:r>
      </m:oMath>
      <w:r>
        <w:t xml:space="preserve">, and let</w:t>
      </w:r>
      <w:r>
        <w:t xml:space="preserve"> </w:t>
      </w:r>
      <m:oMath>
        <m:sSub>
          <m:e>
            <m:r>
              <m:rPr>
                <m:sty m:val="p"/>
              </m:rPr>
              <m:t>Ω</m:t>
            </m:r>
          </m:e>
          <m:sub>
            <m:r>
              <m:rPr>
                <m:nor/>
                <m:sty m:val="p"/>
              </m:rPr>
              <m:t>test</m:t>
            </m:r>
          </m:sub>
        </m:sSub>
      </m:oMath>
      <w:r>
        <w:t xml:space="preserve"> </w:t>
      </w:r>
      <w:r>
        <w:t xml:space="preserve">denote a held-out test set of futures. The surrogate satisfies decision-ranking preservation if and only if for every future</w:t>
      </w:r>
      <w:r>
        <w:t xml:space="preserve"> </w:t>
      </w:r>
      <m:oMath>
        <m:r>
          <m:t>ω</m:t>
        </m:r>
        <m:r>
          <m:rPr>
            <m:sty m:val="p"/>
          </m:rPr>
          <m:t>∈</m:t>
        </m:r>
        <m:sSub>
          <m:e>
            <m:r>
              <m:rPr>
                <m:sty m:val="p"/>
              </m:rPr>
              <m:t>Ω</m:t>
            </m:r>
          </m:e>
          <m:sub>
            <m:r>
              <m:rPr>
                <m:nor/>
                <m:sty m:val="p"/>
              </m:rPr>
              <m:t>test</m:t>
            </m:r>
          </m:sub>
        </m:sSub>
      </m:oMath>
      <w:r>
        <w:t xml:space="preserve"> </w:t>
      </w:r>
      <w:r>
        <w:t xml:space="preserve">and every pair of alternatives</w:t>
      </w:r>
      <w:r>
        <w:t xml:space="preserve"> </w:t>
      </w:r>
      <m:oMath>
        <m:r>
          <m:rPr>
            <m:sty m:val="p"/>
          </m:rPr>
          <m:t>(</m:t>
        </m:r>
        <m:sSub>
          <m:e>
            <m:r>
              <m:t>a</m:t>
            </m:r>
          </m:e>
          <m:sub>
            <m:r>
              <m:t>1</m:t>
            </m:r>
          </m:sub>
        </m:sSub>
        <m:r>
          <m:rPr>
            <m:sty m:val="p"/>
          </m:rPr>
          <m:t>,</m:t>
        </m:r>
        <m:sSub>
          <m:e>
            <m:r>
              <m:t>a</m:t>
            </m:r>
          </m:e>
          <m:sub>
            <m:r>
              <m:t>2</m:t>
            </m:r>
          </m:sub>
        </m:sSub>
        <m:r>
          <m:rPr>
            <m:sty m:val="p"/>
          </m:rPr>
          <m:t>)</m:t>
        </m:r>
        <m:r>
          <m:rPr>
            <m:sty m:val="p"/>
          </m:rPr>
          <m:t>∈</m:t>
        </m:r>
        <m:r>
          <m:rPr>
            <m:scr m:val="script"/>
            <m:sty m:val="p"/>
          </m:rPr>
          <m:t>A</m:t>
        </m:r>
        <m:r>
          <m:rPr>
            <m:sty m:val="p"/>
          </m:rPr>
          <m:t>×</m:t>
        </m:r>
        <m:r>
          <m:rPr>
            <m:scr m:val="script"/>
            <m:sty m:val="p"/>
          </m:rPr>
          <m:t>A</m:t>
        </m:r>
      </m:oMath>
      <w:r>
        <w:t xml:space="preserve">:</w:t>
      </w:r>
    </w:p>
    <w:p>
      <w:pPr>
        <w:pStyle w:val="BodyText"/>
      </w:pPr>
      <m:oMathPara>
        <m:oMathParaPr>
          <m:jc m:val="center"/>
        </m:oMathParaPr>
        <m:oMath>
          <m:r>
            <m:rPr>
              <m:nor/>
              <m:sty m:val="p"/>
            </m:rPr>
            <m:t>sign</m:t>
          </m:r>
          <m:d>
            <m:dPr>
              <m:begChr m:val="("/>
              <m:sepChr m:val=""/>
              <m:endChr m:val=")"/>
              <m:grow/>
            </m:dPr>
            <m:e>
              <m:r>
                <m:t>Z</m:t>
              </m:r>
              <m:r>
                <m:rPr>
                  <m:sty m:val="p"/>
                </m:rPr>
                <m:t>(</m:t>
              </m:r>
              <m:sSub>
                <m:e>
                  <m:r>
                    <m:t>a</m:t>
                  </m:r>
                </m:e>
                <m:sub>
                  <m:r>
                    <m:t>1</m:t>
                  </m:r>
                </m:sub>
              </m:sSub>
              <m:r>
                <m:rPr>
                  <m:sty m:val="p"/>
                </m:rPr>
                <m:t>,</m:t>
              </m:r>
              <m:r>
                <m:t>ω</m:t>
              </m:r>
              <m:r>
                <m:rPr>
                  <m:sty m:val="p"/>
                </m:rPr>
                <m:t>)</m:t>
              </m:r>
              <m:r>
                <m:rPr>
                  <m:sty m:val="p"/>
                </m:rPr>
                <m:t>−</m:t>
              </m:r>
              <m:r>
                <m:t>Z</m:t>
              </m:r>
              <m:r>
                <m:rPr>
                  <m:sty m:val="p"/>
                </m:rPr>
                <m:t>(</m:t>
              </m:r>
              <m:sSub>
                <m:e>
                  <m:r>
                    <m:t>a</m:t>
                  </m:r>
                </m:e>
                <m:sub>
                  <m:r>
                    <m:t>2</m:t>
                  </m:r>
                </m:sub>
              </m:sSub>
              <m:r>
                <m:rPr>
                  <m:sty m:val="p"/>
                </m:rPr>
                <m:t>,</m:t>
              </m:r>
              <m:r>
                <m:t>ω</m:t>
              </m:r>
              <m:r>
                <m:rPr>
                  <m:sty m:val="p"/>
                </m:rPr>
                <m:t>)</m:t>
              </m:r>
            </m:e>
          </m:d>
          <m:r>
            <m:rPr>
              <m:sty m:val="p"/>
            </m:rPr>
            <m:t>=</m:t>
          </m:r>
          <m:r>
            <m:rPr>
              <m:nor/>
              <m:sty m:val="p"/>
            </m:rPr>
            <m:t>sign</m:t>
          </m:r>
          <m:d>
            <m:dPr>
              <m:begChr m:val="("/>
              <m:sepChr m:val=""/>
              <m:endChr m:val=")"/>
              <m:grow/>
            </m:dPr>
            <m:e>
              <m:acc>
                <m:accPr>
                  <m:chr m:val="̂"/>
                </m:accPr>
                <m:e>
                  <m:r>
                    <m:t>Z</m:t>
                  </m:r>
                </m:e>
              </m:acc>
              <m:r>
                <m:rPr>
                  <m:sty m:val="p"/>
                </m:rPr>
                <m:t>(</m:t>
              </m:r>
              <m:sSub>
                <m:e>
                  <m:r>
                    <m:t>a</m:t>
                  </m:r>
                </m:e>
                <m:sub>
                  <m:r>
                    <m:t>1</m:t>
                  </m:r>
                </m:sub>
              </m:sSub>
              <m:r>
                <m:rPr>
                  <m:sty m:val="p"/>
                </m:rPr>
                <m:t>,</m:t>
              </m:r>
              <m:r>
                <m:t>ω</m:t>
              </m:r>
              <m:r>
                <m:rPr>
                  <m:sty m:val="p"/>
                </m:rPr>
                <m:t>)</m:t>
              </m:r>
              <m:r>
                <m:rPr>
                  <m:sty m:val="p"/>
                </m:rPr>
                <m:t>−</m:t>
              </m:r>
              <m:acc>
                <m:accPr>
                  <m:chr m:val="̂"/>
                </m:accPr>
                <m:e>
                  <m:r>
                    <m:t>Z</m:t>
                  </m:r>
                </m:e>
              </m:acc>
              <m:r>
                <m:rPr>
                  <m:sty m:val="p"/>
                </m:rPr>
                <m:t>(</m:t>
              </m:r>
              <m:sSub>
                <m:e>
                  <m:r>
                    <m:t>a</m:t>
                  </m:r>
                </m:e>
                <m:sub>
                  <m:r>
                    <m:t>2</m:t>
                  </m:r>
                </m:sub>
              </m:sSub>
              <m:r>
                <m:rPr>
                  <m:sty m:val="p"/>
                </m:rPr>
                <m:t>,</m:t>
              </m:r>
              <m:r>
                <m:t>ω</m:t>
              </m:r>
              <m:r>
                <m:rPr>
                  <m:sty m:val="p"/>
                </m:rPr>
                <m:t>)</m:t>
              </m:r>
            </m:e>
          </m:d>
        </m:oMath>
      </m:oMathPara>
    </w:p>
    <w:p>
      <w:pPr>
        <w:pStyle w:val="FirstParagraph"/>
      </w:pPr>
      <w:r>
        <w:t xml:space="preserve">where</w:t>
      </w:r>
      <w:r>
        <w:t xml:space="preserve"> </w:t>
      </w:r>
      <m:oMath>
        <m:r>
          <m:t>Z</m:t>
        </m:r>
      </m:oMath>
      <w:r>
        <w:t xml:space="preserve"> </w:t>
      </w:r>
      <w:r>
        <w:t xml:space="preserve">and</w:t>
      </w:r>
      <w:r>
        <w:t xml:space="preserve"> </w:t>
      </w:r>
      <m:oMath>
        <m:acc>
          <m:accPr>
            <m:chr m:val="̂"/>
          </m:accPr>
          <m:e>
            <m:r>
              <m:t>Z</m:t>
            </m:r>
          </m:e>
        </m:acc>
      </m:oMath>
      <w:r>
        <w:t xml:space="preserve"> </w:t>
      </w:r>
      <w:r>
        <w:t xml:space="preserve">denote the consequences generated by the full model and the surrogate respectively. In plain terms: the surrogate must produce the same ranking of alternatives as the full model for every test future. It must also satisfy two additional conditions: the maximum regret of each alternative must agree with the full model’s assessment within a declared tolerance, and threshold-violation patterns (the set of futures in which each alternative fails a declared performance threshold) must agree within a declared discordance rate.</w:t>
      </w:r>
    </w:p>
    <w:p>
      <w:pPr>
        <w:pStyle w:val="BodyText"/>
      </w:pPr>
      <w:r>
        <w:t xml:space="preserve">Validation workflow. The validation process has five stages.</w:t>
      </w:r>
    </w:p>
    <w:p>
      <w:pPr>
        <w:pStyle w:val="BodyText"/>
      </w:pPr>
      <w:r>
        <w:t xml:space="preserve">The first stage is training set design. The surrogate is trained on a sample drawn from the full input feature space using Latin hypercube sampling across continuous uncertain drivers and stratified sampling across discrete ones. The training sample should oversample the regions of the input space where the full model output changes most rapidly, identified by a preliminary screening run. For the Southland regional electricity module, the training sample should oversample low-headroom, high-demand conditions, because this is the region where the PyPSA output changes qualitatively from feasible-without-upgrade to exceedance.</w:t>
      </w:r>
    </w:p>
    <w:p>
      <w:pPr>
        <w:pStyle w:val="BodyText"/>
      </w:pPr>
      <w:r>
        <w:t xml:space="preserve">The second stage is held-out test set selection. The test set must include the decision-critical futures identified by the scenario discovery analysis of §2.4 and SM-2.4-A. A random held-out set is insufficient because the futures that matter most for decision-ranking preservation are those where alternatives are most evenly matched, not those that are merely representative of the full input distribution. The test set should include at least the 21 anchor futures that span the most analytically important conditions.</w:t>
      </w:r>
    </w:p>
    <w:p>
      <w:pPr>
        <w:pStyle w:val="BodyText"/>
      </w:pPr>
      <w:r>
        <w:t xml:space="preserve">The third stage is performance evaluation against the three acceptance criteria: decision-ranking concordance across all test futures, maximum regret agreement within tolerance, and threshold-violation discordance below the declared rate. A surrogate that achieves high average prediction accuracy while failing any of these three criteria does not satisfy decision-ranking preservation and must be retrained, refined, or supplemented with truth model evaluations in the failing region.</w:t>
      </w:r>
    </w:p>
    <w:p>
      <w:pPr>
        <w:pStyle w:val="BodyText"/>
      </w:pPr>
      <w:r>
        <w:t xml:space="preserve">The fourth stage is confidence scoring. The validated surrogate is equipped with a confidence scoring mechanism, typically based on distance from the training distribution in feature space, that assigns each prediction a confidence score. Predictions with confidence scores below a declared threshold trigger a truth model verification: the full model is run for that future, and the result replaces the surrogate’s prediction. This fallback logic is the operational expression of the progressive-refinement philosophy applied to surrogate deployment.</w:t>
      </w:r>
    </w:p>
    <w:p>
      <w:pPr>
        <w:pStyle w:val="BodyText"/>
      </w:pPr>
      <w:r>
        <w:t xml:space="preserve">The fifth stage is active learning. As the surrogate is used in ensemble evaluations, the futures that trigger low confidence scores accumulate as candidates for additional training data. After a declared number of low-confidence evaluations, a new training batch is commissioned from the full model targeting those regions, the surrogate is retrained, and its decision-ranking preservation is re-evaluated. This active learning loop progressively improves the surrogate’s accuracy where it matters most.</w:t>
      </w:r>
    </w:p>
    <w:p>
      <w:pPr>
        <w:pStyle w:val="BodyText"/>
      </w:pPr>
      <w:r>
        <w:t xml:space="preserve">Table SM-2.3-A: Validation metrics for decision-ranking preservation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Acceptance threshold</w:t>
            </w:r>
          </w:p>
        </w:tc>
        <w:tc>
          <w:tcPr/>
          <w:p>
            <w:pPr>
              <w:pStyle w:val="Compact"/>
            </w:pPr>
            <w:r>
              <w:t xml:space="preserve">What failure indicates</w:t>
            </w:r>
          </w:p>
        </w:tc>
      </w:tr>
      <w:tr>
        <w:tc>
          <w:tcPr/>
          <w:p>
            <w:pPr>
              <w:pStyle w:val="Compact"/>
            </w:pPr>
            <w:r>
              <w:t xml:space="preserve">Ranking concordance</w:t>
            </w:r>
          </w:p>
        </w:tc>
        <w:tc>
          <w:tcPr/>
          <w:p>
            <w:pPr>
              <w:pStyle w:val="Compact"/>
            </w:pPr>
            <w:r>
              <w:t xml:space="preserve">Fraction of test futures where surrogate and full model agree on the preferred alternative</w:t>
            </w:r>
          </w:p>
        </w:tc>
        <w:tc>
          <w:tcPr/>
          <w:p>
            <w:pPr>
              <w:pStyle w:val="Compact"/>
            </w:pPr>
            <w:r>
              <w:t xml:space="preserve">1.00 (all test futures)</w:t>
            </w:r>
          </w:p>
        </w:tc>
        <w:tc>
          <w:tcPr/>
          <w:p>
            <w:pPr>
              <w:pStyle w:val="Compact"/>
            </w:pPr>
            <w:r>
              <w:t xml:space="preserve">Surrogate would lead to different pathway choice in some futures</w:t>
            </w:r>
          </w:p>
        </w:tc>
      </w:tr>
      <w:tr>
        <w:tc>
          <w:tcPr/>
          <w:p>
            <w:pPr>
              <w:pStyle w:val="Compact"/>
            </w:pPr>
            <w:r>
              <w:t xml:space="preserve">Max regret agreement</w:t>
            </w:r>
          </w:p>
        </w:tc>
        <w:tc>
          <w:tcPr/>
          <w:p>
            <w:pPr>
              <w:pStyle w:val="Compact"/>
            </w:pPr>
            <w:r>
              <w:t xml:space="preserve">Absolute difference in maximum regret between surrogate and full model, normalised by full model value</w:t>
            </w:r>
          </w:p>
        </w:tc>
        <w:tc>
          <w:tcPr/>
          <w:p>
            <w:pPr>
              <w:pStyle w:val="Compact"/>
            </w:pPr>
            <w:r>
              <w:t xml:space="preserve">Less than 5 percent</w:t>
            </w:r>
          </w:p>
        </w:tc>
        <w:tc>
          <w:tcPr/>
          <w:p>
            <w:pPr>
              <w:pStyle w:val="Compact"/>
            </w:pPr>
            <w:r>
              <w:t xml:space="preserve">Surrogate materially understates or overstates tail exposure</w:t>
            </w:r>
          </w:p>
        </w:tc>
      </w:tr>
      <w:tr>
        <w:tc>
          <w:tcPr/>
          <w:p>
            <w:pPr>
              <w:pStyle w:val="Compact"/>
            </w:pPr>
            <w:r>
              <w:t xml:space="preserve">Threshold discordance</w:t>
            </w:r>
          </w:p>
        </w:tc>
        <w:tc>
          <w:tcPr/>
          <w:p>
            <w:pPr>
              <w:pStyle w:val="Compact"/>
            </w:pPr>
            <w:r>
              <w:t xml:space="preserve">Fraction of test futures where surrogate and full model disagree on whether a threshold is violated</w:t>
            </w:r>
          </w:p>
        </w:tc>
        <w:tc>
          <w:tcPr/>
          <w:p>
            <w:pPr>
              <w:pStyle w:val="Compact"/>
            </w:pPr>
            <w:r>
              <w:t xml:space="preserve">Less than 2 percent</w:t>
            </w:r>
          </w:p>
        </w:tc>
        <w:tc>
          <w:tcPr/>
          <w:p>
            <w:pPr>
              <w:pStyle w:val="Compact"/>
            </w:pPr>
            <w:r>
              <w:t xml:space="preserve">Surrogate misrepresents feasibility in some futures</w:t>
            </w:r>
          </w:p>
        </w:tc>
      </w:tr>
      <w:tr>
        <w:tc>
          <w:tcPr/>
          <w:p>
            <w:pPr>
              <w:pStyle w:val="Compact"/>
            </w:pPr>
            <w:r>
              <w:t xml:space="preserve">Confidence coverage</w:t>
            </w:r>
          </w:p>
        </w:tc>
        <w:tc>
          <w:tcPr/>
          <w:p>
            <w:pPr>
              <w:pStyle w:val="Compact"/>
            </w:pPr>
            <w:r>
              <w:t xml:space="preserve">Fraction of ensemble futures where confidence score exceeds declared threshold</w:t>
            </w:r>
          </w:p>
        </w:tc>
        <w:tc>
          <w:tcPr/>
          <w:p>
            <w:pPr>
              <w:pStyle w:val="Compact"/>
            </w:pPr>
            <w:r>
              <w:t xml:space="preserve">Target 90 percent or above</w:t>
            </w:r>
          </w:p>
        </w:tc>
        <w:tc>
          <w:tcPr/>
          <w:p>
            <w:pPr>
              <w:pStyle w:val="Compact"/>
            </w:pPr>
            <w:r>
              <w:t xml:space="preserve">Surrogate requires many truth model verifications; consider expanding training set</w:t>
            </w:r>
          </w:p>
        </w:tc>
      </w:tr>
    </w:tbl>
    <w:bookmarkEnd w:id="158"/>
    <w:bookmarkEnd w:id="159"/>
    <w:bookmarkStart w:id="161" w:name="sub-module-2.4-a"/>
    <w:p>
      <w:pPr>
        <w:pStyle w:val="Heading1"/>
      </w:pPr>
      <w:r>
        <w:t xml:space="preserve">22. Sub-Module 2.4-A</w:t>
      </w:r>
    </w:p>
    <w:p>
      <w:pPr>
        <w:pStyle w:val="FirstParagraph"/>
      </w:pPr>
      <w:r>
        <w:t xml:space="preserve">Scenario Discovery Methods, PRIM and CART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SM-2.4-A: Scenario Discovery Methods, PRIM and CART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§2.4</w:t>
                  </w:r>
                </w:p>
              </w:tc>
            </w:tr>
            <w:tr>
              <w:tc>
                <w:tcPr/>
                <w:p>
                  <w:pPr>
                    <w:pStyle w:val="Compact"/>
                  </w:pPr>
                  <w:r>
                    <w:rPr>
                      <w:b/>
                      <w:bCs/>
                    </w:rPr>
                    <w:t xml:space="preserve">Contributes</w:t>
                  </w:r>
                </w:p>
              </w:tc>
              <w:tc>
                <w:tcPr/>
                <w:p>
                  <w:pPr>
                    <w:pStyle w:val="Compact"/>
                  </w:pPr>
                  <w:r>
                    <w:t xml:space="preserve">Technical descriptions of PRIM and CART, their application to the Edendale ensemble, and a comparison table of their strengths and appropriate uses</w:t>
                  </w:r>
                </w:p>
              </w:tc>
            </w:tr>
            <w:tr>
              <w:tc>
                <w:tcPr/>
                <w:p>
                  <w:pPr>
                    <w:pStyle w:val="Compact"/>
                  </w:pPr>
                  <w:r>
                    <w:rPr>
                      <w:b/>
                      <w:bCs/>
                    </w:rPr>
                    <w:t xml:space="preserve">Skip condition</w:t>
                  </w:r>
                </w:p>
              </w:tc>
              <w:tc>
                <w:tcPr/>
                <w:p>
                  <w:pPr>
                    <w:pStyle w:val="Compact"/>
                  </w:pPr>
                  <w:r>
                    <w:t xml:space="preserve">Skip if PRIM and CART are already known; process when implementing scenario discovery in the DMDU orchestration layer</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bookmarkStart w:id="160" w:name="Xb6698e44097c3fe7f9e5db7a65cd048a3a9be79"/>
    <w:p>
      <w:pPr>
        <w:pStyle w:val="Heading2"/>
      </w:pPr>
      <w:r>
        <w:t xml:space="preserve">22.1 SM-2.4-A: Scenario Discovery Methods, PRIM and CART</w:t>
      </w:r>
    </w:p>
    <w:p>
      <w:pPr>
        <w:pStyle w:val="FirstParagraph"/>
      </w:pPr>
      <w:r>
        <w:t xml:space="preserve">Scenario discovery methods identify which combinations of uncertain inputs are systematically associated with decision-relevant outcomes across a large future ensemble. They answer the question: under what conditions does the performance of the preferred strategy fall below an acceptable threshold, and can those conditions be described compactly? Two complementary methods are used in this framework.</w:t>
      </w:r>
    </w:p>
    <w:p>
      <w:pPr>
        <w:pStyle w:val="BodyText"/>
      </w:pPr>
      <w:r>
        <w:t xml:space="preserve">PRIM (Patient Rule Induction Method), developed by Lempert and Bryant, identifies a box in the input feature space — a set of ranges for each uncertain driver — that is associated with a high concentration of cases where the strategy of interest fails to meet a performance criterion. The algorithm proceeds iteratively through a process called peeling: at each step, it removes the boundary of the current box along the dimension that maximally improves the box’s density (the proportion of failures within the box) subject to a minimum coverage constraint (the minimum proportion of all failures that must fall within the box). The trade-off between density and coverage is controlled by a parameter</w:t>
      </w:r>
      <w:r>
        <w:t xml:space="preserve"> </w:t>
      </w:r>
      <m:oMath>
        <m:sSub>
          <m:e>
            <m:r>
              <m:t>α</m:t>
            </m:r>
          </m:e>
          <m:sub>
            <m:r>
              <m:rPr>
                <m:nor/>
                <m:sty m:val="p"/>
              </m:rPr>
              <m:t>peel</m:t>
            </m:r>
          </m:sub>
        </m:sSub>
      </m:oMath>
      <w:r>
        <w:t xml:space="preserve">, and the PRIM trajectory, which plots density against coverage as the box is progressively refined, provides a visual summary of the trade-off.</w:t>
      </w:r>
    </w:p>
    <w:p>
      <w:pPr>
        <w:pStyle w:val="BodyText"/>
      </w:pPr>
      <w:r>
        <w:t xml:space="preserve">The output of PRIM is a set of interpretable rules of the form</w:t>
      </w:r>
      <w:r>
        <w:t xml:space="preserve"> </w:t>
      </w:r>
      <w:r>
        <w:t xml:space="preserve">“the strategy fails to satisfy the threshold when the headroom multiplier is below 0.75 AND regional demand growth is above 1.1 AND the ETS price is below 80 NZD/tonne.”</w:t>
      </w:r>
      <w:r>
        <w:t xml:space="preserve"> </w:t>
      </w:r>
      <w:r>
        <w:t xml:space="preserve">Applied to the Edendale ensemble, PRIM would be expected to identify precisely these conditions as the vulnerability region for the electrification pathway: the 23-of-64 exceedance finding corresponds to a PRIM box in which low headroom and high regional demand growth co-occur, with ETS price being a secondary moderating factor. The quasi-p statistic produced by PRIM provides a measure of the statistical significance of the association between the identified box and the failure outcome.</w:t>
      </w:r>
    </w:p>
    <w:p>
      <w:pPr>
        <w:pStyle w:val="BodyText"/>
      </w:pPr>
      <w:r>
        <w:t xml:space="preserve">CART (Classification and Regression Trees), applied to scenario discovery, recursively partitions the feature space into regions associated with different outcome classes (typically: satisfactory performance versus failure). At each node, the algorithm selects the feature and split value that best separates the outcome classes according to a purity criterion such as the Gini impurity. The result is a binary tree whose leaves correspond to regions of the input space with different expected performance outcomes. CART produces different interpretive information from PRIM: where PRIM identifies one high-density failure region, CART reveals the hierarchical importance of different uncertain drivers and the interaction structure between them.</w:t>
      </w:r>
    </w:p>
    <w:p>
      <w:pPr>
        <w:pStyle w:val="BodyText"/>
      </w:pPr>
      <w:r>
        <w:t xml:space="preserve">The appropriate choice between PRIM and CART depends on the analytical goal. PRIM is more suited to exploratory vulnerability identification because its coverage-density trade-off allows the analyst to choose how broadly or narrowly to define the failure region. CART is more suited to producing communicable policy-relevant rules because its tree structure is more directly readable as a decision guide:</w:t>
      </w:r>
      <w:r>
        <w:t xml:space="preserve"> </w:t>
      </w:r>
      <w:r>
        <w:t xml:space="preserve">“if headroom is below X AND demand growth is above Y, the electrification pathway fails the cost threshold.”</w:t>
      </w:r>
      <w:r>
        <w:t xml:space="preserve"> </w:t>
      </w:r>
      <w:r>
        <w:t xml:space="preserve">In practice, both methods are applied to the same ensemble and their outputs are compared; the combination provides a more complete characterisation of vulnerability than either alone.</w:t>
      </w:r>
    </w:p>
    <w:p>
      <w:pPr>
        <w:pStyle w:val="BodyText"/>
      </w:pPr>
      <w:r>
        <w:t xml:space="preserve">Table SM-2.4-A: PRIM versus CART for scenario discovery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PRIM</w:t>
            </w:r>
          </w:p>
        </w:tc>
        <w:tc>
          <w:tcPr/>
          <w:p>
            <w:pPr>
              <w:pStyle w:val="Compact"/>
            </w:pPr>
            <w:r>
              <w:t xml:space="preserve">CART</w:t>
            </w:r>
          </w:p>
        </w:tc>
      </w:tr>
      <w:tr>
        <w:tc>
          <w:tcPr/>
          <w:p>
            <w:pPr>
              <w:pStyle w:val="Compact"/>
            </w:pPr>
            <w:r>
              <w:t xml:space="preserve">Algorithm structure</w:t>
            </w:r>
          </w:p>
        </w:tc>
        <w:tc>
          <w:tcPr/>
          <w:p>
            <w:pPr>
              <w:pStyle w:val="Compact"/>
            </w:pPr>
            <w:r>
              <w:t xml:space="preserve">Iterative box refinement (peeling)</w:t>
            </w:r>
          </w:p>
        </w:tc>
        <w:tc>
          <w:tcPr/>
          <w:p>
            <w:pPr>
              <w:pStyle w:val="Compact"/>
            </w:pPr>
            <w:r>
              <w:t xml:space="preserve">Recursive binary partitioning</w:t>
            </w:r>
          </w:p>
        </w:tc>
      </w:tr>
      <w:tr>
        <w:tc>
          <w:tcPr/>
          <w:p>
            <w:pPr>
              <w:pStyle w:val="Compact"/>
            </w:pPr>
            <w:r>
              <w:t xml:space="preserve">Output form</w:t>
            </w:r>
          </w:p>
        </w:tc>
        <w:tc>
          <w:tcPr/>
          <w:p>
            <w:pPr>
              <w:pStyle w:val="Compact"/>
            </w:pPr>
            <w:r>
              <w:t xml:space="preserve">A box in feature space with density/coverage statistics</w:t>
            </w:r>
          </w:p>
        </w:tc>
        <w:tc>
          <w:tcPr/>
          <w:p>
            <w:pPr>
              <w:pStyle w:val="Compact"/>
            </w:pPr>
            <w:r>
              <w:t xml:space="preserve">A binary tree with interpretable rules at each node</w:t>
            </w:r>
          </w:p>
        </w:tc>
      </w:tr>
      <w:tr>
        <w:tc>
          <w:tcPr/>
          <w:p>
            <w:pPr>
              <w:pStyle w:val="Compact"/>
            </w:pPr>
            <w:r>
              <w:t xml:space="preserve">Interpretive strengths</w:t>
            </w:r>
          </w:p>
        </w:tc>
        <w:tc>
          <w:tcPr/>
          <w:p>
            <w:pPr>
              <w:pStyle w:val="Compact"/>
            </w:pPr>
            <w:r>
              <w:t xml:space="preserve">Flexible density/coverage trade-off; single coherent vulnerability region; PRIM trajectory visualises the trade-off</w:t>
            </w:r>
          </w:p>
        </w:tc>
        <w:tc>
          <w:tcPr/>
          <w:p>
            <w:pPr>
              <w:pStyle w:val="Compact"/>
            </w:pPr>
            <w:r>
              <w:t xml:space="preserve">Hierarchical feature importance; clear policy-relevant rules; easy to communicate to non-technical audiences</w:t>
            </w:r>
          </w:p>
        </w:tc>
      </w:tr>
      <w:tr>
        <w:tc>
          <w:tcPr/>
          <w:p>
            <w:pPr>
              <w:pStyle w:val="Compact"/>
            </w:pPr>
            <w:r>
              <w:t xml:space="preserve">Handles interactions</w:t>
            </w:r>
          </w:p>
        </w:tc>
        <w:tc>
          <w:tcPr/>
          <w:p>
            <w:pPr>
              <w:pStyle w:val="Compact"/>
            </w:pPr>
            <w:r>
              <w:t xml:space="preserve">Implicitly through box refinement</w:t>
            </w:r>
          </w:p>
        </w:tc>
        <w:tc>
          <w:tcPr/>
          <w:p>
            <w:pPr>
              <w:pStyle w:val="Compact"/>
            </w:pPr>
            <w:r>
              <w:t xml:space="preserve">Explicitly through nested splits</w:t>
            </w:r>
          </w:p>
        </w:tc>
      </w:tr>
      <w:tr>
        <w:tc>
          <w:tcPr/>
          <w:p>
            <w:pPr>
              <w:pStyle w:val="Compact"/>
            </w:pPr>
            <w:r>
              <w:t xml:space="preserve">Computational cost</w:t>
            </w:r>
          </w:p>
        </w:tc>
        <w:tc>
          <w:tcPr/>
          <w:p>
            <w:pPr>
              <w:pStyle w:val="Compact"/>
            </w:pPr>
            <w:r>
              <w:t xml:space="preserve">Moderate; scales with number of features and ensemble size</w:t>
            </w:r>
          </w:p>
        </w:tc>
        <w:tc>
          <w:tcPr/>
          <w:p>
            <w:pPr>
              <w:pStyle w:val="Compact"/>
            </w:pPr>
            <w:r>
              <w:t xml:space="preserve">Low; standard implementation handles thousands of cases readily</w:t>
            </w:r>
          </w:p>
        </w:tc>
      </w:tr>
      <w:tr>
        <w:tc>
          <w:tcPr/>
          <w:p>
            <w:pPr>
              <w:pStyle w:val="Compact"/>
            </w:pPr>
            <w:r>
              <w:t xml:space="preserve">When preferred in this framework</w:t>
            </w:r>
          </w:p>
        </w:tc>
        <w:tc>
          <w:tcPr/>
          <w:p>
            <w:pPr>
              <w:pStyle w:val="Compact"/>
            </w:pPr>
            <w:r>
              <w:t xml:space="preserve">Exploratory vulnerability mapping in the DMDU orchestration layer</w:t>
            </w:r>
          </w:p>
        </w:tc>
        <w:tc>
          <w:tcPr/>
          <w:p>
            <w:pPr>
              <w:pStyle w:val="Compact"/>
            </w:pPr>
            <w:r>
              <w:t xml:space="preserve">Communicating findings to stakeholders and policy-makers; feature importance assessment</w:t>
            </w:r>
          </w:p>
        </w:tc>
      </w:tr>
    </w:tbl>
    <w:bookmarkEnd w:id="160"/>
    <w:bookmarkEnd w:id="161"/>
    <w:bookmarkStart w:id="169" w:name="module-4-domain-translation"/>
    <w:p>
      <w:pPr>
        <w:pStyle w:val="Heading1"/>
      </w:pPr>
      <w:r>
        <w:t xml:space="preserve">23. Module 4: Domain Translation</w:t>
      </w:r>
    </w:p>
    <w:p>
      <w:pPr>
        <w:pStyle w:val="FirstParagraph"/>
      </w:pPr>
      <w:r>
        <w:t xml:space="preserve">Energy Systems, Process Heat, and Coupled Evaluation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4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Translates the general architecture of Module 3 into the specific domain of coupled energy systems and industrial process heat, establishing the domain-specific vocabulary, module classes, and evaluation frames used in Modules 5 and 6</w:t>
                  </w:r>
                </w:p>
              </w:tc>
            </w:tr>
            <w:tr>
              <w:tc>
                <w:tcPr/>
                <w:p>
                  <w:pPr>
                    <w:pStyle w:val="Compact"/>
                  </w:pPr>
                  <w:r>
                    <w:rPr>
                      <w:b/>
                      <w:bCs/>
                    </w:rPr>
                    <w:t xml:space="preserve">Assumes</w:t>
                  </w:r>
                </w:p>
              </w:tc>
              <w:tc>
                <w:tcPr/>
                <w:p>
                  <w:pPr>
                    <w:pStyle w:val="Compact"/>
                  </w:pPr>
                  <w:r>
                    <w:t xml:space="preserve">Module 3 in full; Module 1 §1.5 and Module 1 §1.6 for the evaluative standards that the coupled evaluation logic extends</w:t>
                  </w:r>
                </w:p>
              </w:tc>
            </w:tr>
            <w:tr>
              <w:tc>
                <w:tcPr/>
                <w:p>
                  <w:pPr>
                    <w:pStyle w:val="Compact"/>
                  </w:pPr>
                  <w:r>
                    <w:rPr>
                      <w:b/>
                      <w:bCs/>
                    </w:rPr>
                    <w:t xml:space="preserve">Contributes</w:t>
                  </w:r>
                </w:p>
              </w:tc>
              <w:tc>
                <w:tcPr/>
                <w:p>
                  <w:pPr>
                    <w:pStyle w:val="Compact"/>
                  </w:pPr>
                  <w:r>
                    <w:t xml:space="preserve">Energy-domain vocabulary; the layered energy system structure; industrial process heat as the anchor exemplar and its analytical demands; the energy-domain module classes and artefact family mapping; the coupled stakeholder evaluation logic; and the system-level regret concept with its policy implications</w:t>
                  </w:r>
                </w:p>
              </w:tc>
            </w:tr>
            <w:tr>
              <w:tc>
                <w:tcPr/>
                <w:p>
                  <w:pPr>
                    <w:pStyle w:val="Compact"/>
                  </w:pPr>
                  <w:r>
                    <w:rPr>
                      <w:b/>
                      <w:bCs/>
                    </w:rPr>
                    <w:t xml:space="preserve">Passes to</w:t>
                  </w:r>
                </w:p>
              </w:tc>
              <w:tc>
                <w:tcPr/>
                <w:p>
                  <w:pPr>
                    <w:pStyle w:val="Compact"/>
                  </w:pPr>
                  <w:r>
                    <w:t xml:space="preserve">Module 5 (New Zealand context and empirical grounding); Module 6 (proof-of-concept instantiation)</w:t>
                  </w:r>
                </w:p>
              </w:tc>
            </w:tr>
            <w:tr>
              <w:tc>
                <w:tcPr/>
                <w:p>
                  <w:pPr>
                    <w:pStyle w:val="Compact"/>
                  </w:pPr>
                  <w:r>
                    <w:rPr>
                      <w:b/>
                      <w:bCs/>
                    </w:rPr>
                    <w:t xml:space="preserve">Can be read independently</w:t>
                  </w:r>
                </w:p>
              </w:tc>
              <w:tc>
                <w:tcPr/>
                <w:p>
                  <w:pPr>
                    <w:pStyle w:val="Compact"/>
                  </w:pPr>
                  <w:r>
                    <w:t xml:space="preserve">Partially — §4.1 and §4.2 can be read independently; §4.3 and §4.4 require Module 3</w:t>
                  </w:r>
                </w:p>
              </w:tc>
            </w:tr>
            <w:tr>
              <w:tc>
                <w:tcPr/>
                <w:p>
                  <w:pPr>
                    <w:pStyle w:val="Compact"/>
                  </w:pPr>
                  <w:r>
                    <w:rPr>
                      <w:b/>
                      <w:bCs/>
                    </w:rPr>
                    <w:t xml:space="preserve">Sub-Modules</w:t>
                  </w:r>
                </w:p>
              </w:tc>
              <w:tc>
                <w:tcPr/>
                <w:p>
                  <w:pPr>
                    <w:pStyle w:val="Compact"/>
                  </w:pPr>
                  <w:r>
                    <w:t xml:space="preserve">SM-4.4-A: System-Level Regret, Formal Derivation</w:t>
                  </w:r>
                </w:p>
              </w:tc>
            </w:tr>
          </w:tbl>
          <w:p/>
        </w:tc>
      </w:tr>
    </w:tbl>
    <w:bookmarkStart w:id="162" w:name="Xd09afe1920c7d9d9306b6514d9780031506798e"/>
    <w:p>
      <w:pPr>
        <w:pStyle w:val="Heading2"/>
      </w:pPr>
      <w:r>
        <w:t xml:space="preserve">23.1 §4.1 Coupled Energy Systems as a Decision Domain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§4.1 Coupled Energy Systems as a Decision Domain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3</w:t>
                  </w:r>
                </w:p>
              </w:tc>
            </w:tr>
            <w:tr>
              <w:tc>
                <w:tcPr/>
                <w:p>
                  <w:pPr>
                    <w:pStyle w:val="Compact"/>
                  </w:pPr>
                  <w:r>
                    <w:rPr>
                      <w:b/>
                      <w:bCs/>
                    </w:rPr>
                    <w:t xml:space="preserve">Contributes</w:t>
                  </w:r>
                </w:p>
              </w:tc>
              <w:tc>
                <w:tcPr/>
                <w:p>
                  <w:pPr>
                    <w:pStyle w:val="Compact"/>
                  </w:pPr>
                  <w:r>
                    <w:t xml:space="preserve">Establishes the energy domain vocabulary and the layered energy system structure that motivates the framework’s multi-layer architecture</w:t>
                  </w:r>
                </w:p>
              </w:tc>
            </w:tr>
            <w:tr>
              <w:tc>
                <w:tcPr/>
                <w:p>
                  <w:pPr>
                    <w:pStyle w:val="Compact"/>
                  </w:pPr>
                  <w:r>
                    <w:rPr>
                      <w:b/>
                      <w:bCs/>
                    </w:rPr>
                    <w:t xml:space="preserve">Skip condition</w:t>
                  </w:r>
                </w:p>
              </w:tc>
              <w:tc>
                <w:tcPr/>
                <w:p>
                  <w:pPr>
                    <w:pStyle w:val="Compact"/>
                  </w:pPr>
                  <w:r>
                    <w:t xml:space="preserve">Skip if reader is not working in the energy domain and wants to proceed to community extension in Module 7</w:t>
                  </w:r>
                </w:p>
              </w:tc>
            </w:tr>
            <w:tr>
              <w:tc>
                <w:tcPr/>
                <w:p>
                  <w:pPr>
                    <w:pStyle w:val="Compact"/>
                  </w:pPr>
                  <w:r>
                    <w:rPr>
                      <w:b/>
                      <w:bCs/>
                    </w:rPr>
                    <w:t xml:space="preserve">Passes to</w:t>
                  </w:r>
                </w:p>
              </w:tc>
              <w:tc>
                <w:tcPr/>
                <w:p>
                  <w:pPr>
                    <w:pStyle w:val="Compact"/>
                  </w:pPr>
                  <w:r>
                    <w:t xml:space="preserve">§4.2, §4.3, §4.4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Energy systems are not monolithic. They are layered structures in which decisions made at one level propagate consequences to other levels through physical interfaces, market mechanisms, and institutional arrangements that are rarely under the control of any single actor. A facility operator choosing a process heat technology makes a decision at the site level. That decision creates an electricity demand increment at the regional grid level. The regional grid’s response to that increment, whether it can be accommodated, at what cost, and on what timeline, determines whether the site-level decision was well-founded. The site-level decision and the regional-level consequence are inseparable analytically, even though they are made and experienced by different actors operating under different constraints.</w:t>
      </w:r>
    </w:p>
    <w:p>
      <w:pPr>
        <w:pStyle w:val="BodyText"/>
      </w:pPr>
      <w:r>
        <w:t xml:space="preserve">Energy carriers are the primary physical media through which energy flows between levels. The carriers relevant to the industrial process heat domain are electricity, steam, hot water, natural gas, coal, and biomass. Each carrier has characteristic interface properties: electricity flows instantaneously through a network with nodal voltage and frequency constraints; steam carries thermal energy from a boiler to a process through a distribution network with temperature and pressure characteristics; biomass is a physical commodity that must be collected, processed, transported, and stored. The interface between an electrification pathway and the regional electricity system is fundamentally different from the interface between a biomass pathway and the regional biomass supply chain, and the framework represents both as resource-side signals flowing through the regional layer.</w:t>
      </w:r>
    </w:p>
    <w:p>
      <w:pPr>
        <w:pStyle w:val="BodyText"/>
      </w:pPr>
      <w:r>
        <w:t xml:space="preserve">The layered energy system structure defines the analytical scope of the framework in the energy domain. At the first layer, individual facility operations produce time-resolved heat demand profiles and carrier-specific dispatch records. At the second layer, the electrical interface between the facility and the regional grid is characterised by the facility’s incremental electricity demand profile and the grid’s hosting capacity response. At the third layer, regional grid adequacy and biomass resource availability determine the infrastructure constraints under which pathway choices are feasible. At the fourth layer, national energy system conditions, including the electricity wholesale market, the carbon price trajectory under the ETS, and the policy environment governing fuel phase-out, set the economic and regulatory context within which all lower-layer decisions are made.</w:t>
      </w:r>
    </w:p>
    <w:p>
      <w:pPr>
        <w:pStyle w:val="BodyText"/>
      </w:pPr>
      <w:r>
        <w:t xml:space="preserve">The decision class that this framework addresses in the energy domain is the long-horizon technology pathway choice under infrastructure uncertainty: the decision, made by an industrial facility operator, about which low-carbon heat supply technology to commit to over an investment horizon of fifteen to thirty years, in the context of uncertain grid infrastructure development, uncertain fuel supply chain evolution, uncertain carbon pricing, and a regulatory environment that is actively evolving. This decision class concentrates all five structural features identified in §1.1: the asset commitment is durable, the grid and biomass supply chain dependencies create cross-scale interaction, the infrastructure and policy futures create deep uncertainty, the cost and emissions objectives are not fully commensurate, and the facility operator, the grid operator, the regulator, and the surrounding community each have distinct and partially overlapping interests in the outcome.</w:t>
      </w:r>
    </w:p>
    <w:p>
      <w:pPr>
        <w:pStyle w:val="BodyText"/>
      </w:pPr>
      <w:r>
        <w:t xml:space="preserve">This domain is especially revealing as a proving ground for the framework precisely because of this concentration. A framework that can produce credible, traceable, multi-perspective decision support for this problem class has demonstrated architectural properties that transfer to any decision environment with the same structural features.</w:t>
      </w:r>
    </w:p>
    <w:bookmarkEnd w:id="162"/>
    <w:bookmarkStart w:id="163" w:name="Xa06e2059e242b289d776eb35890241997489f00"/>
    <w:p>
      <w:pPr>
        <w:pStyle w:val="Heading2"/>
      </w:pPr>
      <w:r>
        <w:t xml:space="preserve">23.2 §4.2 Industrial Process Heat as the Anchor Exemplar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§4.2 Industrial Process Heat as the Anchor Exemplar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§4.1</w:t>
                  </w:r>
                </w:p>
              </w:tc>
            </w:tr>
            <w:tr>
              <w:tc>
                <w:tcPr/>
                <w:p>
                  <w:pPr>
                    <w:pStyle w:val="Compact"/>
                  </w:pPr>
                  <w:r>
                    <w:rPr>
                      <w:b/>
                      <w:bCs/>
                    </w:rPr>
                    <w:t xml:space="preserve">Contributes</w:t>
                  </w:r>
                </w:p>
              </w:tc>
              <w:tc>
                <w:tcPr/>
                <w:p>
                  <w:pPr>
                    <w:pStyle w:val="Compact"/>
                  </w:pPr>
                  <w:r>
                    <w:t xml:space="preserve">Explains why industrial process heat was chosen as the anchor exemplar, establishes the global context, and introduces the New Zealand version of the process heat transition challenge</w:t>
                  </w:r>
                </w:p>
              </w:tc>
            </w:tr>
            <w:tr>
              <w:tc>
                <w:tcPr/>
                <w:p>
                  <w:pPr>
                    <w:pStyle w:val="Compact"/>
                  </w:pPr>
                  <w:r>
                    <w:rPr>
                      <w:b/>
                      <w:bCs/>
                    </w:rPr>
                    <w:t xml:space="preserve">Skip condition</w:t>
                  </w:r>
                </w:p>
              </w:tc>
              <w:tc>
                <w:tcPr/>
                <w:p>
                  <w:pPr>
                    <w:pStyle w:val="Compact"/>
                  </w:pPr>
                  <w:r>
                    <w:t xml:space="preserve">Skip if reader is not interested in the exemplar justification and wants the NZ specifics directly; proceed to Module 5</w:t>
                  </w:r>
                </w:p>
              </w:tc>
            </w:tr>
            <w:tr>
              <w:tc>
                <w:tcPr/>
                <w:p>
                  <w:pPr>
                    <w:pStyle w:val="Compact"/>
                  </w:pPr>
                  <w:r>
                    <w:rPr>
                      <w:b/>
                      <w:bCs/>
                    </w:rPr>
                    <w:t xml:space="preserve">Passes to</w:t>
                  </w:r>
                </w:p>
              </w:tc>
              <w:tc>
                <w:tcPr/>
                <w:p>
                  <w:pPr>
                    <w:pStyle w:val="Compact"/>
                  </w:pPr>
                  <w:r>
                    <w:t xml:space="preserve">§4.3, Module 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Industrial process heat accounts for approximately a quarter of global final energy demand and remains overwhelmingly fossil-fuelled despite decades of policy attention and significant investment in low-carbon electricity generation. Its resistance to decarbonisation is not primarily technological. Electrification technology for high-temperature industrial heat is available and commercially mature. Heat pumps, electric boilers, and electrode boilers can serve most industrial heat applications from the lowest temperature requirements to the highest. Biomass conversion technology is equally mature. The difficulty is not the technology; it is the combination of site-specific operational heterogeneity, long asset lifetimes, infrastructure dependency, and multiple competing non-electric pathways that makes the transition problem genuinely difficult to analyse in a way that supports confident, defensible investment decisions.</w:t>
      </w:r>
    </w:p>
    <w:p>
      <w:pPr>
        <w:pStyle w:val="BodyText"/>
      </w:pPr>
      <w:r>
        <w:t xml:space="preserve">Site-specific operational heterogeneity means that no two process heat users face the same transition problem. A dairy processor requiring continuous large-volume steam at moderate pressure faces a different engineering and infrastructure challenge from a ceramics manufacturer requiring high-temperature kilns or a paper mill requiring combined heat and power. The specific heat demand profile of each facility, its seasonal and diurnal patterns, its minimum load requirements, and its peak demand timing determine whether grid-based electrification creates hosting capacity problems, whether thermal storage is viable, and whether biomass logistics can supply the required volume with adequate reliability.</w:t>
      </w:r>
    </w:p>
    <w:p>
      <w:pPr>
        <w:pStyle w:val="BodyText"/>
      </w:pPr>
      <w:r>
        <w:t xml:space="preserve">Long asset lifetimes mean that transition decisions are made under deep uncertainty in the sense of §1.3. A boiler fleet installed today will still be operating in 2050. The carbon price that will govern its ETS exposure in 2045 is not determinable from current policy settings. The grid infrastructure that will be available to support large-scale electrification at a specific location in 2040 depends on investment decisions that have not yet been made. The pathway choice is irreversible in a meaningful sense: once a facility has committed capital to an electrification pathway, sunk costs create strong path dependence that is expensive to reverse if the grid infrastructure does not materialise on the assumed timeline.</w:t>
      </w:r>
    </w:p>
    <w:p>
      <w:pPr>
        <w:pStyle w:val="BodyText"/>
      </w:pPr>
      <w:r>
        <w:t xml:space="preserve">New Zealand presents a specific and analytically tractable version of this global challenge. The national electricity system is already predominantly renewable, drawing the majority of its generation from hydro, geothermal, and wind. This low-carbon grid creates a compelling case for electrification in principle: substituting grid electricity for coal combustion at an industrial facility produces substantial direct emissions reductions with minimal upstream carbon intensity. Yet the practical feasibility of large-scale industrial electrification in the South Island depends on regional grid infrastructure that was designed for a historical industrial load profile that did not include large-scale electrification. Fonterra’s commitment to phase out coal by 2037 and its corporate sustainability obligations create a specific and time-bounded decision context that makes the problem concrete without making it trivial.</w:t>
      </w:r>
    </w:p>
    <w:p>
      <w:pPr>
        <w:pStyle w:val="BodyText"/>
      </w:pPr>
      <w:r>
        <w:t xml:space="preserve">The South Island dairy processing sector is particularly revealing because it combines all the analytical difficulties of the process heat transition at a scale that is both large enough to have significant grid and supply chain consequences and small enough to be represented in a proof-of-concept analytical environment. Biomass provides a credible competing pathway that does not require grid infrastructure development but does require regional supply chain logistics that are genuinely uncertain at the required scale. The competition between electrification and biomass, evaluated under deep uncertainty about grid headroom, biomass supply availability, and carbon price trajectory, is the analytical core of the Edendale proof of concept in Module 6.</w:t>
      </w:r>
    </w:p>
    <w:bookmarkEnd w:id="163"/>
    <w:bookmarkStart w:id="164" w:name="Xa975fe3d3d433b12dc2a81bd2d9f101d8054b02"/>
    <w:p>
      <w:pPr>
        <w:pStyle w:val="Heading2"/>
      </w:pPr>
      <w:r>
        <w:t xml:space="preserve">23.3 §4.3 Module Classes and Artefact Families in the Energy Domain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§4.3 Module Classes and Artefact Families in the Energy Domain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§4.1, §4.2, Module 3</w:t>
                  </w:r>
                </w:p>
              </w:tc>
            </w:tr>
            <w:tr>
              <w:tc>
                <w:tcPr/>
                <w:p>
                  <w:pPr>
                    <w:pStyle w:val="Compact"/>
                  </w:pPr>
                  <w:r>
                    <w:rPr>
                      <w:b/>
                      <w:bCs/>
                    </w:rPr>
                    <w:t xml:space="preserve">Contributes</w:t>
                  </w:r>
                </w:p>
              </w:tc>
              <w:tc>
                <w:tcPr/>
                <w:p>
                  <w:pPr>
                    <w:pStyle w:val="Compact"/>
                  </w:pPr>
                  <w:r>
                    <w:t xml:space="preserve">Maps the five generic analytical layers onto the specific module classes, tools, and artefact families required for the energy domain</w:t>
                  </w:r>
                </w:p>
              </w:tc>
            </w:tr>
            <w:tr>
              <w:tc>
                <w:tcPr/>
                <w:p>
                  <w:pPr>
                    <w:pStyle w:val="Compact"/>
                  </w:pPr>
                  <w:r>
                    <w:rPr>
                      <w:b/>
                      <w:bCs/>
                    </w:rPr>
                    <w:t xml:space="preserve">Skip condition</w:t>
                  </w:r>
                </w:p>
              </w:tc>
              <w:tc>
                <w:tcPr/>
                <w:p>
                  <w:pPr>
                    <w:pStyle w:val="Compact"/>
                  </w:pPr>
                  <w:r>
                    <w:t xml:space="preserve">Skip if reader knows the energy module structure from Module 3</w:t>
                  </w:r>
                </w:p>
              </w:tc>
            </w:tr>
            <w:tr>
              <w:tc>
                <w:tcPr/>
                <w:p>
                  <w:pPr>
                    <w:pStyle w:val="Compact"/>
                  </w:pPr>
                  <w:r>
                    <w:rPr>
                      <w:b/>
                      <w:bCs/>
                    </w:rPr>
                    <w:t xml:space="preserve">Passes to</w:t>
                  </w:r>
                </w:p>
              </w:tc>
              <w:tc>
                <w:tcPr/>
                <w:p>
                  <w:pPr>
                    <w:pStyle w:val="Compact"/>
                  </w:pPr>
                  <w:r>
                    <w:t xml:space="preserve">§4.4,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five-layer architecture of §3.3 is domain-agnostic in its description. Translating it into the energy domain requires specifying the module classes that instantiate each layer, the tools appropriate to each module class, and the artefact families that carry the decision-relevant signals between modules. This translation is what makes the architecture operational in the energy domain.</w:t>
      </w:r>
    </w:p>
    <w:p>
      <w:pPr>
        <w:pStyle w:val="BodyText"/>
      </w:pPr>
      <w:r>
        <w:t xml:space="preserve">The site layer is instantiated by the Facility Module. In the energy domain, this module represents the site’s heat demand structure, its utility asset configuration under a specified pathway variant, and its dispatch logic. The DemandPack carries the time-resolved heat demand that the dispatch module uses to compute carrier-specific consumption profiles. The ResultArtefact carries the annual cost decomposition, emissions, and adequacy metrics that the evaluation layer requires for pathway comparison. The Facility Module’s specific concern in the energy domain is the translation of heat demand into the electrical demand increment that crosses the site boundary toward the regional grid, materialised in the IncrementalElectricityPack.</w:t>
      </w:r>
    </w:p>
    <w:p>
      <w:pPr>
        <w:pStyle w:val="BodyText"/>
      </w:pPr>
      <w:r>
        <w:t xml:space="preserve">The interface layer in the energy domain performs two translations. On the outbound side, it compresses the site’s full hourly electrical consumption profile into the compact IncrementalElectricityPack descriptor set. On the inbound side, it translates the regional module’s SignalsPack signals, headroom, tariff adder, upgrade class, and scarcity index, into the cost and adequacy inputs that the Facility Module’s dispatch logic uses for pathway cost computation. This bidirectional translation is the thin waist of the energy domain analytical chain.</w:t>
      </w:r>
    </w:p>
    <w:p>
      <w:pPr>
        <w:pStyle w:val="BodyText"/>
      </w:pPr>
      <w:r>
        <w:t xml:space="preserve">The regional layer is instantiated by two parallel modules in the energy domain: the regional electricity module and the biomass resource module. The regional electricity module evaluates the GXP hosting capacity implications of the site’s incremental electrical demand under the future’s headroom and demand growth conditions. The biomass resource module evaluates whether the biomass pathway’s annual fuel requirement can be sourced from the regional supply chain under the future’s biomass availability and cost conditions. Both modules emit SignalsPacks, but with domain-specific fields: the electricity SignalsPack carries headroom, tariff, and upgrade signals; the biomass SignalsPack carries availability, delivered cost, and scarcity signals. The parallel structure of the two regional modules is a direct consequence of the decision-first boundary principle: both grid infrastructure and biomass supply chain are decision-relevant consequences of the pathway choice, and both must be represented at the regional layer.</w:t>
      </w:r>
    </w:p>
    <w:p>
      <w:pPr>
        <w:pStyle w:val="BodyText"/>
      </w:pPr>
      <w:r>
        <w:t xml:space="preserve">The evaluation layer receives ResultArtefacts from the Facility Module and SignalsPacks from both regional modules, and computes the pathway comparison metrics. In the energy domain, the evaluation layer specifically computes the system-level regret divergence described in §4.4: the difference between the site-perspective cost assessment and the infrastructure-conditional system-perspective cost assessment.</w:t>
      </w:r>
    </w:p>
    <w:p>
      <w:pPr>
        <w:pStyle w:val="BodyText"/>
      </w:pPr>
      <w:r>
        <w:t xml:space="preserve">The orchestration layer manages the ensemble of FutureArtefacts, coordinates the module runs for each future and each pathway alternative, enforces the paired-futures contract, and produces the DecisionSummaryArtefacts that carry the regret, robustness, and satisficing metrics.</w:t>
      </w:r>
    </w:p>
    <w:p>
      <w:pPr>
        <w:pStyle w:val="BodyText"/>
      </w:pPr>
      <w:r>
        <w:t xml:space="preserve">Table 4.3 summarises the energy domain module classes, their generic layer mapping, their primary tools, and the artefact families they produce.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Generic layer</w:t>
            </w:r>
          </w:p>
        </w:tc>
        <w:tc>
          <w:tcPr/>
          <w:p>
            <w:pPr>
              <w:pStyle w:val="Compact"/>
            </w:pPr>
            <w:r>
              <w:t xml:space="preserve">Energy module name</w:t>
            </w:r>
          </w:p>
        </w:tc>
        <w:tc>
          <w:tcPr/>
          <w:p>
            <w:pPr>
              <w:pStyle w:val="Compact"/>
            </w:pPr>
            <w:r>
              <w:t xml:space="preserve">Primary tool (current PoC)</w:t>
            </w:r>
          </w:p>
        </w:tc>
        <w:tc>
          <w:tcPr/>
          <w:p>
            <w:pPr>
              <w:pStyle w:val="Compact"/>
            </w:pPr>
            <w:r>
              <w:t xml:space="preserve">Primary tool (specified)</w:t>
            </w:r>
          </w:p>
        </w:tc>
        <w:tc>
          <w:tcPr/>
          <w:p>
            <w:pPr>
              <w:pStyle w:val="Compact"/>
            </w:pPr>
            <w:r>
              <w:t xml:space="preserve">Primary artefact produced</w:t>
            </w:r>
          </w:p>
        </w:tc>
      </w:tr>
      <w:tr>
        <w:tc>
          <w:tcPr/>
          <w:p>
            <w:pPr>
              <w:pStyle w:val="Compact"/>
            </w:pPr>
            <w:r>
              <w:t xml:space="preserve">Site</w:t>
            </w:r>
          </w:p>
        </w:tc>
        <w:tc>
          <w:tcPr/>
          <w:p>
            <w:pPr>
              <w:pStyle w:val="Compact"/>
            </w:pPr>
            <w:r>
              <w:t xml:space="preserve">Facility Module</w:t>
            </w:r>
          </w:p>
        </w:tc>
        <w:tc>
          <w:tcPr/>
          <w:p>
            <w:pPr>
              <w:pStyle w:val="Compact"/>
            </w:pPr>
            <w:r>
              <w:t xml:space="preserve">Python proportional dispatch</w:t>
            </w:r>
          </w:p>
        </w:tc>
        <w:tc>
          <w:tcPr/>
          <w:p>
            <w:pPr>
              <w:pStyle w:val="Compact"/>
            </w:pPr>
            <w:r>
              <w:t xml:space="preserve">OpenModelica thermal network</w:t>
            </w:r>
          </w:p>
        </w:tc>
        <w:tc>
          <w:tcPr/>
          <w:p>
            <w:pPr>
              <w:pStyle w:val="Compact"/>
            </w:pPr>
            <w:r>
              <w:t xml:space="preserve">DemandPack, IncrementalElectricityPack, ResultArtefact</w:t>
            </w:r>
          </w:p>
        </w:tc>
      </w:tr>
      <w:tr>
        <w:tc>
          <w:tcPr/>
          <w:p>
            <w:pPr>
              <w:pStyle w:val="Compact"/>
            </w:pPr>
            <w:r>
              <w:t xml:space="preserve">Interface</w:t>
            </w:r>
          </w:p>
        </w:tc>
        <w:tc>
          <w:tcPr/>
          <w:p>
            <w:pPr>
              <w:pStyle w:val="Compact"/>
            </w:pPr>
            <w:r>
              <w:t xml:space="preserve">Signal translation layer</w:t>
            </w:r>
          </w:p>
        </w:tc>
        <w:tc>
          <w:tcPr/>
          <w:p>
            <w:pPr>
              <w:pStyle w:val="Compact"/>
            </w:pPr>
            <w:r>
              <w:t xml:space="preserve">Post-processing scripts</w:t>
            </w:r>
          </w:p>
        </w:tc>
        <w:tc>
          <w:tcPr/>
          <w:p>
            <w:pPr>
              <w:pStyle w:val="Compact"/>
            </w:pPr>
            <w:r>
              <w:t xml:space="preserve">Interface contract enforcement module</w:t>
            </w:r>
          </w:p>
        </w:tc>
        <w:tc>
          <w:tcPr/>
          <w:p>
            <w:pPr>
              <w:pStyle w:val="Compact"/>
            </w:pPr>
            <w:r>
              <w:t xml:space="preserve">IncrementalElectricityPack (translated), tariff signals</w:t>
            </w:r>
          </w:p>
        </w:tc>
      </w:tr>
      <w:tr>
        <w:tc>
          <w:tcPr/>
          <w:p>
            <w:pPr>
              <w:pStyle w:val="Compact"/>
            </w:pPr>
            <w:r>
              <w:t xml:space="preserve">Regional (electricity)</w:t>
            </w:r>
          </w:p>
        </w:tc>
        <w:tc>
          <w:tcPr/>
          <w:p>
            <w:pPr>
              <w:pStyle w:val="Compact"/>
            </w:pPr>
            <w:r>
              <w:t xml:space="preserve">Regional Electricity Module</w:t>
            </w:r>
          </w:p>
        </w:tc>
        <w:tc>
          <w:tcPr/>
          <w:p>
            <w:pPr>
              <w:pStyle w:val="Compact"/>
            </w:pPr>
            <w:r>
              <w:t xml:space="preserve">Stylised GXP screening</w:t>
            </w:r>
          </w:p>
        </w:tc>
        <w:tc>
          <w:tcPr/>
          <w:p>
            <w:pPr>
              <w:pStyle w:val="Compact"/>
            </w:pPr>
            <w:r>
              <w:t xml:space="preserve">PyPSA network optimisation; ML surrogate</w:t>
            </w:r>
          </w:p>
        </w:tc>
        <w:tc>
          <w:tcPr/>
          <w:p>
            <w:pPr>
              <w:pStyle w:val="Compact"/>
            </w:pPr>
            <w:r>
              <w:t xml:space="preserve">SignalsPack (electricity)</w:t>
            </w:r>
          </w:p>
        </w:tc>
      </w:tr>
      <w:tr>
        <w:tc>
          <w:tcPr/>
          <w:p>
            <w:pPr>
              <w:pStyle w:val="Compact"/>
            </w:pPr>
            <w:r>
              <w:t xml:space="preserve">Regional (biomass)</w:t>
            </w:r>
          </w:p>
        </w:tc>
        <w:tc>
          <w:tcPr/>
          <w:p>
            <w:pPr>
              <w:pStyle w:val="Compact"/>
            </w:pPr>
            <w:r>
              <w:t xml:space="preserve">Biomass Resource Module</w:t>
            </w:r>
          </w:p>
        </w:tc>
        <w:tc>
          <w:tcPr/>
          <w:p>
            <w:pPr>
              <w:pStyle w:val="Compact"/>
            </w:pPr>
            <w:r>
              <w:t xml:space="preserve">Scalar multiplier</w:t>
            </w:r>
          </w:p>
        </w:tc>
        <w:tc>
          <w:tcPr/>
          <w:p>
            <w:pPr>
              <w:pStyle w:val="Compact"/>
            </w:pPr>
            <w:r>
              <w:t xml:space="preserve">Spatially explicit logistics model</w:t>
            </w:r>
          </w:p>
        </w:tc>
        <w:tc>
          <w:tcPr/>
          <w:p>
            <w:pPr>
              <w:pStyle w:val="Compact"/>
            </w:pPr>
            <w:r>
              <w:t xml:space="preserve">SignalsPack (biomass)</w:t>
            </w:r>
          </w:p>
        </w:tc>
      </w:tr>
      <w:tr>
        <w:tc>
          <w:tcPr/>
          <w:p>
            <w:pPr>
              <w:pStyle w:val="Compact"/>
            </w:pPr>
            <w:r>
              <w:t xml:space="preserve">Evaluation</w:t>
            </w:r>
          </w:p>
        </w:tc>
        <w:tc>
          <w:tcPr/>
          <w:p>
            <w:pPr>
              <w:pStyle w:val="Compact"/>
            </w:pPr>
            <w:r>
              <w:t xml:space="preserve">Pathway Evaluation Module</w:t>
            </w:r>
          </w:p>
        </w:tc>
        <w:tc>
          <w:tcPr/>
          <w:p>
            <w:pPr>
              <w:pStyle w:val="Compact"/>
            </w:pPr>
            <w:r>
              <w:t xml:space="preserve">Python analytics; robustness overlay</w:t>
            </w:r>
          </w:p>
        </w:tc>
        <w:tc>
          <w:tcPr/>
          <w:p>
            <w:pPr>
              <w:pStyle w:val="Compact"/>
            </w:pPr>
            <w:r>
              <w:t xml:space="preserve">Full multi-criteria evaluation framework</w:t>
            </w:r>
          </w:p>
        </w:tc>
        <w:tc>
          <w:tcPr/>
          <w:p>
            <w:pPr>
              <w:pStyle w:val="Compact"/>
            </w:pPr>
            <w:r>
              <w:t xml:space="preserve">DecisionSummaryArtefact</w:t>
            </w:r>
          </w:p>
        </w:tc>
      </w:tr>
      <w:tr>
        <w:tc>
          <w:tcPr/>
          <w:p>
            <w:pPr>
              <w:pStyle w:val="Compact"/>
            </w:pPr>
            <w:r>
              <w:t xml:space="preserve">Orchestration</w:t>
            </w:r>
          </w:p>
        </w:tc>
        <w:tc>
          <w:tcPr/>
          <w:p>
            <w:pPr>
              <w:pStyle w:val="Compact"/>
            </w:pPr>
            <w:r>
              <w:t xml:space="preserve">DMDU Orchestration Layer</w:t>
            </w:r>
          </w:p>
        </w:tc>
        <w:tc>
          <w:tcPr/>
          <w:p>
            <w:pPr>
              <w:pStyle w:val="Compact"/>
            </w:pPr>
            <w:r>
              <w:t xml:space="preserve">Snakemake + Python ensemble scripts</w:t>
            </w:r>
          </w:p>
        </w:tc>
        <w:tc>
          <w:tcPr/>
          <w:p>
            <w:pPr>
              <w:pStyle w:val="Compact"/>
            </w:pPr>
            <w:r>
              <w:t xml:space="preserve">Snakemake + surrogate-accelerated ensemble</w:t>
            </w:r>
          </w:p>
        </w:tc>
        <w:tc>
          <w:tcPr/>
          <w:p>
            <w:pPr>
              <w:pStyle w:val="Compact"/>
            </w:pPr>
            <w:r>
              <w:t xml:space="preserve">ValidationArtefact, run registry records</w:t>
            </w:r>
          </w:p>
        </w:tc>
      </w:tr>
    </w:tbl>
    <w:bookmarkEnd w:id="164"/>
    <w:bookmarkStart w:id="168" w:name="X908b41b38bc470be43d9a5f7c254cb8123c16f3"/>
    <w:p>
      <w:pPr>
        <w:pStyle w:val="Heading2"/>
      </w:pPr>
      <w:r>
        <w:t xml:space="preserve">23.4 §4.4 Coupled Stakeholder Evaluation and System-Level Regret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§4.4 Coupled Stakeholder Evaluation and System-Level Regret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1 §1.5, Module 1 §1.6, §4.3</w:t>
                  </w:r>
                </w:p>
              </w:tc>
            </w:tr>
            <w:tr>
              <w:tc>
                <w:tcPr/>
                <w:p>
                  <w:pPr>
                    <w:pStyle w:val="Compact"/>
                  </w:pPr>
                  <w:r>
                    <w:rPr>
                      <w:b/>
                      <w:bCs/>
                    </w:rPr>
                    <w:t xml:space="preserve">Contributes</w:t>
                  </w:r>
                </w:p>
              </w:tc>
              <w:tc>
                <w:tcPr/>
                <w:p>
                  <w:pPr>
                    <w:pStyle w:val="Compact"/>
                  </w:pPr>
                  <w:r>
                    <w:t xml:space="preserve">Develops the multi-perspective evaluation logic and the system-level regret concept, and establishes the three evaluation frames used in the Edendale proof of concept</w:t>
                  </w:r>
                </w:p>
              </w:tc>
            </w:tr>
            <w:tr>
              <w:tc>
                <w:tcPr/>
                <w:p>
                  <w:pPr>
                    <w:pStyle w:val="Compact"/>
                  </w:pPr>
                  <w:r>
                    <w:rPr>
                      <w:b/>
                      <w:bCs/>
                    </w:rPr>
                    <w:t xml:space="preserve">Skip condition</w:t>
                  </w:r>
                </w:p>
              </w:tc>
              <w:tc>
                <w:tcPr/>
                <w:p>
                  <w:pPr>
                    <w:pStyle w:val="Compact"/>
                  </w:pPr>
                  <w:r>
                    <w:t xml:space="preserve">Skip if reader accepts multi-perspective evaluation from §1.6; SM-4.4-A has the formal derivation</w:t>
                  </w:r>
                </w:p>
              </w:tc>
            </w:tr>
            <w:tr>
              <w:tc>
                <w:tcPr/>
                <w:p>
                  <w:pPr>
                    <w:pStyle w:val="Compact"/>
                  </w:pPr>
                  <w:r>
                    <w:rPr>
                      <w:b/>
                      <w:bCs/>
                    </w:rPr>
                    <w:t xml:space="preserve">Passes to</w:t>
                  </w:r>
                </w:p>
              </w:tc>
              <w:tc>
                <w:tcPr/>
                <w:p>
                  <w:pPr>
                    <w:pStyle w:val="Compact"/>
                  </w:pPr>
                  <w:r>
                    <w:t xml:space="preserve">Module 6 §6.9</w:t>
                  </w:r>
                </w:p>
              </w:tc>
            </w:tr>
            <w:tr>
              <w:tc>
                <w:tcPr/>
                <w:p>
                  <w:pPr>
                    <w:pStyle w:val="Compact"/>
                  </w:pPr>
                  <w:r>
                    <w:rPr>
                      <w:b/>
                      <w:bCs/>
                    </w:rPr>
                    <w:t xml:space="preserve">Sub-Modules here</w:t>
                  </w:r>
                </w:p>
              </w:tc>
              <w:tc>
                <w:tcPr/>
                <w:p>
                  <w:pPr>
                    <w:pStyle w:val="Compact"/>
                  </w:pPr>
                  <w:r>
                    <w:t xml:space="preserve">SM-4.4-A: System-Level Regret, Formal Derivation</w:t>
                  </w:r>
                </w:p>
              </w:tc>
            </w:tr>
          </w:tbl>
          <w:p/>
        </w:tc>
      </w:tr>
    </w:tbl>
    <w:p>
      <w:pPr>
        <w:pStyle w:val="BodyText"/>
      </w:pPr>
      <w:r>
        <w:t xml:space="preserve">The evaluative standards of §1.5, regret, robustness, and satisficing, assume that outcomes can be assigned to an alternative and a future and compared across alternatives under shared futures. In the energy domain, these outcomes have a specific multi-perspective structure that §1.6 identified as a general challenge: the same pathway choice produces different cost outcomes depending on whose perspective is adopted and which cost components are included in the assessment. The coupled stakeholder evaluation logic of this section makes that perspective dependence analytically explicit rather than leaving it as an unstated assumption in how the comparison is framed.</w:t>
      </w:r>
    </w:p>
    <w:p>
      <w:pPr>
        <w:pStyle w:val="BodyText"/>
      </w:pPr>
      <w:r>
        <w:t xml:space="preserve">Site-perspective evaluation computes the total annual cost of a pathway as experienced by the facility operator: the annualised capital cost of the installed assets, the annual operating cost including energy and maintenance, the ETS cost based on the facility’s direct combustion emissions and the current carbon price, and the reliability cost associated with any unserved heat demand. This is the perspective that governs a private investment decision: the site operator makes the pathway commitment on the basis of the costs that appear in their own financial accounts.</w:t>
      </w:r>
    </w:p>
    <w:p>
      <w:pPr>
        <w:pStyle w:val="BodyText"/>
      </w:pPr>
      <w:r>
        <w:t xml:space="preserve">System-perspective evaluation adds to this the regional cost adder: the annualised share of network reinforcement cost attributable to the facility’s electrification decision, computed as the upgrade cost for the applicable upgrade class divided by the number of facilities that share the reinforcement benefit, times the fraction attributable to the new load. The regional cost adder is not charged to the facility operator under current network pricing arrangements. It is borne instead by the broader network of electricity consumers through regulated network tariffs. This means the site-perspective and system-perspective evaluations may produce different rankings of the electrification and biomass pathways under the same future conditions.</w:t>
      </w:r>
    </w:p>
    <w:p>
      <w:pPr>
        <w:pStyle w:val="BodyText"/>
      </w:pPr>
      <w:r>
        <w:t xml:space="preserve">Three evaluation frames are distinguished in the framework. The site-only frame computes costs using only the Facility Module’s ResultArtefact, without incorporating any SignalsPack cost adder. This is the cost as the site operator would compute it from a site-level techno-economic assessment. The infrastructure-conditional frame adds the regional cost adder from the electricity SignalsPack to the site-perspective cost, representing the full system cost of the pathway including the network infrastructure it requires. The policy-adjusted frame further adjusts for the effect of policy instruments, including GIDI Fund co-investment support, that modify the effective capital cost faced by the site operator. The policy-adjusted frame is relevant when assessing whether current policy instruments are aligned with system-cost minimisation.</w:t>
      </w:r>
    </w:p>
    <w:p>
      <w:pPr>
        <w:pStyle w:val="BodyText"/>
      </w:pPr>
      <w:r>
        <w:t xml:space="preserve">System-level regret is the divergence between the regret computed under the site-only frame and the regret computed under the infrastructure-conditional frame. When both frames assign the same pathway preference under a given future, the divergence is zero: the site operator’s private assessment and the system-level assessment agree. When the infrastructure-conditional frame assigns a different preference from the site-only frame, the divergence is positive and attributable to the specific cost components and future conditions that drive it.</w:t>
      </w:r>
    </w:p>
    <w:p>
      <w:pPr>
        <w:pStyle w:val="BodyText"/>
      </w:pPr>
      <w:r>
        <w:t xml:space="preserve">The policy significance of positive system-level regret is precise: it indicates that current pricing arrangements create incentives for site operators to pursue pathway choices that impose costs on the regional system that they do not privately bear. In the Edendale proof of concept, discussed in §6.9, this divergence is found in 23 of the 64 futures in the ensemble, specifically those futures where GXP hosting capacity exceedances occur. Under current network pricing, the electrification pathway may appear cost-competitive from the site perspective in some of these futures while the infrastructure-conditional assessment identifies the biomass pathway as the lower system-cost alternative.</w:t>
      </w:r>
    </w:p>
    <w:p>
      <w:pPr>
        <w:pStyle w:val="BodyText"/>
      </w:pPr>
      <w:r>
        <w:t xml:space="preserve">This finding, produced by the coupled stakeholder evaluation architecture of this module, is not accessible from any single-perspective analysis. It requires computing consequences under both perspectives using the same modules and artefacts, making the divergence analytically visible and attributable to specific cost components and specific future conditions. That attributability is what turns a diagnostic finding into a policy-relevant finding: it is possible to say precisely which policy instrument, at which pricing reform point, would close the divergence under which future conditions.</w:t>
      </w:r>
    </w:p>
    <w:p>
      <w:pPr>
        <w:pStyle w:val="BodyText"/>
      </w:pPr>
      <w:r>
        <w:t xml:space="preserve">The formal derivation of the system-level regret concept, including the precise definitions of the three evaluation frames and the conditions under which divergence is analytically expected, is in Sub-Module SM-4.4-A.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SM-4.4-A</w:t>
            </w:r>
          </w:p>
        </w:tc>
      </w:tr>
      <w:tr>
        <w:trPr>
          <w:cantSplit/>
        </w:trPr>
        <w:tc>
          <w:tcPr>
            <w:tcMar>
              <w:top w:w="108" w:type="dxa"/>
              <w:bottom w:w="108" w:type="dxa"/>
            </w:tcMar>
          </w:tcPr>
          <w:p>
            <w:pPr>
              <w:pStyle w:val="BodyText"/>
            </w:pPr>
            <w:pPr>
              <w:spacing w:before="16" w:after="16"/>
            </w:pPr>
            <w:r>
              <w:t xml:space="preserve">System-Level Regret: Formal Derivation — formal definitions, divergence conditions, and policy interpretation — is in</w:t>
            </w:r>
            <w:r>
              <w:t xml:space="preserve"> </w:t>
            </w:r>
            <w:hyperlink r:id="rId167">
              <w:r>
                <w:rPr>
                  <w:rStyle w:val="Hyperlink"/>
                </w:rPr>
                <w:t xml:space="preserve">SM-4.4-A</w:t>
              </w:r>
            </w:hyperlink>
            <w:r>
              <w:t xml:space="preserve">. Skip if the conceptual account above is sufficient; process when the formal basis of the evaluation frame divergence is needed.</w:t>
            </w:r>
          </w:p>
          <w:p/>
        </w:tc>
      </w:tr>
    </w:tbl>
    <w:bookmarkEnd w:id="168"/>
    <w:bookmarkEnd w:id="169"/>
    <w:bookmarkStart w:id="171" w:name="sub-module-4.4-a"/>
    <w:p>
      <w:pPr>
        <w:pStyle w:val="Heading1"/>
      </w:pPr>
      <w:r>
        <w:t xml:space="preserve">24. Sub-Module 4.4-A</w:t>
      </w:r>
    </w:p>
    <w:p>
      <w:pPr>
        <w:pStyle w:val="FirstParagraph"/>
      </w:pPr>
      <w:r>
        <w:t xml:space="preserve">System-Level Regret, Formal Derivation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SM-4.4-A: System-Level Regret, Formal Derivation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§4.4, §1.5</w:t>
                  </w:r>
                </w:p>
              </w:tc>
            </w:tr>
            <w:tr>
              <w:tc>
                <w:tcPr/>
                <w:p>
                  <w:pPr>
                    <w:pStyle w:val="Compact"/>
                  </w:pPr>
                  <w:r>
                    <w:rPr>
                      <w:b/>
                      <w:bCs/>
                    </w:rPr>
                    <w:t xml:space="preserve">Contributes</w:t>
                  </w:r>
                </w:p>
              </w:tc>
              <w:tc>
                <w:tcPr/>
                <w:p>
                  <w:pPr>
                    <w:pStyle w:val="Compact"/>
                  </w:pPr>
                  <w:r>
                    <w:t xml:space="preserve">Formal definitions of site-perspective regret, system-perspective regret, the divergence function, and the conditions under which positive divergence is analytically expected</w:t>
                  </w:r>
                </w:p>
              </w:tc>
            </w:tr>
            <w:tr>
              <w:tc>
                <w:tcPr/>
                <w:p>
                  <w:pPr>
                    <w:pStyle w:val="Compact"/>
                  </w:pPr>
                  <w:r>
                    <w:rPr>
                      <w:b/>
                      <w:bCs/>
                    </w:rPr>
                    <w:t xml:space="preserve">Skip condition</w:t>
                  </w:r>
                </w:p>
              </w:tc>
              <w:tc>
                <w:tcPr/>
                <w:p>
                  <w:pPr>
                    <w:pStyle w:val="Compact"/>
                  </w:pPr>
                  <w:r>
                    <w:t xml:space="preserve">Skip if the conceptual account of §4.4 is sufficient; process when the formal basis is needed for the proof-of-concept evaluation or for policy analysis</w:t>
                  </w:r>
                </w:p>
              </w:tc>
            </w:tr>
            <w:tr>
              <w:tc>
                <w:tcPr/>
                <w:p>
                  <w:pPr>
                    <w:pStyle w:val="Compact"/>
                  </w:pPr>
                  <w:r>
                    <w:rPr>
                      <w:b/>
                      <w:bCs/>
                    </w:rPr>
                    <w:t xml:space="preserve">Passes to</w:t>
                  </w:r>
                </w:p>
              </w:tc>
              <w:tc>
                <w:tcPr/>
                <w:p>
                  <w:pPr>
                    <w:pStyle w:val="Compact"/>
                  </w:pPr>
                  <w:r>
                    <w:t xml:space="preserve">Module 6 §6.9</w:t>
                  </w:r>
                </w:p>
              </w:tc>
            </w:tr>
            <w:tr>
              <w:tc>
                <w:tcPr/>
                <w:p>
                  <w:pPr>
                    <w:pStyle w:val="Compact"/>
                  </w:pPr>
                  <w:r>
                    <w:rPr>
                      <w:b/>
                      <w:bCs/>
                    </w:rPr>
                    <w:t xml:space="preserve">Sub-Modules here</w:t>
                  </w:r>
                </w:p>
              </w:tc>
              <w:tc>
                <w:tcPr/>
                <w:p>
                  <w:pPr>
                    <w:pStyle w:val="Compact"/>
                  </w:pPr>
                  <w:r>
                    <w:t xml:space="preserve">None</w:t>
                  </w:r>
                </w:p>
              </w:tc>
            </w:tr>
          </w:tbl>
          <w:p/>
        </w:tc>
      </w:tr>
    </w:tbl>
    <w:bookmarkStart w:id="170" w:name="Xa15f966df5b1fa0a870be4aa9e265b721db36ec"/>
    <w:p>
      <w:pPr>
        <w:pStyle w:val="Heading2"/>
      </w:pPr>
      <w:r>
        <w:t xml:space="preserve">24.1 SM-4.4-A: System-Level Regret, Formal Derivation</w:t>
      </w:r>
    </w:p>
    <w:p>
      <w:pPr>
        <w:pStyle w:val="FirstParagraph"/>
      </w:pPr>
      <w:r>
        <w:t xml:space="preserve">Let</w:t>
      </w:r>
      <w:r>
        <w:t xml:space="preserve"> </w:t>
      </w:r>
      <m:oMath>
        <m:r>
          <m:t>a</m:t>
        </m:r>
        <m:r>
          <m:rPr>
            <m:sty m:val="p"/>
          </m:rPr>
          <m:t>∈</m:t>
        </m:r>
        <m:r>
          <m:rPr>
            <m:scr m:val="script"/>
            <m:sty m:val="p"/>
          </m:rPr>
          <m:t>A</m:t>
        </m:r>
      </m:oMath>
      <w:r>
        <w:t xml:space="preserve"> </w:t>
      </w:r>
      <w:r>
        <w:t xml:space="preserve">denote a pathway alternative,</w:t>
      </w:r>
      <w:r>
        <w:t xml:space="preserve"> </w:t>
      </w:r>
      <m:oMath>
        <m:r>
          <m:t>ω</m:t>
        </m:r>
        <m:r>
          <m:rPr>
            <m:sty m:val="p"/>
          </m:rPr>
          <m:t>∈</m:t>
        </m:r>
        <m:r>
          <m:rPr>
            <m:sty m:val="p"/>
          </m:rPr>
          <m:t>Ω</m:t>
        </m:r>
      </m:oMath>
      <w:r>
        <w:t xml:space="preserve"> </w:t>
      </w:r>
      <w:r>
        <w:t xml:space="preserve">a future, and</w:t>
      </w:r>
      <w:r>
        <w:t xml:space="preserve"> </w:t>
      </w:r>
      <m:oMath>
        <m:r>
          <m:t>Z</m:t>
        </m:r>
        <m:r>
          <m:rPr>
            <m:sty m:val="p"/>
          </m:rPr>
          <m:t>(</m:t>
        </m:r>
        <m:r>
          <m:t>a</m:t>
        </m:r>
        <m:r>
          <m:rPr>
            <m:sty m:val="p"/>
          </m:rPr>
          <m:t>,</m:t>
        </m:r>
        <m:r>
          <m:t>ω</m:t>
        </m:r>
        <m:r>
          <m:rPr>
            <m:sty m:val="p"/>
          </m:rPr>
          <m:t>)</m:t>
        </m:r>
      </m:oMath>
      <w:r>
        <w:t xml:space="preserve"> </w:t>
      </w:r>
      <w:r>
        <w:t xml:space="preserve">the total system cost consequence of choosing alternative</w:t>
      </w:r>
      <w:r>
        <w:t xml:space="preserve"> </w:t>
      </w:r>
      <m:oMath>
        <m:r>
          <m:t>a</m:t>
        </m:r>
      </m:oMath>
      <w:r>
        <w:t xml:space="preserve"> </w:t>
      </w:r>
      <w:r>
        <w:t xml:space="preserve">under future</w:t>
      </w:r>
      <w:r>
        <w:t xml:space="preserve"> </w:t>
      </w:r>
      <m:oMath>
        <m:r>
          <m:t>ω</m:t>
        </m:r>
      </m:oMath>
      <w:r>
        <w:t xml:space="preserve">. The framework defines three cost functions corresponding to the three evaluation frames of §4.4.</w:t>
      </w:r>
    </w:p>
    <w:p>
      <w:pPr>
        <w:pStyle w:val="BodyText"/>
      </w:pPr>
      <w:r>
        <w:t xml:space="preserve">The site-only cost</w:t>
      </w:r>
      <w:r>
        <w:t xml:space="preserve"> </w:t>
      </w:r>
      <m:oMath>
        <m:sSub>
          <m:e>
            <m:r>
              <m:t>C</m:t>
            </m:r>
          </m:e>
          <m:sub>
            <m:r>
              <m:rPr>
                <m:nor/>
                <m:sty m:val="p"/>
              </m:rPr>
              <m:t>site</m:t>
            </m:r>
          </m:sub>
        </m:sSub>
        <m:r>
          <m:rPr>
            <m:sty m:val="p"/>
          </m:rPr>
          <m:t>(</m:t>
        </m:r>
        <m:r>
          <m:t>a</m:t>
        </m:r>
        <m:r>
          <m:rPr>
            <m:sty m:val="p"/>
          </m:rPr>
          <m:t>,</m:t>
        </m:r>
        <m:r>
          <m:t>ω</m:t>
        </m:r>
        <m:r>
          <m:rPr>
            <m:sty m:val="p"/>
          </m:rPr>
          <m:t>)</m:t>
        </m:r>
      </m:oMath>
      <w:r>
        <w:t xml:space="preserve"> </w:t>
      </w:r>
      <w:r>
        <w:t xml:space="preserve">is the total annual cost as experienced by the facility operator:</w:t>
      </w:r>
    </w:p>
    <w:p>
      <w:pPr>
        <w:pStyle w:val="BodyText"/>
      </w:pPr>
      <m:oMathPara>
        <m:oMathParaPr>
          <m:jc m:val="center"/>
        </m:oMathParaPr>
        <m:oMath>
          <m:sSub>
            <m:e>
              <m:r>
                <m:t>C</m:t>
              </m:r>
            </m:e>
            <m:sub>
              <m:r>
                <m:rPr>
                  <m:nor/>
                  <m:sty m:val="p"/>
                </m:rPr>
                <m:t>site</m:t>
              </m:r>
            </m:sub>
          </m:sSub>
          <m:r>
            <m:rPr>
              <m:sty m:val="p"/>
            </m:rPr>
            <m:t>(</m:t>
          </m:r>
          <m:r>
            <m:t>a</m:t>
          </m:r>
          <m:r>
            <m:rPr>
              <m:sty m:val="p"/>
            </m:rPr>
            <m:t>,</m:t>
          </m:r>
          <m:r>
            <m:t>ω</m:t>
          </m:r>
          <m:r>
            <m:rPr>
              <m:sty m:val="p"/>
            </m:rPr>
            <m:t>)</m:t>
          </m:r>
          <m:r>
            <m:rPr>
              <m:sty m:val="p"/>
            </m:rPr>
            <m:t>=</m:t>
          </m:r>
          <m:sSub>
            <m:e>
              <m:r>
                <m:t>C</m:t>
              </m:r>
            </m:e>
            <m:sub>
              <m:r>
                <m:rPr>
                  <m:nor/>
                  <m:sty m:val="p"/>
                </m:rPr>
                <m:t>capex</m:t>
              </m:r>
            </m:sub>
          </m:sSub>
          <m:r>
            <m:rPr>
              <m:sty m:val="p"/>
            </m:rPr>
            <m:t>(</m:t>
          </m:r>
          <m:r>
            <m:t>a</m:t>
          </m:r>
          <m:r>
            <m:rPr>
              <m:sty m:val="p"/>
            </m:rPr>
            <m:t>)</m:t>
          </m:r>
          <m:r>
            <m:rPr>
              <m:sty m:val="p"/>
            </m:rPr>
            <m:t>+</m:t>
          </m:r>
          <m:sSub>
            <m:e>
              <m:r>
                <m:t>C</m:t>
              </m:r>
            </m:e>
            <m:sub>
              <m:r>
                <m:rPr>
                  <m:nor/>
                  <m:sty m:val="p"/>
                </m:rPr>
                <m:t>opex</m:t>
              </m:r>
            </m:sub>
          </m:sSub>
          <m:r>
            <m:rPr>
              <m:sty m:val="p"/>
            </m:rPr>
            <m:t>(</m:t>
          </m:r>
          <m:r>
            <m:t>a</m:t>
          </m:r>
          <m:r>
            <m:rPr>
              <m:sty m:val="p"/>
            </m:rPr>
            <m:t>,</m:t>
          </m:r>
          <m:r>
            <m:t>ω</m:t>
          </m:r>
          <m:r>
            <m:rPr>
              <m:sty m:val="p"/>
            </m:rPr>
            <m:t>)</m:t>
          </m:r>
          <m:r>
            <m:rPr>
              <m:sty m:val="p"/>
            </m:rPr>
            <m:t>+</m:t>
          </m:r>
          <m:sSub>
            <m:e>
              <m:r>
                <m:t>C</m:t>
              </m:r>
            </m:e>
            <m:sub>
              <m:r>
                <m:rPr>
                  <m:nor/>
                  <m:sty m:val="p"/>
                </m:rPr>
                <m:t>ets</m:t>
              </m:r>
            </m:sub>
          </m:sSub>
          <m:r>
            <m:rPr>
              <m:sty m:val="p"/>
            </m:rPr>
            <m:t>(</m:t>
          </m:r>
          <m:r>
            <m:t>a</m:t>
          </m:r>
          <m:r>
            <m:rPr>
              <m:sty m:val="p"/>
            </m:rPr>
            <m:t>,</m:t>
          </m:r>
          <m:r>
            <m:t>ω</m:t>
          </m:r>
          <m:r>
            <m:rPr>
              <m:sty m:val="p"/>
            </m:rPr>
            <m:t>)</m:t>
          </m:r>
          <m:r>
            <m:rPr>
              <m:sty m:val="p"/>
            </m:rPr>
            <m:t>+</m:t>
          </m:r>
          <m:sSub>
            <m:e>
              <m:r>
                <m:t>C</m:t>
              </m:r>
            </m:e>
            <m:sub>
              <m:r>
                <m:rPr>
                  <m:nor/>
                  <m:sty m:val="p"/>
                </m:rPr>
                <m:t>unserved</m:t>
              </m:r>
            </m:sub>
          </m:sSub>
          <m:r>
            <m:rPr>
              <m:sty m:val="p"/>
            </m:rPr>
            <m:t>(</m:t>
          </m:r>
          <m:r>
            <m:t>a</m:t>
          </m:r>
          <m:r>
            <m:rPr>
              <m:sty m:val="p"/>
            </m:rPr>
            <m:t>,</m:t>
          </m:r>
          <m:r>
            <m:t>ω</m:t>
          </m:r>
          <m:r>
            <m:rPr>
              <m:sty m:val="p"/>
            </m:rPr>
            <m:t>)</m:t>
          </m:r>
        </m:oMath>
      </m:oMathPara>
    </w:p>
    <w:p>
      <w:pPr>
        <w:pStyle w:val="FirstParagraph"/>
      </w:pPr>
      <w:r>
        <w:t xml:space="preserve">where</w:t>
      </w:r>
      <w:r>
        <w:t xml:space="preserve"> </w:t>
      </w:r>
      <m:oMath>
        <m:sSub>
          <m:e>
            <m:r>
              <m:t>C</m:t>
            </m:r>
          </m:e>
          <m:sub>
            <m:r>
              <m:rPr>
                <m:nor/>
                <m:sty m:val="p"/>
              </m:rPr>
              <m:t>capex</m:t>
            </m:r>
          </m:sub>
        </m:sSub>
      </m:oMath>
      <w:r>
        <w:t xml:space="preserve"> </w:t>
      </w:r>
      <w:r>
        <w:t xml:space="preserve">is the annualised capital cost of the pathway’s assets,</w:t>
      </w:r>
      <w:r>
        <w:t xml:space="preserve"> </w:t>
      </w:r>
      <m:oMath>
        <m:sSub>
          <m:e>
            <m:r>
              <m:t>C</m:t>
            </m:r>
          </m:e>
          <m:sub>
            <m:r>
              <m:rPr>
                <m:nor/>
                <m:sty m:val="p"/>
              </m:rPr>
              <m:t>opex</m:t>
            </m:r>
          </m:sub>
        </m:sSub>
      </m:oMath>
      <w:r>
        <w:t xml:space="preserve"> </w:t>
      </w:r>
      <w:r>
        <w:t xml:space="preserve">is the annual operating cost including energy and maintenance,</w:t>
      </w:r>
      <w:r>
        <w:t xml:space="preserve"> </w:t>
      </w:r>
      <m:oMath>
        <m:sSub>
          <m:e>
            <m:r>
              <m:t>C</m:t>
            </m:r>
          </m:e>
          <m:sub>
            <m:r>
              <m:rPr>
                <m:nor/>
                <m:sty m:val="p"/>
              </m:rPr>
              <m:t>ets</m:t>
            </m:r>
          </m:sub>
        </m:sSub>
      </m:oMath>
      <w:r>
        <w:t xml:space="preserve"> </w:t>
      </w:r>
      <w:r>
        <w:t xml:space="preserve">is the annual ETS cost computed from direct combustion emissions and the carbon price declared in the FutureArtefact, and</w:t>
      </w:r>
      <w:r>
        <w:t xml:space="preserve"> </w:t>
      </w:r>
      <m:oMath>
        <m:sSub>
          <m:e>
            <m:r>
              <m:t>C</m:t>
            </m:r>
          </m:e>
          <m:sub>
            <m:r>
              <m:rPr>
                <m:nor/>
                <m:sty m:val="p"/>
              </m:rPr>
              <m:t>unserved</m:t>
            </m:r>
          </m:sub>
        </m:sSub>
      </m:oMath>
      <w:r>
        <w:t xml:space="preserve"> </w:t>
      </w:r>
      <w:r>
        <w:t xml:space="preserve">is the penalty cost for any unserved heat demand.</w:t>
      </w:r>
    </w:p>
    <w:p>
      <w:pPr>
        <w:pStyle w:val="BodyText"/>
      </w:pPr>
      <w:r>
        <w:t xml:space="preserve">The infrastructure-conditional cost</w:t>
      </w:r>
      <w:r>
        <w:t xml:space="preserve"> </w:t>
      </w:r>
      <m:oMath>
        <m:sSub>
          <m:e>
            <m:r>
              <m:t>C</m:t>
            </m:r>
          </m:e>
          <m:sub>
            <m:r>
              <m:rPr>
                <m:nor/>
                <m:sty m:val="p"/>
              </m:rPr>
              <m:t>system</m:t>
            </m:r>
          </m:sub>
        </m:sSub>
        <m:r>
          <m:rPr>
            <m:sty m:val="p"/>
          </m:rPr>
          <m:t>(</m:t>
        </m:r>
        <m:r>
          <m:t>a</m:t>
        </m:r>
        <m:r>
          <m:rPr>
            <m:sty m:val="p"/>
          </m:rPr>
          <m:t>,</m:t>
        </m:r>
        <m:r>
          <m:t>ω</m:t>
        </m:r>
        <m:r>
          <m:rPr>
            <m:sty m:val="p"/>
          </m:rPr>
          <m:t>)</m:t>
        </m:r>
      </m:oMath>
      <w:r>
        <w:t xml:space="preserve"> </w:t>
      </w:r>
      <w:r>
        <w:t xml:space="preserve">adds the regional cost adder from the SignalsPack:</w:t>
      </w:r>
    </w:p>
    <w:p>
      <w:pPr>
        <w:pStyle w:val="BodyText"/>
      </w:pPr>
      <m:oMathPara>
        <m:oMathParaPr>
          <m:jc m:val="center"/>
        </m:oMathParaPr>
        <m:oMath>
          <m:sSub>
            <m:e>
              <m:r>
                <m:t>C</m:t>
              </m:r>
            </m:e>
            <m:sub>
              <m:r>
                <m:rPr>
                  <m:nor/>
                  <m:sty m:val="p"/>
                </m:rPr>
                <m:t>system</m:t>
              </m:r>
            </m:sub>
          </m:sSub>
          <m:r>
            <m:rPr>
              <m:sty m:val="p"/>
            </m:rPr>
            <m:t>(</m:t>
          </m:r>
          <m:r>
            <m:t>a</m:t>
          </m:r>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r>
            <m:rPr>
              <m:sty m:val="p"/>
            </m:rPr>
            <m:t>+</m:t>
          </m:r>
          <m:sSub>
            <m:e>
              <m:r>
                <m:t>C</m:t>
              </m:r>
            </m:e>
            <m:sub>
              <m:r>
                <m:rPr>
                  <m:nor/>
                  <m:sty m:val="p"/>
                </m:rPr>
                <m:t>regional</m:t>
              </m:r>
            </m:sub>
          </m:sSub>
          <m:r>
            <m:rPr>
              <m:sty m:val="p"/>
            </m:rPr>
            <m:t>(</m:t>
          </m:r>
          <m:r>
            <m:t>a</m:t>
          </m:r>
          <m:r>
            <m:rPr>
              <m:sty m:val="p"/>
            </m:rPr>
            <m:t>,</m:t>
          </m:r>
          <m:r>
            <m:t>ω</m:t>
          </m:r>
          <m:r>
            <m:rPr>
              <m:sty m:val="p"/>
            </m:rPr>
            <m:t>)</m:t>
          </m:r>
        </m:oMath>
      </m:oMathPara>
    </w:p>
    <w:p>
      <w:pPr>
        <w:pStyle w:val="FirstParagraph"/>
      </w:pPr>
      <w:r>
        <w:t xml:space="preserve">where</w:t>
      </w:r>
      <w:r>
        <w:t xml:space="preserve"> </w:t>
      </w:r>
      <m:oMath>
        <m:sSub>
          <m:e>
            <m:r>
              <m:t>C</m:t>
            </m:r>
          </m:e>
          <m:sub>
            <m:r>
              <m:rPr>
                <m:nor/>
                <m:sty m:val="p"/>
              </m:rPr>
              <m:t>regional</m:t>
            </m:r>
          </m:sub>
        </m:sSub>
        <m:r>
          <m:rPr>
            <m:sty m:val="p"/>
          </m:rPr>
          <m:t>(</m:t>
        </m:r>
        <m:r>
          <m:t>a</m:t>
        </m:r>
        <m:r>
          <m:rPr>
            <m:sty m:val="p"/>
          </m:rPr>
          <m:t>,</m:t>
        </m:r>
        <m:r>
          <m:t>ω</m:t>
        </m:r>
        <m:r>
          <m:rPr>
            <m:sty m:val="p"/>
          </m:rPr>
          <m:t>)</m:t>
        </m:r>
      </m:oMath>
      <w:r>
        <w:t xml:space="preserve"> </w:t>
      </w:r>
      <w:r>
        <w:t xml:space="preserve">is the annualised regional infrastructure cost attributable to the pathway under the future’s hosting capacity conditions. For the biomass pathway,</w:t>
      </w:r>
      <w:r>
        <w:t xml:space="preserve"> </w:t>
      </w:r>
      <m:oMath>
        <m:sSub>
          <m:e>
            <m:r>
              <m:t>C</m:t>
            </m:r>
          </m:e>
          <m:sub>
            <m:r>
              <m:rPr>
                <m:nor/>
                <m:sty m:val="p"/>
              </m:rPr>
              <m:t>regional</m:t>
            </m:r>
          </m:sub>
        </m:sSub>
        <m:r>
          <m:rPr>
            <m:sty m:val="p"/>
          </m:rPr>
          <m:t>(</m:t>
        </m:r>
        <m:r>
          <m:t>a</m:t>
        </m:r>
        <m:r>
          <m:rPr>
            <m:sty m:val="p"/>
          </m:rPr>
          <m:t>,</m:t>
        </m:r>
        <m:r>
          <m:t>ω</m:t>
        </m:r>
        <m:r>
          <m:rPr>
            <m:sty m:val="p"/>
          </m:rPr>
          <m:t>)</m:t>
        </m:r>
      </m:oMath>
      <w:r>
        <w:t xml:space="preserve"> </w:t>
      </w:r>
      <w:r>
        <w:t xml:space="preserve">reflects any biomass supply scarcity premium declared in the biomass SignalsPack. For the electrification pathway, it reflects the upgrade cost adder associated with the upgrade class determined by the regional electricity screening module. For futures in which no upgrade is required,</w:t>
      </w:r>
      <w:r>
        <w:t xml:space="preserve"> </w:t>
      </w:r>
      <m:oMath>
        <m:sSub>
          <m:e>
            <m:r>
              <m:t>C</m:t>
            </m:r>
          </m:e>
          <m:sub>
            <m:r>
              <m:rPr>
                <m:nor/>
                <m:sty m:val="p"/>
              </m:rPr>
              <m:t>regional</m:t>
            </m:r>
          </m:sub>
        </m:sSub>
        <m:r>
          <m:rPr>
            <m:sty m:val="p"/>
          </m:rPr>
          <m:t>(</m:t>
        </m:r>
        <m:r>
          <m:t>a</m:t>
        </m:r>
        <m:r>
          <m:rPr>
            <m:sty m:val="p"/>
          </m:rPr>
          <m:t>,</m:t>
        </m:r>
        <m:r>
          <m:t>ω</m:t>
        </m:r>
        <m:r>
          <m:rPr>
            <m:sty m:val="p"/>
          </m:rPr>
          <m:t>)</m:t>
        </m:r>
        <m:r>
          <m:rPr>
            <m:sty m:val="p"/>
          </m:rPr>
          <m:t>=</m:t>
        </m:r>
        <m:r>
          <m:t>0</m:t>
        </m:r>
      </m:oMath>
      <w:r>
        <w:t xml:space="preserve"> </w:t>
      </w:r>
      <w:r>
        <w:t xml:space="preserve">for the electrification pathway.</w:t>
      </w:r>
    </w:p>
    <w:p>
      <w:pPr>
        <w:pStyle w:val="BodyText"/>
      </w:pPr>
      <w:r>
        <w:t xml:space="preserve">Site-perspective regret is defined relative to the best alternative under the site-only cost function:</w:t>
      </w:r>
    </w:p>
    <w:p>
      <w:pPr>
        <w:pStyle w:val="BodyText"/>
      </w:pPr>
      <m:oMathPara>
        <m:oMathParaPr>
          <m:jc m:val="center"/>
        </m:oMathParaPr>
        <m:oMath>
          <m:sSub>
            <m:e>
              <m:r>
                <m:t>r</m:t>
              </m:r>
            </m:e>
            <m:sub>
              <m:r>
                <m:rPr>
                  <m:nor/>
                  <m:sty m:val="p"/>
                </m:rPr>
                <m:t>site</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site</m:t>
              </m:r>
            </m:sub>
          </m:sSub>
          <m:r>
            <m:rPr>
              <m:sty m:val="p"/>
            </m:rPr>
            <m:t>(</m:t>
          </m:r>
          <m:sSup>
            <m:e>
              <m:r>
                <m:t>a</m:t>
              </m:r>
            </m:e>
            <m:sup>
              <m:r>
                <m:rPr>
                  <m:sty m:val="p"/>
                </m:rPr>
                <m:t>′</m:t>
              </m:r>
            </m:sup>
          </m:sSup>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oMath>
      </m:oMathPara>
    </w:p>
    <w:p>
      <w:pPr>
        <w:pStyle w:val="FirstParagraph"/>
      </w:pPr>
      <w:r>
        <w:t xml:space="preserve">Since lower cost is better, regret is negative for the preferred alternative and non-positive for all others. Alternatively, when cost is expressed as a loss (larger is worse), regret is the amount by which the chosen alternative’s cost exceeds the minimum available:</w:t>
      </w:r>
    </w:p>
    <w:p>
      <w:pPr>
        <w:pStyle w:val="BodyText"/>
      </w:pPr>
      <m:oMathPara>
        <m:oMathParaPr>
          <m:jc m:val="center"/>
        </m:oMathParaPr>
        <m:oMath>
          <m:sSub>
            <m:e>
              <m:r>
                <m:t>r</m:t>
              </m:r>
            </m:e>
            <m:sub>
              <m:r>
                <m:rPr>
                  <m:nor/>
                  <m:sty m:val="p"/>
                </m:rPr>
                <m:t>site</m:t>
              </m:r>
            </m:sub>
          </m:sSub>
          <m:r>
            <m:rPr>
              <m:sty m:val="p"/>
            </m:rPr>
            <m:t>(</m:t>
          </m:r>
          <m:r>
            <m:t>a</m:t>
          </m:r>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site</m:t>
              </m:r>
            </m:sub>
          </m:sSub>
          <m:r>
            <m:rPr>
              <m:sty m:val="p"/>
            </m:rPr>
            <m:t>(</m:t>
          </m:r>
          <m:sSup>
            <m:e>
              <m:r>
                <m:t>a</m:t>
              </m:r>
            </m:e>
            <m:sup>
              <m:r>
                <m:rPr>
                  <m:sty m:val="p"/>
                </m:rPr>
                <m:t>′</m:t>
              </m:r>
            </m:sup>
          </m:sSup>
          <m:r>
            <m:rPr>
              <m:sty m:val="p"/>
            </m:rPr>
            <m:t>,</m:t>
          </m:r>
          <m:r>
            <m:t>ω</m:t>
          </m:r>
          <m:r>
            <m:rPr>
              <m:sty m:val="p"/>
            </m:rPr>
            <m:t>)</m:t>
          </m:r>
          <m:r>
            <m:rPr>
              <m:sty m:val="p"/>
            </m:rPr>
            <m:t>≥</m:t>
          </m:r>
          <m:r>
            <m:t>0</m:t>
          </m:r>
        </m:oMath>
      </m:oMathPara>
    </w:p>
    <w:p>
      <w:pPr>
        <w:pStyle w:val="FirstParagraph"/>
      </w:pPr>
      <w:r>
        <w:t xml:space="preserve">System-perspective regret is defined analogously using the infrastructure-conditional cost:</w:t>
      </w:r>
    </w:p>
    <w:p>
      <w:pPr>
        <w:pStyle w:val="BodyText"/>
      </w:pPr>
      <m:oMathPara>
        <m:oMathParaPr>
          <m:jc m:val="center"/>
        </m:oMathParaPr>
        <m:oMath>
          <m:sSub>
            <m:e>
              <m:r>
                <m:t>r</m:t>
              </m:r>
            </m:e>
            <m:sub>
              <m:r>
                <m:rPr>
                  <m:nor/>
                  <m:sty m:val="p"/>
                </m:rPr>
                <m:t>system</m:t>
              </m:r>
            </m:sub>
          </m:sSub>
          <m:r>
            <m:rPr>
              <m:sty m:val="p"/>
            </m:rPr>
            <m:t>(</m:t>
          </m:r>
          <m:r>
            <m:t>a</m:t>
          </m:r>
          <m:r>
            <m:rPr>
              <m:sty m:val="p"/>
            </m:rPr>
            <m:t>,</m:t>
          </m:r>
          <m:r>
            <m:t>ω</m:t>
          </m:r>
          <m:r>
            <m:rPr>
              <m:sty m:val="p"/>
            </m:rPr>
            <m:t>)</m:t>
          </m:r>
          <m:r>
            <m:rPr>
              <m:sty m:val="p"/>
            </m:rPr>
            <m:t>=</m:t>
          </m:r>
          <m:sSub>
            <m:e>
              <m:r>
                <m:t>C</m:t>
              </m:r>
            </m:e>
            <m:sub>
              <m:r>
                <m:rPr>
                  <m:nor/>
                  <m:sty m:val="p"/>
                </m:rPr>
                <m:t>system</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system</m:t>
              </m:r>
            </m:sub>
          </m:sSub>
          <m:r>
            <m:rPr>
              <m:sty m:val="p"/>
            </m:rPr>
            <m:t>(</m:t>
          </m:r>
          <m:sSup>
            <m:e>
              <m:r>
                <m:t>a</m:t>
              </m:r>
            </m:e>
            <m:sup>
              <m:r>
                <m:rPr>
                  <m:sty m:val="p"/>
                </m:rPr>
                <m:t>′</m:t>
              </m:r>
            </m:sup>
          </m:sSup>
          <m:r>
            <m:rPr>
              <m:sty m:val="p"/>
            </m:rPr>
            <m:t>,</m:t>
          </m:r>
          <m:r>
            <m:t>ω</m:t>
          </m:r>
          <m:r>
            <m:rPr>
              <m:sty m:val="p"/>
            </m:rPr>
            <m:t>)</m:t>
          </m:r>
          <m:r>
            <m:rPr>
              <m:sty m:val="p"/>
            </m:rPr>
            <m:t>≥</m:t>
          </m:r>
          <m:r>
            <m:t>0</m:t>
          </m:r>
        </m:oMath>
      </m:oMathPara>
    </w:p>
    <w:p>
      <w:pPr>
        <w:pStyle w:val="FirstParagraph"/>
      </w:pPr>
      <w:r>
        <w:t xml:space="preserve">The divergence function is:</w:t>
      </w:r>
    </w:p>
    <w:p>
      <w:pPr>
        <w:pStyle w:val="BodyText"/>
      </w:pPr>
      <m:oMathPara>
        <m:oMathParaPr>
          <m:jc m:val="center"/>
        </m:oMathParaPr>
        <m:oMath>
          <m:r>
            <m:rPr>
              <m:sty m:val="p"/>
            </m:rPr>
            <m:t>Δ</m:t>
          </m:r>
          <m:r>
            <m:t>r</m:t>
          </m:r>
          <m:r>
            <m:rPr>
              <m:sty m:val="p"/>
            </m:rPr>
            <m:t>(</m:t>
          </m:r>
          <m:r>
            <m:t>a</m:t>
          </m:r>
          <m:r>
            <m:rPr>
              <m:sty m:val="p"/>
            </m:rPr>
            <m:t>,</m:t>
          </m:r>
          <m:r>
            <m:t>ω</m:t>
          </m:r>
          <m:r>
            <m:rPr>
              <m:sty m:val="p"/>
            </m:rPr>
            <m:t>)</m:t>
          </m:r>
          <m:r>
            <m:rPr>
              <m:sty m:val="p"/>
            </m:rPr>
            <m:t>=</m:t>
          </m:r>
          <m:sSub>
            <m:e>
              <m:r>
                <m:t>r</m:t>
              </m:r>
            </m:e>
            <m:sub>
              <m:r>
                <m:rPr>
                  <m:nor/>
                  <m:sty m:val="p"/>
                </m:rPr>
                <m:t>system</m:t>
              </m:r>
            </m:sub>
          </m:sSub>
          <m:r>
            <m:rPr>
              <m:sty m:val="p"/>
            </m:rPr>
            <m:t>(</m:t>
          </m:r>
          <m:r>
            <m:t>a</m:t>
          </m:r>
          <m:r>
            <m:rPr>
              <m:sty m:val="p"/>
            </m:rPr>
            <m:t>,</m:t>
          </m:r>
          <m:r>
            <m:t>ω</m:t>
          </m:r>
          <m:r>
            <m:rPr>
              <m:sty m:val="p"/>
            </m:rPr>
            <m:t>)</m:t>
          </m:r>
          <m:r>
            <m:rPr>
              <m:sty m:val="p"/>
            </m:rPr>
            <m:t>−</m:t>
          </m:r>
          <m:sSub>
            <m:e>
              <m:r>
                <m:t>r</m:t>
              </m:r>
            </m:e>
            <m:sub>
              <m:r>
                <m:rPr>
                  <m:nor/>
                  <m:sty m:val="p"/>
                </m:rPr>
                <m:t>site</m:t>
              </m:r>
            </m:sub>
          </m:sSub>
          <m:r>
            <m:rPr>
              <m:sty m:val="p"/>
            </m:rPr>
            <m:t>(</m:t>
          </m:r>
          <m:r>
            <m:t>a</m:t>
          </m:r>
          <m:r>
            <m:rPr>
              <m:sty m:val="p"/>
            </m:rPr>
            <m:t>,</m:t>
          </m:r>
          <m:r>
            <m:t>ω</m:t>
          </m:r>
          <m:r>
            <m:rPr>
              <m:sty m:val="p"/>
            </m:rPr>
            <m:t>)</m:t>
          </m:r>
        </m:oMath>
      </m:oMathPara>
    </w:p>
    <w:p>
      <w:pPr>
        <w:pStyle w:val="FirstParagraph"/>
      </w:pPr>
      <w:r>
        <w:t xml:space="preserve">The divergence is zero when the site-perspective and system-perspective assessments agree on which alternative has the lower cost under future</w:t>
      </w:r>
      <w:r>
        <w:t xml:space="preserve"> </w:t>
      </w:r>
      <m:oMath>
        <m:r>
          <m:t>ω</m:t>
        </m:r>
      </m:oMath>
      <w:r>
        <w:t xml:space="preserve">. The divergence is positive when the system-perspective cost assessment, which includes</w:t>
      </w:r>
      <w:r>
        <w:t xml:space="preserve"> </w:t>
      </w:r>
      <m:oMath>
        <m:sSub>
          <m:e>
            <m:r>
              <m:t>C</m:t>
            </m:r>
          </m:e>
          <m:sub>
            <m:r>
              <m:rPr>
                <m:nor/>
                <m:sty m:val="p"/>
              </m:rPr>
              <m:t>regional</m:t>
            </m:r>
          </m:sub>
        </m:sSub>
      </m:oMath>
      <w:r>
        <w:t xml:space="preserve">, assigns a different preferred alternative from the site-perspective assessment.</w:t>
      </w:r>
    </w:p>
    <w:p>
      <w:pPr>
        <w:pStyle w:val="BodyText"/>
      </w:pPr>
      <w:r>
        <w:t xml:space="preserve">Conditions under which</w:t>
      </w:r>
      <w:r>
        <w:t xml:space="preserve"> </w:t>
      </w:r>
      <m:oMath>
        <m:r>
          <m:rPr>
            <m:sty m:val="p"/>
          </m:rPr>
          <m:t>Δ</m:t>
        </m:r>
        <m:r>
          <m:t>r</m:t>
        </m:r>
        <m:r>
          <m:rPr>
            <m:sty m:val="p"/>
          </m:rPr>
          <m:t>&gt;</m:t>
        </m:r>
        <m:r>
          <m:t>0</m:t>
        </m:r>
      </m:oMath>
      <w:r>
        <w:t xml:space="preserve"> </w:t>
      </w:r>
      <w:r>
        <w:t xml:space="preserve">are analytically predictable from the structure of the cost functions. For the electrification pathway under future</w:t>
      </w:r>
      <w:r>
        <w:t xml:space="preserve"> </w:t>
      </w:r>
      <m:oMath>
        <m:r>
          <m:t>ω</m:t>
        </m:r>
      </m:oMath>
      <w:r>
        <w:t xml:space="preserve">:</w:t>
      </w:r>
    </w:p>
    <w:p>
      <w:pPr>
        <w:pStyle w:val="BodyText"/>
      </w:pPr>
      <m:oMathPara>
        <m:oMathParaPr>
          <m:jc m:val="center"/>
        </m:oMathParaPr>
        <m:oMath>
          <m:r>
            <m:rPr>
              <m:sty m:val="p"/>
            </m:rPr>
            <m:t>Δ</m:t>
          </m:r>
          <m:r>
            <m:t>r</m:t>
          </m:r>
          <m:r>
            <m:rPr>
              <m:sty m:val="p"/>
            </m:rPr>
            <m:t>(</m:t>
          </m:r>
          <m:sSub>
            <m:e>
              <m:r>
                <m:t>a</m:t>
              </m:r>
            </m:e>
            <m:sub>
              <m:r>
                <m:rPr>
                  <m:nor/>
                  <m:sty m:val="p"/>
                </m:rPr>
                <m:t>EB</m:t>
              </m:r>
            </m:sub>
          </m:sSub>
          <m:r>
            <m:rPr>
              <m:sty m:val="p"/>
            </m:rPr>
            <m:t>,</m:t>
          </m:r>
          <m:r>
            <m:t>ω</m:t>
          </m:r>
          <m:r>
            <m:rPr>
              <m:sty m:val="p"/>
            </m:rPr>
            <m:t>)</m:t>
          </m:r>
          <m:r>
            <m:rPr>
              <m:sty m:val="p"/>
            </m:rPr>
            <m:t>&gt;</m:t>
          </m:r>
          <m:r>
            <m:t>0</m:t>
          </m:r>
          <m:r>
            <m:rPr>
              <m:sty m:val="p"/>
            </m:rPr>
            <m:t>⇔</m:t>
          </m:r>
          <m:sSub>
            <m:e>
              <m:r>
                <m:t>C</m:t>
              </m:r>
            </m:e>
            <m:sub>
              <m:r>
                <m:rPr>
                  <m:nor/>
                  <m:sty m:val="p"/>
                </m:rPr>
                <m:t>regional</m:t>
              </m:r>
            </m:sub>
          </m:sSub>
          <m:r>
            <m:rPr>
              <m:sty m:val="p"/>
            </m:rPr>
            <m:t>(</m:t>
          </m:r>
          <m:sSub>
            <m:e>
              <m:r>
                <m:t>a</m:t>
              </m:r>
            </m:e>
            <m:sub>
              <m:r>
                <m:rPr>
                  <m:nor/>
                  <m:sty m:val="p"/>
                </m:rPr>
                <m:t>EB</m:t>
              </m:r>
            </m:sub>
          </m:sSub>
          <m:r>
            <m:rPr>
              <m:sty m:val="p"/>
            </m:rPr>
            <m:t>,</m:t>
          </m:r>
          <m:r>
            <m:t>ω</m:t>
          </m:r>
          <m:r>
            <m:rPr>
              <m:sty m:val="p"/>
            </m:rPr>
            <m:t>)</m:t>
          </m:r>
          <m:r>
            <m:rPr>
              <m:sty m:val="p"/>
            </m:rPr>
            <m:t>&gt;</m:t>
          </m:r>
          <m:sSub>
            <m:e>
              <m:r>
                <m:t>C</m:t>
              </m:r>
            </m:e>
            <m:sub>
              <m:r>
                <m:rPr>
                  <m:nor/>
                  <m:sty m:val="p"/>
                </m:rPr>
                <m:t>regional</m:t>
              </m:r>
            </m:sub>
          </m:sSub>
          <m:r>
            <m:rPr>
              <m:sty m:val="p"/>
            </m:rPr>
            <m:t>(</m:t>
          </m:r>
          <m:sSub>
            <m:e>
              <m:r>
                <m:t>a</m:t>
              </m:r>
            </m:e>
            <m:sub>
              <m:r>
                <m:rPr>
                  <m:nor/>
                  <m:sty m:val="p"/>
                </m:rPr>
                <m:t>BB</m:t>
              </m:r>
            </m:sub>
          </m:sSub>
          <m:r>
            <m:rPr>
              <m:sty m:val="p"/>
            </m:rPr>
            <m:t>,</m:t>
          </m:r>
          <m:r>
            <m:t>ω</m:t>
          </m:r>
          <m:r>
            <m:rPr>
              <m:sty m:val="p"/>
            </m:rPr>
            <m:t>)</m:t>
          </m:r>
          <m:r>
            <m:rPr>
              <m:sty m:val="p"/>
            </m:rPr>
            <m:t>+</m:t>
          </m:r>
          <m:r>
            <m:rPr>
              <m:sty m:val="p"/>
            </m:rPr>
            <m:t>[</m:t>
          </m:r>
          <m:sSub>
            <m:e>
              <m:r>
                <m:t>C</m:t>
              </m:r>
            </m:e>
            <m:sub>
              <m:r>
                <m:rPr>
                  <m:nor/>
                  <m:sty m:val="p"/>
                </m:rPr>
                <m:t>site</m:t>
              </m:r>
            </m:sub>
          </m:sSub>
          <m:r>
            <m:rPr>
              <m:sty m:val="p"/>
            </m:rPr>
            <m:t>(</m:t>
          </m:r>
          <m:sSub>
            <m:e>
              <m:r>
                <m:t>a</m:t>
              </m:r>
            </m:e>
            <m:sub>
              <m:r>
                <m:rPr>
                  <m:nor/>
                  <m:sty m:val="p"/>
                </m:rPr>
                <m:t>EB</m:t>
              </m:r>
            </m:sub>
          </m:sSub>
          <m:r>
            <m:rPr>
              <m:sty m:val="p"/>
            </m:rPr>
            <m:t>,</m:t>
          </m:r>
          <m:r>
            <m:t>ω</m:t>
          </m:r>
          <m:r>
            <m:rPr>
              <m:sty m:val="p"/>
            </m:rPr>
            <m:t>)</m:t>
          </m:r>
          <m:r>
            <m:rPr>
              <m:sty m:val="p"/>
            </m:rPr>
            <m:t>−</m:t>
          </m:r>
          <m:sSub>
            <m:e>
              <m:r>
                <m:t>C</m:t>
              </m:r>
            </m:e>
            <m:sub>
              <m:r>
                <m:rPr>
                  <m:nor/>
                  <m:sty m:val="p"/>
                </m:rPr>
                <m:t>site</m:t>
              </m:r>
            </m:sub>
          </m:sSub>
          <m:r>
            <m:rPr>
              <m:sty m:val="p"/>
            </m:rPr>
            <m:t>(</m:t>
          </m:r>
          <m:sSub>
            <m:e>
              <m:r>
                <m:t>a</m:t>
              </m:r>
            </m:e>
            <m:sub>
              <m:r>
                <m:rPr>
                  <m:nor/>
                  <m:sty m:val="p"/>
                </m:rPr>
                <m:t>BB</m:t>
              </m:r>
            </m:sub>
          </m:sSub>
          <m:r>
            <m:rPr>
              <m:sty m:val="p"/>
            </m:rPr>
            <m:t>,</m:t>
          </m:r>
          <m:r>
            <m:t>ω</m:t>
          </m:r>
          <m:r>
            <m:rPr>
              <m:sty m:val="p"/>
            </m:rPr>
            <m:t>)</m:t>
          </m:r>
          <m:r>
            <m:rPr>
              <m:sty m:val="p"/>
            </m:rPr>
            <m:t>]</m:t>
          </m:r>
        </m:oMath>
      </m:oMathPara>
    </w:p>
    <w:p>
      <w:pPr>
        <w:pStyle w:val="FirstParagraph"/>
      </w:pPr>
      <w:r>
        <w:t xml:space="preserve">In plain terms: the divergence is positive when the regional cost adder associated with electrification exceeds both the biomass resource cost adder and the private cost advantage of electrification over biomass. This occurs in futures where GXP hosting capacity is exceeded (triggering a major upgrade class) and where the ETS carbon price advantage of electrification is insufficient to offset the infrastructure cost. These are precisely the 23 futures in the Edendale ensemble where the divergence finding is reported in §6.9.</w:t>
      </w:r>
    </w:p>
    <w:p>
      <w:pPr>
        <w:pStyle w:val="BodyText"/>
      </w:pPr>
      <w:r>
        <w:t xml:space="preserve">Policy interpretation. The divergence function</w:t>
      </w:r>
      <w:r>
        <w:t xml:space="preserve"> </w:t>
      </w:r>
      <m:oMath>
        <m:r>
          <m:rPr>
            <m:sty m:val="p"/>
          </m:rPr>
          <m:t>Δ</m:t>
        </m:r>
        <m:r>
          <m:t>r</m:t>
        </m:r>
        <m:r>
          <m:rPr>
            <m:sty m:val="p"/>
          </m:rPr>
          <m:t>(</m:t>
        </m:r>
        <m:r>
          <m:t>a</m:t>
        </m:r>
        <m:r>
          <m:rPr>
            <m:sty m:val="p"/>
          </m:rPr>
          <m:t>,</m:t>
        </m:r>
        <m:r>
          <m:t>ω</m:t>
        </m:r>
        <m:r>
          <m:rPr>
            <m:sty m:val="p"/>
          </m:rPr>
          <m:t>)</m:t>
        </m:r>
      </m:oMath>
      <w:r>
        <w:t xml:space="preserve"> </w:t>
      </w:r>
      <w:r>
        <w:t xml:space="preserve">provides a quantitative measure of the incentive misalignment created by current network pricing arrangements. A future in which</w:t>
      </w:r>
      <w:r>
        <w:t xml:space="preserve"> </w:t>
      </w:r>
      <m:oMath>
        <m:r>
          <m:rPr>
            <m:sty m:val="p"/>
          </m:rPr>
          <m:t>Δ</m:t>
        </m:r>
        <m:r>
          <m:t>r</m:t>
        </m:r>
        <m:r>
          <m:rPr>
            <m:sty m:val="p"/>
          </m:rPr>
          <m:t>(</m:t>
        </m:r>
        <m:sSub>
          <m:e>
            <m:r>
              <m:t>a</m:t>
            </m:r>
          </m:e>
          <m:sub>
            <m:r>
              <m:rPr>
                <m:nor/>
                <m:sty m:val="p"/>
              </m:rPr>
              <m:t>EB</m:t>
            </m:r>
          </m:sub>
        </m:sSub>
        <m:r>
          <m:rPr>
            <m:sty m:val="p"/>
          </m:rPr>
          <m:t>,</m:t>
        </m:r>
        <m:r>
          <m:t>ω</m:t>
        </m:r>
        <m:r>
          <m:rPr>
            <m:sty m:val="p"/>
          </m:rPr>
          <m:t>)</m:t>
        </m:r>
        <m:r>
          <m:rPr>
            <m:sty m:val="p"/>
          </m:rPr>
          <m:t>&gt;</m:t>
        </m:r>
        <m:r>
          <m:t>0</m:t>
        </m:r>
      </m:oMath>
      <w:r>
        <w:t xml:space="preserve"> </w:t>
      </w:r>
      <w:r>
        <w:t xml:space="preserve">is a future in which the site operator, making a private investment decision on the basis of</w:t>
      </w:r>
      <w:r>
        <w:t xml:space="preserve"> </w:t>
      </w:r>
      <m:oMath>
        <m:sSub>
          <m:e>
            <m:r>
              <m:t>C</m:t>
            </m:r>
          </m:e>
          <m:sub>
            <m:r>
              <m:rPr>
                <m:nor/>
                <m:sty m:val="p"/>
              </m:rPr>
              <m:t>site</m:t>
            </m:r>
          </m:sub>
        </m:sSub>
      </m:oMath>
      <w:r>
        <w:t xml:space="preserve">, would choose or prefer the electrification pathway, while a system planner evaluating all costs would prefer the biomass pathway. The magnitude of</w:t>
      </w:r>
      <w:r>
        <w:t xml:space="preserve"> </w:t>
      </w:r>
      <m:oMath>
        <m:r>
          <m:rPr>
            <m:sty m:val="p"/>
          </m:rPr>
          <m:t>Δ</m:t>
        </m:r>
        <m:r>
          <m:t>r</m:t>
        </m:r>
      </m:oMath>
      <w:r>
        <w:t xml:space="preserve"> </w:t>
      </w:r>
      <w:r>
        <w:t xml:space="preserve">in that future represents the minimum network cost adder that would need to be charged to the site operator to align private and system incentives. A policy instrument that charges this adder, whether through connection agreement terms, a capacity charge, or a reformed network tariff, would eliminate the divergence in that future.</w:t>
      </w:r>
    </w:p>
    <w:p>
      <w:pPr>
        <w:pStyle w:val="BodyText"/>
      </w:pPr>
      <w:r>
        <w:t xml:space="preserve">The divergence analysis does not prescribe which policy instrument is most appropriate. It does prescribe, with analytical precision, what the incentive misalignment is, in which futures it occurs, and what magnitude of cost reallocation would correct it. This precision is what distinguishes the framework’s policy contribution from a qualitative observation about incentive problems in the electricity sector.</w:t>
      </w:r>
    </w:p>
    <w:bookmarkEnd w:id="170"/>
    <w:bookmarkEnd w:id="171"/>
    <w:bookmarkStart w:id="172" w:name="the-evidence"/>
    <w:p>
      <w:pPr>
        <w:pStyle w:val="Heading1"/>
      </w:pPr>
      <w:r>
        <w:t xml:space="preserve">25. The Evidence</w:t>
      </w:r>
    </w:p>
    <w:p>
      <w:pPr>
        <w:pStyle w:val="FirstParagraph"/>
      </w:pPr>
      <w:r>
        <w:t xml:space="preserve">Modules 5 and 6 instantiate the framework in the</w:t>
      </w:r>
      <w:r>
        <w:t xml:space="preserve"> </w:t>
      </w:r>
      <w:r>
        <w:t xml:space="preserve">specific context of industrial process heat</w:t>
      </w:r>
      <w:r>
        <w:t xml:space="preserve"> </w:t>
      </w:r>
      <w:r>
        <w:t xml:space="preserve">decarbonisation in New Zealand, culminating in the</w:t>
      </w:r>
      <w:r>
        <w:t xml:space="preserve"> </w:t>
      </w:r>
      <w:r>
        <w:t xml:space="preserve">Edendale–Southland proof of concept evaluated across</w:t>
      </w:r>
      <w:r>
        <w:t xml:space="preserve"> </w:t>
      </w:r>
      <w:r>
        <w:t xml:space="preserve">a 100-future ensemble.</w:t>
      </w:r>
    </w:p>
    <w:bookmarkEnd w:id="172"/>
    <w:bookmarkStart w:id="191" w:name="module-5-the-new-zealand-context"/>
    <w:p>
      <w:pPr>
        <w:pStyle w:val="Heading1"/>
      </w:pPr>
      <w:r>
        <w:t xml:space="preserve">26. Module 5: The New Zealand Context</w:t>
      </w:r>
    </w:p>
    <w:p>
      <w:pPr>
        <w:pStyle w:val="FirstParagraph"/>
      </w:pPr>
      <w:r>
        <w:t xml:space="preserve">Conditions, Constraints, and Empirical Grounding</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5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Grounds the framework’s architectural decisions in the specific New Zealand conditions that motivate the proof of concept, tracing each uncertain driver in the FutureArtefact ensemble to an observable, documented New Zealand condition</w:t>
                  </w:r>
                </w:p>
              </w:tc>
            </w:tr>
            <w:tr>
              <w:tc>
                <w:tcPr/>
                <w:p>
                  <w:pPr>
                    <w:pStyle w:val="Compact"/>
                  </w:pPr>
                  <w:r>
                    <w:rPr>
                      <w:b/>
                      <w:bCs/>
                    </w:rPr>
                    <w:t xml:space="preserve">Assumes</w:t>
                  </w:r>
                </w:p>
              </w:tc>
              <w:tc>
                <w:tcPr/>
                <w:p>
                  <w:pPr>
                    <w:pStyle w:val="Compact"/>
                  </w:pPr>
                  <w:r>
                    <w:t xml:space="preserve">Module 4, particularly Module 4 §4.2 (industrial process heat) and Module 4 §4.4 (system-level regret); Module 3 §3.5 for the FutureArtefact schema</w:t>
                  </w:r>
                </w:p>
              </w:tc>
            </w:tr>
            <w:tr>
              <w:tc>
                <w:tcPr/>
                <w:p>
                  <w:pPr>
                    <w:pStyle w:val="Compact"/>
                  </w:pPr>
                  <w:r>
                    <w:rPr>
                      <w:b/>
                      <w:bCs/>
                    </w:rPr>
                    <w:t xml:space="preserve">Contributes</w:t>
                  </w:r>
                </w:p>
              </w:tc>
              <w:tc>
                <w:tcPr/>
                <w:p>
                  <w:pPr>
                    <w:pStyle w:val="Compact"/>
                  </w:pPr>
                  <w:r>
                    <w:t xml:space="preserve">The structural disconnect between the renewable grid and the fossil heat sector; the GXP hosting capacity concept and Southland-specific constraints; biomass as a competing pathway with its resource and logistics characteristics; policy uncertainty as a structural analytical driver; the positioning of RETA, GIDI, and TIMES-NZ as complementary analytical tools; and the explicit mapping of every FutureArtefact uncertain driver to an observable NZ condition</w:t>
                  </w:r>
                </w:p>
              </w:tc>
            </w:tr>
            <w:tr>
              <w:tc>
                <w:tcPr/>
                <w:p>
                  <w:pPr>
                    <w:pStyle w:val="Compact"/>
                  </w:pPr>
                  <w:r>
                    <w:rPr>
                      <w:b/>
                      <w:bCs/>
                    </w:rPr>
                    <w:t xml:space="preserve">Passes to</w:t>
                  </w:r>
                </w:p>
              </w:tc>
              <w:tc>
                <w:tcPr/>
                <w:p>
                  <w:pPr>
                    <w:pStyle w:val="Compact"/>
                  </w:pPr>
                  <w:r>
                    <w:t xml:space="preserve">Module 6 (proof-of-concept implementation and results)</w:t>
                  </w:r>
                </w:p>
              </w:tc>
            </w:tr>
            <w:tr>
              <w:tc>
                <w:tcPr/>
                <w:p>
                  <w:pPr>
                    <w:pStyle w:val="Compact"/>
                  </w:pPr>
                  <w:r>
                    <w:rPr>
                      <w:b/>
                      <w:bCs/>
                    </w:rPr>
                    <w:t xml:space="preserve">Can be read independently</w:t>
                  </w:r>
                </w:p>
              </w:tc>
              <w:tc>
                <w:tcPr/>
                <w:p>
                  <w:pPr>
                    <w:pStyle w:val="Compact"/>
                  </w:pPr>
                  <w:r>
                    <w:t xml:space="preserve">Partially — §5.1 and §5.2 can be read independently with Module 4; §5.6 requires Module 3 §3.5</w:t>
                  </w:r>
                </w:p>
              </w:tc>
            </w:tr>
            <w:tr>
              <w:tc>
                <w:tcPr/>
                <w:p>
                  <w:pPr>
                    <w:pStyle w:val="Compact"/>
                  </w:pPr>
                  <w:r>
                    <w:rPr>
                      <w:b/>
                      <w:bCs/>
                    </w:rPr>
                    <w:t xml:space="preserve">Sub-Modules</w:t>
                  </w:r>
                </w:p>
              </w:tc>
              <w:tc>
                <w:tcPr/>
                <w:p>
                  <w:pPr>
                    <w:pStyle w:val="Compact"/>
                  </w:pPr>
                  <w:r>
                    <w:t xml:space="preserve">SM-5.2-A (Mararoa-Waimea GXP Capacity Data); SM-5.3-A (Southland Biomass Resource and Cost Estimates); SM-5.4-A (NZ ETS Design History and Price Trajectory)</w:t>
                  </w:r>
                </w:p>
              </w:tc>
            </w:tr>
          </w:tbl>
          <w:p/>
        </w:tc>
      </w:tr>
    </w:tbl>
    <w:bookmarkStart w:id="173" w:name="X42f27b8136a78a21b919a4d949d9035fbd72c78"/>
    <w:p>
      <w:pPr>
        <w:pStyle w:val="Heading2"/>
      </w:pPr>
      <w:r>
        <w:t xml:space="preserve">26.1 §5.1 A Renewable Grid Against a Fossil Heat Sector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§5.1 A Renewable Grid Against a Fossil Heat Sector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4 §4.2</w:t>
                  </w:r>
                </w:p>
              </w:tc>
            </w:tr>
            <w:tr>
              <w:tc>
                <w:tcPr/>
                <w:p>
                  <w:pPr>
                    <w:pStyle w:val="Compact"/>
                  </w:pPr>
                  <w:r>
                    <w:rPr>
                      <w:b/>
                      <w:bCs/>
                    </w:rPr>
                    <w:t xml:space="preserve">Contributes</w:t>
                  </w:r>
                </w:p>
              </w:tc>
              <w:tc>
                <w:tcPr/>
                <w:p>
                  <w:pPr>
                    <w:pStyle w:val="Compact"/>
                  </w:pPr>
                  <w:r>
                    <w:t xml:space="preserve">Establishes the structural disconnect between New Zealand’s predominantly renewable electricity system and its persistently fossil-fuelled industrial heat sector, with the geographic and institutional features that make this disconnect analytically tractable</w:t>
                  </w:r>
                </w:p>
              </w:tc>
            </w:tr>
            <w:tr>
              <w:tc>
                <w:tcPr/>
                <w:p>
                  <w:pPr>
                    <w:pStyle w:val="Compact"/>
                  </w:pPr>
                  <w:r>
                    <w:rPr>
                      <w:b/>
                      <w:bCs/>
                    </w:rPr>
                    <w:t xml:space="preserve">Skip condition</w:t>
                  </w:r>
                </w:p>
              </w:tc>
              <w:tc>
                <w:tcPr/>
                <w:p>
                  <w:pPr>
                    <w:pStyle w:val="Compact"/>
                  </w:pPr>
                  <w:r>
                    <w:t xml:space="preserve">Skip if reader is already familiar with the NZ energy system’s structural features and the process heat emissions profile</w:t>
                  </w:r>
                </w:p>
              </w:tc>
            </w:tr>
            <w:tr>
              <w:tc>
                <w:tcPr/>
                <w:p>
                  <w:pPr>
                    <w:pStyle w:val="Compact"/>
                  </w:pPr>
                  <w:r>
                    <w:rPr>
                      <w:b/>
                      <w:bCs/>
                    </w:rPr>
                    <w:t xml:space="preserve">Passes to</w:t>
                  </w:r>
                </w:p>
              </w:tc>
              <w:tc>
                <w:tcPr/>
                <w:p>
                  <w:pPr>
                    <w:pStyle w:val="Compact"/>
                  </w:pPr>
                  <w:r>
                    <w:t xml:space="preserve">§5.2, §5.3, §5.4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New Zealand occupies an unusual position in the global energy transition. Its electricity system is among the most renewable in the developed world, drawing the great majority of its generation from hydro, geothermal, and wind resources. The approximate shares by generation technology over recent years, hydro contributing around 57 to 60 percent of annual generation, geothermal contributing 18 to 20 percent, and wind contributing a further 7 to 9 percent, combine to give New Zealand one of the lowest grid carbon intensities of any industrialised country. The electricity system is not decarbonised; it remains exposed to dry hydro years and to gas-fired peaking generation that operates under high hydro scarcity conditions. But its structural carbon intensity is low and declining, and the marginal emissions from incremental grid electricity consumption are substantially below those of fossil fuel combustion at the point of use.</w:t>
      </w:r>
    </w:p>
    <w:p>
      <w:pPr>
        <w:pStyle w:val="BodyText"/>
      </w:pPr>
      <w:r>
        <w:t xml:space="preserve">Against this low-carbon electricity system stands a process heat sector that remains overwhelmingly dependent on fossil fuels. Industrial and commercial process heat accounts for approximately 27 to 30 percent of New Zealand’s total energy-related greenhouse gas emissions, and fossil fuels serve the large majority of that heat demand. The structural explanation for this persistence is not primarily technological. It is geographic and infrastructural. New Zealand’s industrial heat users are distributed across a largely rural landscape, connected to a transmission and distribution network that was designed around historical industrial load profiles and that was not engineered to absorb large additional loads without reinforcement. The economics of electrification depend on access to a transmission grid that can deliver the required increment of electricity reliably and at acceptable cost. In many locations, that access requires infrastructure investment that is neither trivial nor guaranteed.</w:t>
      </w:r>
    </w:p>
    <w:p>
      <w:pPr>
        <w:pStyle w:val="BodyText"/>
      </w:pPr>
      <w:r>
        <w:t xml:space="preserve">A further structural feature of the New Zealand process heat sector is its geographic division between fuel types. The North Island’s industrial heat demand is served predominantly by natural gas, supplied through the Maui and Pohokura fields via the national high-pressure gas transmission network. The South Island has no natural gas transmission network. Its industrial heat demand has historically been served by coal, the majority of it South Island coal mined at the Escarpment and Stockton mines on the West Coast and transported by rail and road to industrial users in the Southland, Canterbury, and Otago regions. The South Island’s industrial process heat sector is therefore a coal-decarbonisation problem in a way that the North Island’s is not, and the range of low-carbon alternatives differs accordingly. Biomass is more competitive in a coal-replacement context than in a gas-replacement context because the delivered cost premium of biomass over coal is smaller than the delivered cost premium of biomass over gas.</w:t>
      </w:r>
    </w:p>
    <w:p>
      <w:pPr>
        <w:pStyle w:val="BodyText"/>
      </w:pPr>
      <w:r>
        <w:t xml:space="preserve">Fonterra’s commitment, made publicly and incorporated into its sustainability reporting framework, to eliminate coal from its New Zealand manufacturing operations by 2037 creates a specific and time-bounded decision context for the largest single industrial heat user in the country. Fonterra operates eight large dairy processing facilities in the South Island alone, together consuming a substantial fraction of the South Island’s total industrial coal demand. The scale and concentration of this demand commitment makes the transition pathway choices analytically important beyond the individual facility level: the aggregate grid impact of multiple large-scale electrification decisions occurring simultaneously within the same regional transmission zone creates infrastructure consequences that individual site assessments cannot anticipate and that make the system-level regret architecture of Module 4 analytically necessary rather than merely theoretically attractive.</w:t>
      </w:r>
    </w:p>
    <w:p>
      <w:pPr>
        <w:pStyle w:val="BodyText"/>
      </w:pPr>
      <w:r>
        <w:t xml:space="preserve">The structural disconnect identified here, a low-carbon grid that is not straightforwardly accessible to the large fossil-fuelled heat users most likely to benefit from electrification, is the empirical grounding for the framework’s multi-layer architecture. It is what makes the GXP hosting capacity assessment a first-order analytical concern rather than a background condition, and it is what gives the 23-of-64 finding its practical significance.</w:t>
      </w:r>
    </w:p>
    <w:bookmarkEnd w:id="173"/>
    <w:bookmarkStart w:id="177" w:name="X891d674826d880c2249b3db4854e81ba8a72245"/>
    <w:p>
      <w:pPr>
        <w:pStyle w:val="Heading2"/>
      </w:pPr>
      <w:r>
        <w:t xml:space="preserve">26.2 §5.2 The GXP Structure and Electrification Constraints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§5.2 The GXP Structure and Electrification Constraints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Explains the GXP hosting capacity concept, the commercial and technical terms governing new and altered connections in the Southland distribution network, and the sources of uncertainty in headroom estimation</w:t>
                  </w:r>
                </w:p>
              </w:tc>
            </w:tr>
            <w:tr>
              <w:tc>
                <w:tcPr/>
                <w:p>
                  <w:pPr>
                    <w:pStyle w:val="Compact"/>
                  </w:pPr>
                  <w:r>
                    <w:rPr>
                      <w:b/>
                      <w:bCs/>
                    </w:rPr>
                    <w:t xml:space="preserve">Skip condition</w:t>
                  </w:r>
                </w:p>
              </w:tc>
              <w:tc>
                <w:tcPr/>
                <w:p>
                  <w:pPr>
                    <w:pStyle w:val="Compact"/>
                  </w:pPr>
                  <w:r>
                    <w:t xml:space="preserve">Skip if reader already knows the NZ GXP structure and distribution network connection terms</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SM-5.2-A: Mararoa-Waimea GXP Capacity Data</w:t>
                  </w:r>
                </w:p>
              </w:tc>
            </w:tr>
          </w:tbl>
          <w:p/>
        </w:tc>
      </w:tr>
    </w:tbl>
    <w:p>
      <w:pPr>
        <w:pStyle w:val="BodyText"/>
      </w:pPr>
      <w:r>
        <w:t xml:space="preserve">The New Zealand electricity transmission system is operated by Transpower, which manages the national grid at grid exit points from which electricity flows into regional distribution networks. A Grid Exit Point (GXP) is the metered boundary between the national transmission grid and a regional distribution network. For a large industrial user seeking to electrify its heat supply, the relevant question is whether the GXP that supplies its regional distribution network has sufficient hosting capacity to accommodate the additional electrical load without triggering network reinforcement requirements. If it does, the incremental electricity can be supplied without infrastructure investment. If it does not, reinforcement is required, and the commercial terms governing who funds that reinforcement determine whether the electrification pathway’s economics are as favourable from the site perspective as they appear.</w:t>
      </w:r>
    </w:p>
    <w:p>
      <w:pPr>
        <w:pStyle w:val="BodyText"/>
      </w:pPr>
      <w:r>
        <w:t xml:space="preserve">PowerNet Limited manages the electricity distribution networks in the Southland, Otago, and parts of the West Coast regions on behalf of the network owners Electricity Invercargill Limited, Electricity Southland Limited, and The Power Company Limited. Under the commercial terms governing new and altered connections on these networks, a new connection or a significant increase in contracted supply capacity triggers an economic calculation comparing the estimated cost of any required network extension or upgrade with the Network Contribution, the amount the network determines as the maximum giving an economic return from future line charges at the requested supply capacity. If the estimated extension and upgrade cost exceeds the Network Contribution, the customer is required to pay the difference as a Customer Contribution, an up-front lump-sum payment covering the network investment that will not be recovered through future line charges alone.</w:t>
      </w:r>
    </w:p>
    <w:p>
      <w:pPr>
        <w:pStyle w:val="BodyText"/>
      </w:pPr>
      <w:r>
        <w:t xml:space="preserve">For large industrial connections with a contracted supply capacity exceeding 100 kVA, additional obligations apply. When the projected coincident demand of the new connection exceeds 10 percent of the available subtransmission capacity at the relevant zone substation, and the existing demand at that substation already exceeds 80 percent of its firm capacity, a Customer Contribution towards subtransmission network expansion may be required. The customer is also required to enter into a Capacity Guarantee Agreement, a formal contractual commitment to maintain the contracted supply capacity for a period of ten years, or to compensate the network for the balance of its unrecovered investment if the capacity is reduced before that period expires. These commercial terms are directly relevant to the framework’s system-level regret calculation: the Customer Contribution and associated network upgrade costs represent a genuine system cost that may not appear in the site-perspective assessment but is borne by someone, either the connecting customer or the broader network, depending on the specific commercial outcome of the connection assessment.</w:t>
      </w:r>
    </w:p>
    <w:p>
      <w:pPr>
        <w:pStyle w:val="BodyText"/>
      </w:pPr>
      <w:r>
        <w:t xml:space="preserve">The Edendale dairy processing facility connects to the national transmission system at the Edendale GXP (identifier EDN0331) within the Mararoa-Waimea transmission cluster. The Mararoa-Waimea cluster serves the eastern Southland region and supplies Fonterra’s Edendale facility, which is among the largest individual electricity consumers connected to this part of the Southland distribution network. The GXP’s hosting capacity, meaning the additional electrical demand that can be accommodated without triggering subtransmission reinforcement, is subject to genuine uncertainty because it depends on the simultaneously evolving demand from other users in the zone, the timing of planned Transpower investments in the national grid infrastructure serving the cluster, and the coincident demand pattern of any new large loads connecting in the same region.</w:t>
      </w:r>
    </w:p>
    <w:p>
      <w:pPr>
        <w:pStyle w:val="BodyText"/>
      </w:pPr>
      <w:r>
        <w:t xml:space="preserve">The uncertainty in headroom estimation is the empirical basis for the headroom multiplier dimension of the FutureArtefact ensemble. The multiplier spans the range from a constrained scenario, in which other industrial users in the region are also electrifying and residual headroom is limited, to an unconstrained scenario, in which the reference headroom is available in full. Sub-Module SM-5.2-A documents the published capacity data for the Mararoa-Waimea cluster and the reserve margin methodology that governs how headroom is estimated.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tip.png" id="175"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SM-5.2-A</w:t>
            </w:r>
          </w:p>
        </w:tc>
      </w:tr>
      <w:tr>
        <w:trPr>
          <w:cantSplit/>
        </w:trPr>
        <w:tc>
          <w:tcPr>
            <w:tcMar>
              <w:top w:w="108" w:type="dxa"/>
              <w:bottom w:w="108" w:type="dxa"/>
            </w:tcMar>
          </w:tcPr>
          <w:p>
            <w:pPr>
              <w:pStyle w:val="BodyText"/>
            </w:pPr>
            <w:pPr>
              <w:spacing w:before="16" w:after="16"/>
            </w:pPr>
            <w:r>
              <w:t xml:space="preserve">Mararoa-Waimea GXP Capacity Data — published capacity figures, reserve margin methodology, and uncertainty sources — is in</w:t>
            </w:r>
            <w:r>
              <w:t xml:space="preserve"> </w:t>
            </w:r>
            <w:hyperlink r:id="rId176">
              <w:r>
                <w:rPr>
                  <w:rStyle w:val="Hyperlink"/>
                </w:rPr>
                <w:t xml:space="preserve">SM-5.2-A</w:t>
              </w:r>
            </w:hyperlink>
            <w:r>
              <w:t xml:space="preserve">. Process when verifying the headroom multiplier range used in the FutureArtefact ensemble design.</w:t>
            </w:r>
          </w:p>
          <w:p/>
        </w:tc>
      </w:tr>
    </w:tbl>
    <w:bookmarkEnd w:id="177"/>
    <w:bookmarkStart w:id="181" w:name="biomass-as-the-competing-pathway"/>
    <w:p>
      <w:pPr>
        <w:pStyle w:val="Heading2"/>
      </w:pPr>
      <w:r>
        <w:t xml:space="preserve">26.3 §5.3 Biomass as the Competing Pathway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§5.3 Biomass as the Competing Pathway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Establishes biomass conversion as a technically credible and infrastructure-independent competing pathway for the Edendale coal replacement decision, with the supply chain characteristics and resource uncertainties that motivate its FutureArtefact treatment</w:t>
                  </w:r>
                </w:p>
              </w:tc>
            </w:tr>
            <w:tr>
              <w:tc>
                <w:tcPr/>
                <w:p>
                  <w:pPr>
                    <w:pStyle w:val="Compact"/>
                  </w:pPr>
                  <w:r>
                    <w:rPr>
                      <w:b/>
                      <w:bCs/>
                    </w:rPr>
                    <w:t xml:space="preserve">Skip condition</w:t>
                  </w:r>
                </w:p>
              </w:tc>
              <w:tc>
                <w:tcPr/>
                <w:p>
                  <w:pPr>
                    <w:pStyle w:val="Compact"/>
                  </w:pPr>
                  <w:r>
                    <w:t xml:space="preserve">Skip if reader already understands the Southland biomass supply context</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SM-5.3-A: Southland Biomass Resource and Cost Estimates</w:t>
                  </w:r>
                </w:p>
              </w:tc>
            </w:tr>
          </w:tbl>
          <w:p/>
        </w:tc>
      </w:tr>
    </w:tbl>
    <w:p>
      <w:pPr>
        <w:pStyle w:val="BodyText"/>
      </w:pPr>
      <w:r>
        <w:t xml:space="preserve">Biomass combustion for industrial process heat is not a new technology, and in a coal-replacement context it represents a well-understood transition option with several structural advantages over electrification. It does not require grid infrastructure development. It uses existing combustion and steam generation equipment, which can be modified rather than replaced to accept biomass fuel, reducing capital expenditure relative to a full boiler replacement. It is not exposed to electricity price volatility or electricity market scarcity events. And in New Zealand’s carbon pricing environment, biomass combustion from sustainably managed forestry is treated as carbon-neutral for ETS purposes, eliminating the ETS cost exposure that coal combustion carries.</w:t>
      </w:r>
    </w:p>
    <w:p>
      <w:pPr>
        <w:pStyle w:val="BodyText"/>
      </w:pPr>
      <w:r>
        <w:t xml:space="preserve">The principal competing pathway in the Edendale proof of concept is the 2035_BB biomass boiler pathway: a configuration in which the facility’s coal-fired boilers are replaced with or converted to burn wood residues and forest biomass sourced from the Southland regional supply chain. New Zealand’s South Island has a substantial plantation forestry estate, dominated by Pinus radiata, concentrated in the Southland, Otago, and West Coast regions. The harvesting cycle for commercial plantation forestry produces significant volumes of residue material, logging slash, bark, sawmill offcuts, and harvest debris, that are available as biomass fuel feedstock. Much of this material currently has limited alternative economic use, making it potentially available at a cost that is competitive with coal on an energy-equivalent basis.</w:t>
      </w:r>
    </w:p>
    <w:p>
      <w:pPr>
        <w:pStyle w:val="BodyText"/>
      </w:pPr>
      <w:r>
        <w:t xml:space="preserve">The economics of the biomass pathway depend on three interacting factors that are each genuinely uncertain at the planning horizon relevant to a 2035 investment decision. The first is biomass availability, which is a function of plantation harvest schedules, the competing demand from other potential biomass users including the wood-processing industries, electricity generators with co-generation capacity, and any new industrial biomass demand from other coal-phase-out commitments in the same region. The Southland region’s dairy, meat processing, and wood products sectors share potential access to the same biomass resource base, and the simultaneous pursuit of biomass pathways by multiple users could constrain availability and drive up delivered costs above levels that are currently indicative.</w:t>
      </w:r>
    </w:p>
    <w:p>
      <w:pPr>
        <w:pStyle w:val="BodyText"/>
      </w:pPr>
      <w:r>
        <w:t xml:space="preserve">The second factor is delivered cost, which reflects logistics as much as feedstock price. Biomass has a lower energy density than coal on both a mass and volume basis, meaning that the transport cost per unit of delivered energy is higher. The delivered cost from a specific supply zone to the Edendale facility depends on the distance from the supply cluster, the transport mode, and the processing required to bring the moisture content and particle size within combustion specifications. These logistics characteristics mean that the biomass supply chain is spatially sensitive in a way that the coal supply chain, which uses established rail logistics from the West Coast, was not.</w:t>
      </w:r>
    </w:p>
    <w:p>
      <w:pPr>
        <w:pStyle w:val="BodyText"/>
      </w:pPr>
      <w:r>
        <w:t xml:space="preserve">The third factor is the sustainability certification requirement. While biomass is treated as carbon-neutral under New Zealand’s ETS, the policy treatment is subject to ongoing review, and the conditions under which biomass remains exempt from ETS liability may change. Internationally, sustainability certification requirements for biomass are becoming more stringent, and facilities seeking to use biomass as a coal replacement under corporate sustainability commitments face reputational as well as regulatory risks if supply chain sustainability is inadequately documented. Sub-Module SM-5.3-A provides the resource and cost estimates and the FutureArtefact calibration for biomass availability and cost multipliers.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opt/quarto/share/formats/docx/tip.png" id="17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SM-5.3-A</w:t>
            </w:r>
          </w:p>
        </w:tc>
      </w:tr>
      <w:tr>
        <w:trPr>
          <w:cantSplit/>
        </w:trPr>
        <w:tc>
          <w:tcPr>
            <w:tcMar>
              <w:top w:w="108" w:type="dxa"/>
              <w:bottom w:w="108" w:type="dxa"/>
            </w:tcMar>
          </w:tcPr>
          <w:p>
            <w:pPr>
              <w:pStyle w:val="BodyText"/>
            </w:pPr>
            <w:pPr>
              <w:spacing w:before="16" w:after="16"/>
            </w:pPr>
            <w:r>
              <w:t xml:space="preserve">Southland Biomass Resource and Cost Estimates — resource volumes, delivered cost structure, seasonal availability, and FutureArtefact multiplier calibration — is in</w:t>
            </w:r>
            <w:r>
              <w:t xml:space="preserve"> </w:t>
            </w:r>
            <w:hyperlink r:id="rId180">
              <w:r>
                <w:rPr>
                  <w:rStyle w:val="Hyperlink"/>
                </w:rPr>
                <w:t xml:space="preserve">SM-5.3-A</w:t>
              </w:r>
            </w:hyperlink>
            <w:r>
              <w:t xml:space="preserve">. Process when verifying the biomass availability and cost multiplier ranges.</w:t>
            </w:r>
          </w:p>
          <w:p/>
        </w:tc>
      </w:tr>
    </w:tbl>
    <w:bookmarkEnd w:id="181"/>
    <w:bookmarkStart w:id="185" w:name="X761b17aa00cb4739adbce9780d9e5e212782311"/>
    <w:p>
      <w:pPr>
        <w:pStyle w:val="Heading2"/>
      </w:pPr>
      <w:r>
        <w:t xml:space="preserve">26.4 §5.4 Policy Uncertainty as a Structural Driver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§5.4 Policy Uncertainty as a Structural Driver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Establishes New Zealand’s carbon pricing and coal phase-out policy environment as a source of structural analytical uncertainty, distinct from parametric or statistical uncertainty</w:t>
                  </w:r>
                </w:p>
              </w:tc>
            </w:tr>
            <w:tr>
              <w:tc>
                <w:tcPr/>
                <w:p>
                  <w:pPr>
                    <w:pStyle w:val="Compact"/>
                  </w:pPr>
                  <w:r>
                    <w:rPr>
                      <w:b/>
                      <w:bCs/>
                    </w:rPr>
                    <w:t xml:space="preserve">Skip condition</w:t>
                  </w:r>
                </w:p>
              </w:tc>
              <w:tc>
                <w:tcPr/>
                <w:p>
                  <w:pPr>
                    <w:pStyle w:val="Compact"/>
                  </w:pPr>
                  <w:r>
                    <w:t xml:space="preserve">Skip if reader already understands the NZ ETS structure and the coal phase-out policy context</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SM-5.4-A: NZ ETS Design History and Price Trajectory</w:t>
                  </w:r>
                </w:p>
              </w:tc>
            </w:tr>
          </w:tbl>
          <w:p/>
        </w:tc>
      </w:tr>
    </w:tbl>
    <w:p>
      <w:pPr>
        <w:pStyle w:val="BodyText"/>
      </w:pPr>
      <w:r>
        <w:t xml:space="preserve">Carbon pricing is the most consequential policy variable for the Edendale pathway comparison. It directly affects the operating cost of the coal-fired baseline, the ETS exposure of any pathway that retains combustion emissions, and the relative attractiveness of electrification and biomass as coal alternatives. The New Zealand Emissions Trading Scheme, the primary carbon pricing instrument in New Zealand’s climate policy, has been in operation since 2008 but has undergone such substantial design changes over that period that its future price trajectory cannot be inferred with confidence from either its historical pattern or its current settings. This is not merely a matter of parameter uncertainty; it is a matter of policy uncertainty in the structural sense of §1.3. The design of the scheme, the stringency of its industrial allocation provisions, the treatment of biomass emissions, and the level of the price cap are all subject to ongoing political and institutional contestation.</w:t>
      </w:r>
    </w:p>
    <w:p>
      <w:pPr>
        <w:pStyle w:val="BodyText"/>
      </w:pPr>
      <w:r>
        <w:t xml:space="preserve">The scheme’s price history illustrates the point. From its inception until approximately 2017, the New Zealand ETS price was suppressed to near-zero levels by the availability of cheap international units, in particular Assigned Amount Units from countries with surplus Kyoto commitments, which domestic participants could use to meet their obligations at negligible cost. The removal of international unit access in 2015 and the subsequent redesign of the scheme through the 2019 amendments produced a substantial and sustained increase in the NZU price from under NZD 10 per tonne in 2017 to above NZD 60 per tonne by 2021, with further increases to above NZD 80 per tonne by 2022 before price softening through 2023. The fixed price option, which sets a cap on the NZU price, has been progressively raised from NZD 25 per tonne to NZD 50 per tonne to the current NZD 173 per tonne, signalling an intent to allow prices to rise substantially but with the political mechanism for reversing that intent still in place.</w:t>
      </w:r>
    </w:p>
    <w:p>
      <w:pPr>
        <w:pStyle w:val="BodyText"/>
      </w:pPr>
      <w:r>
        <w:t xml:space="preserve">For an investment decision with a fifteen-year horizon, the ETS price trajectory from 2025 to 2040 is one of the most important uncertain drivers of pathway economics. The electrification pathway eliminates direct combustion emissions and therefore eliminates ETS liability on that component of the facility’s carbon account. The biomass pathway also eliminates direct combustion emissions if biomass is accepted as carbon-neutral, which is the current policy treatment but is subject to review. The coal baseline, if it were to continue, would face escalating ETS costs. The question of whether the ETS price rises sufficiently to make either transition pathway clearly more attractive than the other on carbon-cost grounds alone cannot be answered from current settings or historical trends. It requires the structured exploration across plausible ETS price trajectories that the FutureArtefact ensemble provides.</w:t>
      </w:r>
    </w:p>
    <w:p>
      <w:pPr>
        <w:pStyle w:val="BodyText"/>
      </w:pPr>
      <w:r>
        <w:t xml:space="preserve">The National Environmental Standards for Industrial Greenhouse Gas Emissions, commonly called the NES, establish a coal phase-out pathway that prohibits new coal-fired boilers above a defined scale threshold and sets sunset dates for existing coal-fired equipment in specified industrial categories. The NES timeline directly constrains the Edendale decision: the deadline for coal phase-out creates a forcing condition that makes the decision non-optional regardless of whether the pathway economics are favourable at any given ETS price. The interaction between the NES timeline and the uncertainty about which pathway performs best across plausible futures is what makes the proof-of-concept analysis analytically interesting and practically important. Sub-Module SM-5.4-A provides the ETS design history, price trajectory data, and NES timeline that ground the ETS and policy dimensions of the FutureArtefact ensemble.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tip.png" id="183"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SM-5.4-A</w:t>
            </w:r>
          </w:p>
        </w:tc>
      </w:tr>
      <w:tr>
        <w:trPr>
          <w:cantSplit/>
        </w:trPr>
        <w:tc>
          <w:tcPr>
            <w:tcMar>
              <w:top w:w="108" w:type="dxa"/>
              <w:bottom w:w="108" w:type="dxa"/>
            </w:tcMar>
          </w:tcPr>
          <w:p>
            <w:pPr>
              <w:pStyle w:val="BodyText"/>
            </w:pPr>
            <w:pPr>
              <w:spacing w:before="16" w:after="16"/>
            </w:pPr>
            <w:r>
              <w:t xml:space="preserve">NZ ETS Design History and Price Trajectory — scheme design changes, price history, and coal phase-out NES timeline — is in</w:t>
            </w:r>
            <w:r>
              <w:t xml:space="preserve"> </w:t>
            </w:r>
            <w:hyperlink r:id="rId184">
              <w:r>
                <w:rPr>
                  <w:rStyle w:val="Hyperlink"/>
                </w:rPr>
                <w:t xml:space="preserve">SM-5.4-A</w:t>
              </w:r>
            </w:hyperlink>
            <w:r>
              <w:t xml:space="preserve">. Process when verifying the ETS price range in the FutureArtefact design.</w:t>
            </w:r>
          </w:p>
          <w:p/>
        </w:tc>
      </w:tr>
    </w:tbl>
    <w:bookmarkEnd w:id="185"/>
    <w:bookmarkStart w:id="189" w:name="Xfe6c8790daed3f83747df2d46fa9865e67de80e"/>
    <w:p>
      <w:pPr>
        <w:pStyle w:val="Heading2"/>
      </w:pPr>
      <w:r>
        <w:t xml:space="preserve">26.5 §5.5 The Analytical Landscape: RETA, GIDI, and TIMES-NZ</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§5.5 The Analytical Landscape: RETA, GIDI, and TIMES-NZ</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 §5.2, §5.3, §5.4</w:t>
                  </w:r>
                </w:p>
              </w:tc>
            </w:tr>
            <w:tr>
              <w:tc>
                <w:tcPr/>
                <w:p>
                  <w:pPr>
                    <w:pStyle w:val="Compact"/>
                  </w:pPr>
                  <w:r>
                    <w:rPr>
                      <w:b/>
                      <w:bCs/>
                    </w:rPr>
                    <w:t xml:space="preserve">Contributes</w:t>
                  </w:r>
                </w:p>
              </w:tc>
              <w:tc>
                <w:tcPr/>
                <w:p>
                  <w:pPr>
                    <w:pStyle w:val="Compact"/>
                  </w:pPr>
                  <w:r>
                    <w:t xml:space="preserve">Positions the framework relative to the three principal analytical and policy tools in the NZ industrial decarbonisation landscape, establishing each as complementary to rather than competing with the framework</w:t>
                  </w:r>
                </w:p>
              </w:tc>
            </w:tr>
            <w:tr>
              <w:tc>
                <w:tcPr/>
                <w:p>
                  <w:pPr>
                    <w:pStyle w:val="Compact"/>
                  </w:pPr>
                  <w:r>
                    <w:rPr>
                      <w:b/>
                      <w:bCs/>
                    </w:rPr>
                    <w:t xml:space="preserve">Skip condition</w:t>
                  </w:r>
                </w:p>
              </w:tc>
              <w:tc>
                <w:tcPr/>
                <w:p>
                  <w:pPr>
                    <w:pStyle w:val="Compact"/>
                  </w:pPr>
                  <w:r>
                    <w:t xml:space="preserve">Skip if reader already understands the RETA, GIDI, and TIMES-NZ analytical roles</w:t>
                  </w:r>
                </w:p>
              </w:tc>
            </w:tr>
            <w:tr>
              <w:tc>
                <w:tcPr/>
                <w:p>
                  <w:pPr>
                    <w:pStyle w:val="Compact"/>
                  </w:pPr>
                  <w:r>
                    <w:rPr>
                      <w:b/>
                      <w:bCs/>
                    </w:rPr>
                    <w:t xml:space="preserve">Passes to</w:t>
                  </w:r>
                </w:p>
              </w:tc>
              <w:tc>
                <w:tcPr/>
                <w:p>
                  <w:pPr>
                    <w:pStyle w:val="Compact"/>
                  </w:pPr>
                  <w:r>
                    <w:t xml:space="preserve">§5.6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Three institutional tools shape the analytical and policy landscape within which the Edendale decision is made and within which the framework positions itself. Each serves a purpose the framework does not, and the framework addresses a gap that none of the three currently fills.</w:t>
      </w:r>
    </w:p>
    <w:p>
      <w:pPr>
        <w:pStyle w:val="BodyText"/>
      </w:pPr>
      <w:r>
        <w:t xml:space="preserve">RETA (Regional Energy Transition Accelerator) is an EECA-led programme that provides rapid, standardised assessments of decarbonisation opportunities and infrastructure requirements across New Zealand’s industrial and commercial heat sectors at a regional scale. The RETA methodology uses publicly available GXP capacity data, survey-based energy demand estimates, and indicative technology cost parameters to screen large numbers of sites quickly, identifying clusters where electrification and biomass transitions are potentially feasible and mapping the grid infrastructure that would be required to enable them. The Southland RETA assessment identifies the Mararoa-Waimea cluster as a constraint zone and provides the reference capacity estimate that grounds the headroom multiplier in the FutureArtefact ensemble. The RETA methodology is designed for coverage and speed: it produces regional maps of opportunity and constraint, not site-specific investment decisions. The framework takes RETA outputs as calibration inputs, not as decision-informing conclusions.</w:t>
      </w:r>
    </w:p>
    <w:p>
      <w:pPr>
        <w:pStyle w:val="BodyText"/>
      </w:pPr>
      <w:r>
        <w:t xml:space="preserve">GIDI (Government Investment in Decarbonising Industry) is a government co-investment fund administered by EECA that provides capital grants to industrial facilities committing to fossil fuel phase-out. GIDI funding changes the effective capital cost of transition investments for eligible applicants, shifting the private cost of the transition partially from the facility operator to the government. For the framework’s site-perspective evaluation, GIDI co-investment reduces the capital cost component of the pathway NPV calculation. For the system-perspective evaluation, GIDI funding represents a transfer that reduces the private cost without reducing the system cost; it does not affect the regional infrastructure consequences of the pathway choice. The framework’s multi-perspective evaluation makes this distinction analytically visible: a GIDI-supported electrification pathway may appear cost-competitive from the private perspective even in futures where the infrastructure-conditional system cost assessment would prefer the biomass pathway. The policy-adjusted evaluation frame of Module 4’s §4.4 is specifically designed to capture this effect.</w:t>
      </w:r>
    </w:p>
    <w:p>
      <w:pPr>
        <w:pStyle w:val="BodyText"/>
      </w:pPr>
      <w:r>
        <w:t xml:space="preserve">TIMES-NZ is New Zealand’s national energy system model, maintained by the University of Auckland’s Energy Centre. It provides economy-wide scenario analysis spanning the full energy system from primary supply to end-use demand, with the long-run investment and operational logic of a least-cost energy system optimisation under declared policy constraints including the emissions budgets. TIMES-NZ scenario outputs, including electricity price trajectories, sectoral demand projections, and national emissions pathways under different policy environments, provide exactly the kind of exogenous future condition boundary data that belong in a FutureArtefact ensemble as contextual calibration for the ETS price and electricity tariff dimensions. The framework treats TIMES-NZ scenario outputs as ensemble calibration inputs: they inform the ranges of the ETS price and electricity tariff multipliers, ensuring that the futures tested in the Edendale ensemble are consistent with plausible national energy trajectories. A more advanced integration, in which TIMES-NZ and the framework exchange scenario outputs in a Gauss-Seidel coupling, is the national-scale vision item described in Module 7.</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tip.png" id="187"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SM-5.5-A</w:t>
            </w:r>
          </w:p>
        </w:tc>
      </w:tr>
      <w:tr>
        <w:trPr>
          <w:cantSplit/>
        </w:trPr>
        <w:tc>
          <w:tcPr>
            <w:tcMar>
              <w:top w:w="108" w:type="dxa"/>
              <w:bottom w:w="108" w:type="dxa"/>
            </w:tcMar>
          </w:tcPr>
          <w:p>
            <w:pPr>
              <w:pStyle w:val="BodyText"/>
            </w:pPr>
            <w:pPr>
              <w:spacing w:before="16" w:after="16"/>
            </w:pPr>
            <w:r>
              <w:rPr>
                <w:b/>
                <w:bCs/>
              </w:rPr>
              <w:t xml:space="preserve">TIMES-NZ and the NZ Energy Modelling Ecosystem</w:t>
            </w:r>
            <w:r>
              <w:t xml:space="preserve"> </w:t>
            </w:r>
            <w:r>
              <w:t xml:space="preserve">— detailed technical assessment of TIMES-NZ capabilities, the wider NZ modelling ecosystem, integration pathways, and the ReferenceArtefact specification for governed external document linkage — is in</w:t>
            </w:r>
            <w:r>
              <w:t xml:space="preserve"> </w:t>
            </w:r>
            <w:hyperlink r:id="rId188">
              <w:r>
                <w:rPr>
                  <w:rStyle w:val="Hyperlink"/>
                </w:rPr>
                <w:t xml:space="preserve">SM-5.5-A</w:t>
              </w:r>
            </w:hyperlink>
            <w:r>
              <w:t xml:space="preserve">. Skip if TIMES-NZ technical detail is not required.</w:t>
            </w:r>
          </w:p>
          <w:p/>
        </w:tc>
      </w:tr>
    </w:tbl>
    <w:bookmarkEnd w:id="189"/>
    <w:bookmarkStart w:id="190" w:name="Xa8191ad18e1caa458fe068fd6564db64f03670e"/>
    <w:p>
      <w:pPr>
        <w:pStyle w:val="Heading2"/>
      </w:pPr>
      <w:r>
        <w:t xml:space="preserve">26.6 §5.6 Grounding the FutureArtefact Uncertain Drivers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§5.6 Grounding the FutureArtefact Uncertain Drivers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 through §5.5, Module 3 §3.5 (FutureArtefact schema)</w:t>
                  </w:r>
                </w:p>
              </w:tc>
            </w:tr>
            <w:tr>
              <w:tc>
                <w:tcPr/>
                <w:p>
                  <w:pPr>
                    <w:pStyle w:val="Compact"/>
                  </w:pPr>
                  <w:r>
                    <w:rPr>
                      <w:b/>
                      <w:bCs/>
                    </w:rPr>
                    <w:t xml:space="preserve">Contributes</w:t>
                  </w:r>
                </w:p>
              </w:tc>
              <w:tc>
                <w:tcPr/>
                <w:p>
                  <w:pPr>
                    <w:pStyle w:val="Compact"/>
                  </w:pPr>
                  <w:r>
                    <w:t xml:space="preserve">Explicit mapping of every uncertain driver in the FutureArtefact schema to a documented New Zealand condition, completing the grounding of the ensemble design in observable empirical evidence</w:t>
                  </w:r>
                </w:p>
              </w:tc>
            </w:tr>
            <w:tr>
              <w:tc>
                <w:tcPr/>
                <w:p>
                  <w:pPr>
                    <w:pStyle w:val="Compact"/>
                  </w:pPr>
                  <w:r>
                    <w:rPr>
                      <w:b/>
                      <w:bCs/>
                    </w:rPr>
                    <w:t xml:space="preserve">Skip condition</w:t>
                  </w:r>
                </w:p>
              </w:tc>
              <w:tc>
                <w:tcPr/>
                <w:p>
                  <w:pPr>
                    <w:pStyle w:val="Compact"/>
                  </w:pPr>
                  <w:r>
                    <w:t xml:space="preserve">Do not skip — this section closes the connection between the analytical ensemble and the empirical NZ context</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Module 5 has established the specific New Zealand conditions that generate the analytical uncertainties the FutureArtefact ensemble is designed to explore. This closing section provides the explicit mapping between every uncertain driver declared in the FutureArtefact schema and the observable New Zealand condition from which its range is derived. The mapping is the evidence that the ensemble design is grounded in the specific decision context, not in abstract uncertainty exploration.</w:t>
      </w:r>
    </w:p>
    <w:p>
      <w:pPr>
        <w:pStyle w:val="BodyText"/>
      </w:pPr>
      <w:r>
        <w:t xml:space="preserve">Table 5.6 presents the complete mapping. For each driver, the table identifies the source document or institutional data that provides the reference value, the New Zealand condition that generates the uncertainty around that reference, and the section of Module 5 where the condition is discussed.</w:t>
      </w:r>
    </w:p>
    <w:p>
      <w:pPr>
        <w:pStyle w:val="BodyText"/>
      </w:pPr>
      <w:r>
        <w:t xml:space="preserve">Table 5.6: FutureArtefact uncertain driver grounding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Driver field</w:t>
            </w:r>
          </w:p>
        </w:tc>
        <w:tc>
          <w:tcPr/>
          <w:p>
            <w:pPr>
              <w:pStyle w:val="Compact"/>
            </w:pPr>
            <w:r>
              <w:t xml:space="preserve">Reference value</w:t>
            </w:r>
          </w:p>
        </w:tc>
        <w:tc>
          <w:tcPr/>
          <w:p>
            <w:pPr>
              <w:pStyle w:val="Compact"/>
            </w:pPr>
            <w:r>
              <w:t xml:space="preserve">Range</w:t>
            </w:r>
          </w:p>
        </w:tc>
        <w:tc>
          <w:tcPr/>
          <w:p>
            <w:pPr>
              <w:pStyle w:val="Compact"/>
            </w:pPr>
            <w:r>
              <w:t xml:space="preserve">NZ condition generating uncertainty</w:t>
            </w:r>
          </w:p>
        </w:tc>
        <w:tc>
          <w:tcPr/>
          <w:p>
            <w:pPr>
              <w:pStyle w:val="Compact"/>
            </w:pPr>
            <w:r>
              <w:t xml:space="preserve">Grounded in</w:t>
            </w:r>
          </w:p>
        </w:tc>
      </w:tr>
      <w:tr>
        <w:tc>
          <w:tcPr/>
          <w:p>
            <w:pPr>
              <w:pStyle w:val="Compact"/>
            </w:pPr>
            <w:r>
              <w:t xml:space="preserve">headroom_mult</w:t>
            </w:r>
          </w:p>
        </w:tc>
        <w:tc>
          <w:tcPr/>
          <w:p>
            <w:pPr>
              <w:pStyle w:val="Compact"/>
            </w:pPr>
            <w:r>
              <w:t xml:space="preserve">1.00</w:t>
            </w:r>
          </w:p>
        </w:tc>
        <w:tc>
          <w:tcPr/>
          <w:p>
            <w:pPr>
              <w:pStyle w:val="Compact"/>
            </w:pPr>
            <w:r>
              <w:t xml:space="preserve">0.60 to 1.30</w:t>
            </w:r>
          </w:p>
        </w:tc>
        <w:tc>
          <w:tcPr/>
          <w:p>
            <w:pPr>
              <w:pStyle w:val="Compact"/>
            </w:pPr>
            <w:r>
              <w:t xml:space="preserve">Competing electrification demand in Mararoa-Waimea cluster; Transpower investment timing</w:t>
            </w:r>
          </w:p>
        </w:tc>
        <w:tc>
          <w:tcPr/>
          <w:p>
            <w:pPr>
              <w:pStyle w:val="Compact"/>
            </w:pPr>
            <w:r>
              <w:t xml:space="preserve">§5.2, SM-5.2-A</w:t>
            </w:r>
          </w:p>
        </w:tc>
      </w:tr>
      <w:tr>
        <w:tc>
          <w:tcPr/>
          <w:p>
            <w:pPr>
              <w:pStyle w:val="Compact"/>
            </w:pPr>
            <w:r>
              <w:t xml:space="preserve">demand_growth_mult</w:t>
            </w:r>
          </w:p>
        </w:tc>
        <w:tc>
          <w:tcPr/>
          <w:p>
            <w:pPr>
              <w:pStyle w:val="Compact"/>
            </w:pPr>
            <w:r>
              <w:t xml:space="preserve">1.00</w:t>
            </w:r>
          </w:p>
        </w:tc>
        <w:tc>
          <w:tcPr/>
          <w:p>
            <w:pPr>
              <w:pStyle w:val="Compact"/>
            </w:pPr>
            <w:r>
              <w:t xml:space="preserve">0.90 to 1.20</w:t>
            </w:r>
          </w:p>
        </w:tc>
        <w:tc>
          <w:tcPr/>
          <w:p>
            <w:pPr>
              <w:pStyle w:val="Compact"/>
            </w:pPr>
            <w:r>
              <w:t xml:space="preserve">Regional dairy sector growth; Fonterra production investment cycle; rural population trends</w:t>
            </w:r>
          </w:p>
        </w:tc>
        <w:tc>
          <w:tcPr/>
          <w:p>
            <w:pPr>
              <w:pStyle w:val="Compact"/>
            </w:pPr>
            <w:r>
              <w:t xml:space="preserve">§5.1</w:t>
            </w:r>
          </w:p>
        </w:tc>
      </w:tr>
      <w:tr>
        <w:tc>
          <w:tcPr/>
          <w:p>
            <w:pPr>
              <w:pStyle w:val="Compact"/>
            </w:pPr>
            <w:r>
              <w:t xml:space="preserve">hydro_class</w:t>
            </w:r>
          </w:p>
        </w:tc>
        <w:tc>
          <w:tcPr/>
          <w:p>
            <w:pPr>
              <w:pStyle w:val="Compact"/>
            </w:pPr>
            <w:r>
              <w:t xml:space="preserve">normal</w:t>
            </w:r>
          </w:p>
        </w:tc>
        <w:tc>
          <w:tcPr/>
          <w:p>
            <w:pPr>
              <w:pStyle w:val="Compact"/>
            </w:pPr>
            <w:r>
              <w:t xml:space="preserve">dry, normal, wet</w:t>
            </w:r>
          </w:p>
        </w:tc>
        <w:tc>
          <w:tcPr/>
          <w:p>
            <w:pPr>
              <w:pStyle w:val="Compact"/>
            </w:pPr>
            <w:r>
              <w:t xml:space="preserve">Interannual variability in South Island hydro inflows; NIWA seasonal hydrology data</w:t>
            </w:r>
          </w:p>
        </w:tc>
        <w:tc>
          <w:tcPr/>
          <w:p>
            <w:pPr>
              <w:pStyle w:val="Compact"/>
            </w:pPr>
            <w:r>
              <w:t xml:space="preserve">§5.1</w:t>
            </w:r>
          </w:p>
        </w:tc>
      </w:tr>
      <w:tr>
        <w:tc>
          <w:tcPr/>
          <w:p>
            <w:pPr>
              <w:pStyle w:val="Compact"/>
            </w:pPr>
            <w:r>
              <w:t xml:space="preserve">biomass_availability_mult</w:t>
            </w:r>
          </w:p>
        </w:tc>
        <w:tc>
          <w:tcPr/>
          <w:p>
            <w:pPr>
              <w:pStyle w:val="Compact"/>
            </w:pPr>
            <w:r>
              <w:t xml:space="preserve">1.00</w:t>
            </w:r>
          </w:p>
        </w:tc>
        <w:tc>
          <w:tcPr/>
          <w:p>
            <w:pPr>
              <w:pStyle w:val="Compact"/>
            </w:pPr>
            <w:r>
              <w:t xml:space="preserve">0.70 to 1.30</w:t>
            </w:r>
          </w:p>
        </w:tc>
        <w:tc>
          <w:tcPr/>
          <w:p>
            <w:pPr>
              <w:pStyle w:val="Compact"/>
            </w:pPr>
            <w:r>
              <w:t xml:space="preserve">Plantation harvest schedule; competing biomass demand from other Southland industrial users</w:t>
            </w:r>
          </w:p>
        </w:tc>
        <w:tc>
          <w:tcPr/>
          <w:p>
            <w:pPr>
              <w:pStyle w:val="Compact"/>
            </w:pPr>
            <w:r>
              <w:t xml:space="preserve">§5.3, SM-5.3-A</w:t>
            </w:r>
          </w:p>
        </w:tc>
      </w:tr>
      <w:tr>
        <w:tc>
          <w:tcPr/>
          <w:p>
            <w:pPr>
              <w:pStyle w:val="Compact"/>
            </w:pPr>
            <w:r>
              <w:t xml:space="preserve">biomass_cost_mult</w:t>
            </w:r>
          </w:p>
        </w:tc>
        <w:tc>
          <w:tcPr/>
          <w:p>
            <w:pPr>
              <w:pStyle w:val="Compact"/>
            </w:pPr>
            <w:r>
              <w:t xml:space="preserve">1.00</w:t>
            </w:r>
          </w:p>
        </w:tc>
        <w:tc>
          <w:tcPr/>
          <w:p>
            <w:pPr>
              <w:pStyle w:val="Compact"/>
            </w:pPr>
            <w:r>
              <w:t xml:space="preserve">0.70 to 1.30</w:t>
            </w:r>
          </w:p>
        </w:tc>
        <w:tc>
          <w:tcPr/>
          <w:p>
            <w:pPr>
              <w:pStyle w:val="Compact"/>
            </w:pPr>
            <w:r>
              <w:t xml:space="preserve">Logistics maturity; competing demand price pressure; transport infrastructure development</w:t>
            </w:r>
          </w:p>
        </w:tc>
        <w:tc>
          <w:tcPr/>
          <w:p>
            <w:pPr>
              <w:pStyle w:val="Compact"/>
            </w:pPr>
            <w:r>
              <w:t xml:space="preserve">§5.3, SM-5.3-A</w:t>
            </w:r>
          </w:p>
        </w:tc>
      </w:tr>
      <w:tr>
        <w:tc>
          <w:tcPr/>
          <w:p>
            <w:pPr>
              <w:pStyle w:val="Compact"/>
            </w:pPr>
            <w:r>
              <w:t xml:space="preserve">ets_price_nzd_per_tco2</w:t>
            </w:r>
          </w:p>
        </w:tc>
        <w:tc>
          <w:tcPr/>
          <w:p>
            <w:pPr>
              <w:pStyle w:val="Compact"/>
            </w:pPr>
            <w:r>
              <w:t xml:space="preserve">65</w:t>
            </w:r>
          </w:p>
        </w:tc>
        <w:tc>
          <w:tcPr/>
          <w:p>
            <w:pPr>
              <w:pStyle w:val="Compact"/>
            </w:pPr>
            <w:r>
              <w:t xml:space="preserve">30 to 140</w:t>
            </w:r>
          </w:p>
        </w:tc>
        <w:tc>
          <w:tcPr/>
          <w:p>
            <w:pPr>
              <w:pStyle w:val="Compact"/>
            </w:pPr>
            <w:r>
              <w:t xml:space="preserve">NZ ETS design history; Climate Change Commission budget modelling; political price risk</w:t>
            </w:r>
          </w:p>
        </w:tc>
        <w:tc>
          <w:tcPr/>
          <w:p>
            <w:pPr>
              <w:pStyle w:val="Compact"/>
            </w:pPr>
            <w:r>
              <w:t xml:space="preserve">§5.4, SM-5.4-A</w:t>
            </w:r>
          </w:p>
        </w:tc>
      </w:tr>
      <w:tr>
        <w:tc>
          <w:tcPr/>
          <w:p>
            <w:pPr>
              <w:pStyle w:val="Compact"/>
            </w:pPr>
            <w:r>
              <w:t xml:space="preserve">upgrade_capex_mult</w:t>
            </w:r>
          </w:p>
        </w:tc>
        <w:tc>
          <w:tcPr/>
          <w:p>
            <w:pPr>
              <w:pStyle w:val="Compact"/>
            </w:pPr>
            <w:r>
              <w:t xml:space="preserve">1.00</w:t>
            </w:r>
          </w:p>
        </w:tc>
        <w:tc>
          <w:tcPr/>
          <w:p>
            <w:pPr>
              <w:pStyle w:val="Compact"/>
            </w:pPr>
            <w:r>
              <w:t xml:space="preserve">0.80 to 1.30</w:t>
            </w:r>
          </w:p>
        </w:tc>
        <w:tc>
          <w:tcPr/>
          <w:p>
            <w:pPr>
              <w:pStyle w:val="Compact"/>
            </w:pPr>
            <w:r>
              <w:t xml:space="preserve">Uncertainty in PowerNet connection assessment; Transpower subtransmission upgrade cost estimates</w:t>
            </w:r>
          </w:p>
        </w:tc>
        <w:tc>
          <w:tcPr/>
          <w:p>
            <w:pPr>
              <w:pStyle w:val="Compact"/>
            </w:pPr>
            <w:r>
              <w:t xml:space="preserve">§5.2, SM-5.2-A</w:t>
            </w:r>
          </w:p>
        </w:tc>
      </w:tr>
      <w:tr>
        <w:tc>
          <w:tcPr/>
          <w:p>
            <w:pPr>
              <w:pStyle w:val="Compact"/>
            </w:pPr>
            <w:r>
              <w:t xml:space="preserve">voll_nzd_per_mwh</w:t>
            </w:r>
          </w:p>
        </w:tc>
        <w:tc>
          <w:tcPr/>
          <w:p>
            <w:pPr>
              <w:pStyle w:val="Compact"/>
            </w:pPr>
            <w:r>
              <w:t xml:space="preserve">10000</w:t>
            </w:r>
          </w:p>
        </w:tc>
        <w:tc>
          <w:tcPr/>
          <w:p>
            <w:pPr>
              <w:pStyle w:val="Compact"/>
            </w:pPr>
            <w:r>
              <w:t xml:space="preserve">5000, 10000, 15000, 20000</w:t>
            </w:r>
          </w:p>
        </w:tc>
        <w:tc>
          <w:tcPr/>
          <w:p>
            <w:pPr>
              <w:pStyle w:val="Compact"/>
            </w:pPr>
            <w:r>
              <w:t xml:space="preserve">Electricity Authority VOLL settings; scarcity event frequency under dry hydro</w:t>
            </w:r>
          </w:p>
        </w:tc>
        <w:tc>
          <w:tcPr/>
          <w:p>
            <w:pPr>
              <w:pStyle w:val="Compact"/>
            </w:pPr>
            <w:r>
              <w:t xml:space="preserve">§5.2</w:t>
            </w:r>
          </w:p>
        </w:tc>
      </w:tr>
      <w:tr>
        <w:tc>
          <w:tcPr/>
          <w:p>
            <w:pPr>
              <w:pStyle w:val="Compact"/>
            </w:pPr>
            <w:r>
              <w:t xml:space="preserve">p_elec_mult</w:t>
            </w:r>
          </w:p>
        </w:tc>
        <w:tc>
          <w:tcPr/>
          <w:p>
            <w:pPr>
              <w:pStyle w:val="Compact"/>
            </w:pPr>
            <w:r>
              <w:t xml:space="preserve">1.00</w:t>
            </w:r>
          </w:p>
        </w:tc>
        <w:tc>
          <w:tcPr/>
          <w:p>
            <w:pPr>
              <w:pStyle w:val="Compact"/>
            </w:pPr>
            <w:r>
              <w:t xml:space="preserve">0.85 to 1.30</w:t>
            </w:r>
          </w:p>
        </w:tc>
        <w:tc>
          <w:tcPr/>
          <w:p>
            <w:pPr>
              <w:pStyle w:val="Compact"/>
            </w:pPr>
            <w:r>
              <w:t xml:space="preserve">Electricity tariff uncertainty; wholesale price trajectory from TIMES-NZ scenarios</w:t>
            </w:r>
          </w:p>
        </w:tc>
        <w:tc>
          <w:tcPr/>
          <w:p>
            <w:pPr>
              <w:pStyle w:val="Compact"/>
            </w:pPr>
            <w:r>
              <w:t xml:space="preserve">§5.5</w:t>
            </w:r>
          </w:p>
        </w:tc>
      </w:tr>
      <w:tr>
        <w:tc>
          <w:tcPr/>
          <w:p>
            <w:pPr>
              <w:pStyle w:val="Compact"/>
            </w:pPr>
            <w:r>
              <w:t xml:space="preserve">p_biomass_mult</w:t>
            </w:r>
          </w:p>
        </w:tc>
        <w:tc>
          <w:tcPr/>
          <w:p>
            <w:pPr>
              <w:pStyle w:val="Compact"/>
            </w:pPr>
            <w:r>
              <w:t xml:space="preserve">1.00</w:t>
            </w:r>
          </w:p>
        </w:tc>
        <w:tc>
          <w:tcPr/>
          <w:p>
            <w:pPr>
              <w:pStyle w:val="Compact"/>
            </w:pPr>
            <w:r>
              <w:t xml:space="preserve">0.70 to 1.30</w:t>
            </w:r>
          </w:p>
        </w:tc>
        <w:tc>
          <w:tcPr/>
          <w:p>
            <w:pPr>
              <w:pStyle w:val="Compact"/>
            </w:pPr>
            <w:r>
              <w:t xml:space="preserve">Biomass market price uncertainty; supply chain maturity</w:t>
            </w:r>
          </w:p>
        </w:tc>
        <w:tc>
          <w:tcPr/>
          <w:p>
            <w:pPr>
              <w:pStyle w:val="Compact"/>
            </w:pPr>
            <w:r>
              <w:t xml:space="preserve">§5.3, SM-5.3-A</w:t>
            </w:r>
          </w:p>
        </w:tc>
      </w:tr>
      <w:tr>
        <w:tc>
          <w:tcPr/>
          <w:p>
            <w:pPr>
              <w:pStyle w:val="Compact"/>
            </w:pPr>
            <w:r>
              <w:t xml:space="preserve">ets_mult</w:t>
            </w:r>
          </w:p>
        </w:tc>
        <w:tc>
          <w:tcPr/>
          <w:p>
            <w:pPr>
              <w:pStyle w:val="Compact"/>
            </w:pPr>
            <w:r>
              <w:t xml:space="preserve">1.00</w:t>
            </w:r>
          </w:p>
        </w:tc>
        <w:tc>
          <w:tcPr/>
          <w:p>
            <w:pPr>
              <w:pStyle w:val="Compact"/>
            </w:pPr>
            <w:r>
              <w:t xml:space="preserve">0.50 to 2.00</w:t>
            </w:r>
          </w:p>
        </w:tc>
        <w:tc>
          <w:tcPr/>
          <w:p>
            <w:pPr>
              <w:pStyle w:val="Compact"/>
            </w:pPr>
            <w:r>
              <w:t xml:space="preserve">ETS price trajectory uncertainty applied as site-cost overlay multiplier</w:t>
            </w:r>
          </w:p>
        </w:tc>
        <w:tc>
          <w:tcPr/>
          <w:p>
            <w:pPr>
              <w:pStyle w:val="Compact"/>
            </w:pPr>
            <w:r>
              <w:t xml:space="preserve">§5.4, SM-5.4-A</w:t>
            </w:r>
          </w:p>
        </w:tc>
      </w:tr>
    </w:tbl>
    <w:p>
      <w:pPr>
        <w:pStyle w:val="BodyText"/>
      </w:pPr>
      <w:r>
        <w:t xml:space="preserve">Together these eleven driver dimensions and their ranges constitute the analytical specification of the uncertainty space that the Edendale proof of concept explores. Each range is defensible by reference to a documented New Zealand condition. Each driver is traceable to the section of Module 5 that provides the empirical grounding. The FutureArtefact schema, as specified in Module 3 §3.5, carries all eleven fields and their specific values for each future in the ensemble. Module 6 describes how these values are used to construct and evaluate the 64-future paired ensemble.</w:t>
      </w:r>
    </w:p>
    <w:bookmarkEnd w:id="190"/>
    <w:bookmarkEnd w:id="191"/>
    <w:bookmarkStart w:id="193" w:name="sub-module-5.2-a"/>
    <w:p>
      <w:pPr>
        <w:pStyle w:val="Heading1"/>
      </w:pPr>
      <w:r>
        <w:t xml:space="preserve">27. Sub-Module 5.2-A</w:t>
      </w:r>
    </w:p>
    <w:p>
      <w:pPr>
        <w:pStyle w:val="FirstParagraph"/>
      </w:pPr>
      <w:r>
        <w:t xml:space="preserve">Mararoa-Waimea GXP Capacity Data</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SM-5.2-A: Mararoa-Waimea GXP Capacity Data</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§5.2</w:t>
                  </w:r>
                </w:p>
              </w:tc>
            </w:tr>
            <w:tr>
              <w:tc>
                <w:tcPr/>
                <w:p>
                  <w:pPr>
                    <w:pStyle w:val="Compact"/>
                  </w:pPr>
                  <w:r>
                    <w:rPr>
                      <w:b/>
                      <w:bCs/>
                    </w:rPr>
                    <w:t xml:space="preserve">Contributes</w:t>
                  </w:r>
                </w:p>
              </w:tc>
              <w:tc>
                <w:tcPr/>
                <w:p>
                  <w:pPr>
                    <w:pStyle w:val="Compact"/>
                  </w:pPr>
                  <w:r>
                    <w:t xml:space="preserve">Published GXP capacity data, reserve margin methodology, connection assessment commercial framework, and the specific sources of uncertainty governing the headroom multiplier range</w:t>
                  </w:r>
                </w:p>
              </w:tc>
            </w:tr>
            <w:tr>
              <w:tc>
                <w:tcPr/>
                <w:p>
                  <w:pPr>
                    <w:pStyle w:val="Compact"/>
                  </w:pPr>
                  <w:r>
                    <w:rPr>
                      <w:b/>
                      <w:bCs/>
                    </w:rPr>
                    <w:t xml:space="preserve">Skip condition</w:t>
                  </w:r>
                </w:p>
              </w:tc>
              <w:tc>
                <w:tcPr/>
                <w:p>
                  <w:pPr>
                    <w:pStyle w:val="Compact"/>
                  </w:pPr>
                  <w:r>
                    <w:t xml:space="preserve">Skip if headroom multiplier range is accepted without requiring documentary grounding; process when verifying or updating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92" w:name="Xd123a7435ef1a2558b22846c3f8d3fdc90773e4"/>
    <w:p>
      <w:pPr>
        <w:pStyle w:val="Heading2"/>
      </w:pPr>
      <w:r>
        <w:t xml:space="preserve">27.1 SM-5.2-A: Mararoa-Waimea GXP Capacity Data</w:t>
      </w:r>
    </w:p>
    <w:p>
      <w:pPr>
        <w:pStyle w:val="FirstParagraph"/>
      </w:pPr>
      <w:r>
        <w:t xml:space="preserve">The Mararoa-Waimea transmission cluster supplies the eastern Southland region through the national grid transmission lines connecting the Mararoa and Waimea substations. Published data on GXP-level capacity in New Zealand is available through Transpower’s grid reliability standards documentation and the Electricity Authority’s market information platform, with GXP-level demand histories accessible through the EA’s EMI portal.</w:t>
      </w:r>
    </w:p>
    <w:p>
      <w:pPr>
        <w:pStyle w:val="BodyText"/>
      </w:pPr>
      <w:r>
        <w:t xml:space="preserve">Hosting capacity concept and reserve margin. The hosting capacity of a GXP for a new large load is not equivalent to the nameplate capacity of the zone substation. It is the available capacity after accounting for existing committed demand, the N-1 security reserve (the capacity that must be held in reserve to maintain supply under the loss of the single largest supply element), and any demand growth committed from connection agreements already approved but not yet fully utilised. The effective hosting capacity available to a new connecting load is therefore:</w:t>
      </w:r>
    </w:p>
    <w:p>
      <w:pPr>
        <w:pStyle w:val="BodyText"/>
      </w:pPr>
      <m:oMathPara>
        <m:oMathParaPr>
          <m:jc m:val="center"/>
        </m:oMathParaPr>
        <m:oMath>
          <m:sSub>
            <m:e>
              <m:r>
                <m:t>H</m:t>
              </m:r>
            </m:e>
            <m:sub>
              <m:r>
                <m:rPr>
                  <m:nor/>
                  <m:sty m:val="p"/>
                </m:rPr>
                <m:t>available</m:t>
              </m:r>
            </m:sub>
          </m:sSub>
          <m:r>
            <m:rPr>
              <m:sty m:val="p"/>
            </m:rPr>
            <m:t>=</m:t>
          </m:r>
          <m:sSub>
            <m:e>
              <m:r>
                <m:t>C</m:t>
              </m:r>
            </m:e>
            <m:sub>
              <m:r>
                <m:rPr>
                  <m:nor/>
                  <m:sty m:val="p"/>
                </m:rPr>
                <m:t>firm</m:t>
              </m:r>
            </m:sub>
          </m:sSub>
          <m:r>
            <m:rPr>
              <m:sty m:val="p"/>
            </m:rPr>
            <m:t>−</m:t>
          </m:r>
          <m:sSub>
            <m:e>
              <m:r>
                <m:t>D</m:t>
              </m:r>
            </m:e>
            <m:sub>
              <m:r>
                <m:rPr>
                  <m:nor/>
                  <m:sty m:val="p"/>
                </m:rPr>
                <m:t>existing</m:t>
              </m:r>
            </m:sub>
          </m:sSub>
          <m:r>
            <m:rPr>
              <m:sty m:val="p"/>
            </m:rPr>
            <m:t>−</m:t>
          </m:r>
          <m:sSub>
            <m:e>
              <m:r>
                <m:t>D</m:t>
              </m:r>
            </m:e>
            <m:sub>
              <m:r>
                <m:rPr>
                  <m:nor/>
                  <m:sty m:val="p"/>
                </m:rPr>
                <m:t>committed</m:t>
              </m:r>
            </m:sub>
          </m:sSub>
          <m:r>
            <m:rPr>
              <m:sty m:val="p"/>
            </m:rPr>
            <m:t>−</m:t>
          </m:r>
          <m:sSub>
            <m:e>
              <m:r>
                <m:t>R</m:t>
              </m:r>
            </m:e>
            <m:sub>
              <m:r>
                <m:rPr>
                  <m:nor/>
                  <m:sty m:val="p"/>
                </m:rPr>
                <m:t>security</m:t>
              </m:r>
            </m:sub>
          </m:sSub>
        </m:oMath>
      </m:oMathPara>
    </w:p>
    <w:p>
      <w:pPr>
        <w:pStyle w:val="FirstParagraph"/>
      </w:pPr>
      <w:r>
        <w:t xml:space="preserve">where</w:t>
      </w:r>
      <w:r>
        <w:t xml:space="preserve"> </w:t>
      </w:r>
      <m:oMath>
        <m:sSub>
          <m:e>
            <m:r>
              <m:t>C</m:t>
            </m:r>
          </m:e>
          <m:sub>
            <m:r>
              <m:rPr>
                <m:nor/>
                <m:sty m:val="p"/>
              </m:rPr>
              <m:t>firm</m:t>
            </m:r>
          </m:sub>
        </m:sSub>
      </m:oMath>
      <w:r>
        <w:t xml:space="preserve"> </w:t>
      </w:r>
      <w:r>
        <w:t xml:space="preserve">is the firm transmission capacity at the zone substation,</w:t>
      </w:r>
      <w:r>
        <w:t xml:space="preserve"> </w:t>
      </w:r>
      <m:oMath>
        <m:sSub>
          <m:e>
            <m:r>
              <m:t>D</m:t>
            </m:r>
          </m:e>
          <m:sub>
            <m:r>
              <m:rPr>
                <m:nor/>
                <m:sty m:val="p"/>
              </m:rPr>
              <m:t>existing</m:t>
            </m:r>
          </m:sub>
        </m:sSub>
      </m:oMath>
      <w:r>
        <w:t xml:space="preserve"> </w:t>
      </w:r>
      <w:r>
        <w:t xml:space="preserve">is the current maximum coincident demand,</w:t>
      </w:r>
      <w:r>
        <w:t xml:space="preserve"> </w:t>
      </w:r>
      <m:oMath>
        <m:sSub>
          <m:e>
            <m:r>
              <m:t>D</m:t>
            </m:r>
          </m:e>
          <m:sub>
            <m:r>
              <m:rPr>
                <m:nor/>
                <m:sty m:val="p"/>
              </m:rPr>
              <m:t>committed</m:t>
            </m:r>
          </m:sub>
        </m:sSub>
      </m:oMath>
      <w:r>
        <w:t xml:space="preserve"> </w:t>
      </w:r>
      <w:r>
        <w:t xml:space="preserve">is the demand committed under existing connection agreements not yet fully drawn, and</w:t>
      </w:r>
      <w:r>
        <w:t xml:space="preserve"> </w:t>
      </w:r>
      <m:oMath>
        <m:sSub>
          <m:e>
            <m:r>
              <m:t>R</m:t>
            </m:r>
          </m:e>
          <m:sub>
            <m:r>
              <m:rPr>
                <m:nor/>
                <m:sty m:val="p"/>
              </m:rPr>
              <m:t>security</m:t>
            </m:r>
          </m:sub>
        </m:sSub>
      </m:oMath>
      <w:r>
        <w:t xml:space="preserve"> </w:t>
      </w:r>
      <w:r>
        <w:t xml:space="preserve">is the N-1 security margin.</w:t>
      </w:r>
    </w:p>
    <w:p>
      <w:pPr>
        <w:pStyle w:val="BodyText"/>
      </w:pPr>
      <w:r>
        <w:t xml:space="preserve">Published capacity data. The Mararoa GXP serves the eastern Southland zone and supplies Fonterra’s Edendale facility, the Fonterra Clandeboye facility in mid-Canterbury (via separate GXPs), and other rural and light commercial customers in the region. GXP-level demand data published by the Electricity Authority for EDN0331 indicates that the Edendale GXP has historically operated at moderate utilisation, with peak demands concentrated in the winter dairy processing season when heat demand and therefore steam generation and therefore GXP import are simultaneously elevated.</w:t>
      </w:r>
    </w:p>
    <w:p>
      <w:pPr>
        <w:pStyle w:val="BodyText"/>
      </w:pPr>
      <w:r>
        <w:t xml:space="preserve">Reference headroom estimate. The EECA RETA Southland assessment provides the reference estimate for hosting capacity available to an electrification pathway at the Edendale facility. The RETA methodology uses publicly available GXP demand data, published Transpower grid reliability standards, and indicative upgrade cost schedules to estimate the increment of electrical demand that can be accommodated without triggering reinforcement at each assessed GXP. The Southland RETA identifies the Mararoa-Waimea cluster as a constraint zone for large industrial electrification, with available hosting capacity that is sufficient for modest electrification increments but potentially insufficient for the full heat electrification demand of a facility of Edendale’s scale without reinforcement.</w:t>
      </w:r>
    </w:p>
    <w:p>
      <w:pPr>
        <w:pStyle w:val="BodyText"/>
      </w:pPr>
      <w:r>
        <w:t xml:space="preserve">Uncertainty sources. Three sources of uncertainty govern the headroom multiplier range in the FutureArtefact ensemble. The first is competing demand from other potential industrial electrifiers in the region. The second is the timing of any planned Transpower investment in the Mararoa-Waimea cluster, which could increase firm capacity but whose timing depends on Transpower’s capital planning cycle and regulatory environment. The third is the coincident demand pattern of the Edendale facility’s specific load shape under the electrification pathway, which determines whether the incremental demand arrives predominantly during periods when GXP headroom is tightest.</w:t>
      </w:r>
    </w:p>
    <w:p>
      <w:pPr>
        <w:pStyle w:val="BodyText"/>
      </w:pPr>
      <w:r>
        <w:t xml:space="preserve">Table SM-5.2-A: FutureArtefact headroom multiplier calibration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Multiplier value</w:t>
            </w:r>
          </w:p>
        </w:tc>
        <w:tc>
          <w:tcPr/>
          <w:p>
            <w:pPr>
              <w:pStyle w:val="Compact"/>
            </w:pPr>
            <w:r>
              <w:t xml:space="preserve">Interpretation</w:t>
            </w:r>
          </w:p>
        </w:tc>
        <w:tc>
          <w:tcPr/>
          <w:p>
            <w:pPr>
              <w:pStyle w:val="Compact"/>
            </w:pPr>
            <w:r>
              <w:t xml:space="preserve">Conditions represented</w:t>
            </w:r>
          </w:p>
        </w:tc>
      </w:tr>
      <w:tr>
        <w:tc>
          <w:tcPr/>
          <w:p>
            <w:pPr>
              <w:pStyle w:val="Compact"/>
            </w:pPr>
            <w:r>
              <w:t xml:space="preserve">0.60</w:t>
            </w:r>
          </w:p>
        </w:tc>
        <w:tc>
          <w:tcPr/>
          <w:p>
            <w:pPr>
              <w:pStyle w:val="Compact"/>
            </w:pPr>
            <w:r>
              <w:t xml:space="preserve">Highly constrained</w:t>
            </w:r>
          </w:p>
        </w:tc>
        <w:tc>
          <w:tcPr/>
          <w:p>
            <w:pPr>
              <w:pStyle w:val="Compact"/>
            </w:pPr>
            <w:r>
              <w:t xml:space="preserve">Multiple other industrial users electrifying simultaneously; Transpower reinforcement delayed; peak coincidence high</w:t>
            </w:r>
          </w:p>
        </w:tc>
      </w:tr>
      <w:tr>
        <w:tc>
          <w:tcPr/>
          <w:p>
            <w:pPr>
              <w:pStyle w:val="Compact"/>
            </w:pPr>
            <w:r>
              <w:t xml:space="preserve">0.80</w:t>
            </w:r>
          </w:p>
        </w:tc>
        <w:tc>
          <w:tcPr/>
          <w:p>
            <w:pPr>
              <w:pStyle w:val="Compact"/>
            </w:pPr>
            <w:r>
              <w:t xml:space="preserve">Moderately constrained</w:t>
            </w:r>
          </w:p>
        </w:tc>
        <w:tc>
          <w:tcPr/>
          <w:p>
            <w:pPr>
              <w:pStyle w:val="Compact"/>
            </w:pPr>
            <w:r>
              <w:t xml:space="preserve">Some competing demand; reinforcement on planned schedule but not accelerated</w:t>
            </w:r>
          </w:p>
        </w:tc>
      </w:tr>
      <w:tr>
        <w:tc>
          <w:tcPr/>
          <w:p>
            <w:pPr>
              <w:pStyle w:val="Compact"/>
            </w:pPr>
            <w:r>
              <w:t xml:space="preserve">1.00</w:t>
            </w:r>
          </w:p>
        </w:tc>
        <w:tc>
          <w:tcPr/>
          <w:p>
            <w:pPr>
              <w:pStyle w:val="Compact"/>
            </w:pPr>
            <w:r>
              <w:t xml:space="preserve">Reference capacity</w:t>
            </w:r>
          </w:p>
        </w:tc>
        <w:tc>
          <w:tcPr/>
          <w:p>
            <w:pPr>
              <w:pStyle w:val="Compact"/>
            </w:pPr>
            <w:r>
              <w:t xml:space="preserve">RETA reference headroom; no competing demand assumptions</w:t>
            </w:r>
          </w:p>
        </w:tc>
      </w:tr>
      <w:tr>
        <w:tc>
          <w:tcPr/>
          <w:p>
            <w:pPr>
              <w:pStyle w:val="Compact"/>
            </w:pPr>
            <w:r>
              <w:t xml:space="preserve">1.15</w:t>
            </w:r>
          </w:p>
        </w:tc>
        <w:tc>
          <w:tcPr/>
          <w:p>
            <w:pPr>
              <w:pStyle w:val="Compact"/>
            </w:pPr>
            <w:r>
              <w:t xml:space="preserve">Ample headroom</w:t>
            </w:r>
          </w:p>
        </w:tc>
        <w:tc>
          <w:tcPr/>
          <w:p>
            <w:pPr>
              <w:pStyle w:val="Compact"/>
            </w:pPr>
            <w:r>
              <w:t xml:space="preserve">Transpower reinforcement completed early; competing demand lower than reference</w:t>
            </w:r>
          </w:p>
        </w:tc>
      </w:tr>
      <w:tr>
        <w:tc>
          <w:tcPr/>
          <w:p>
            <w:pPr>
              <w:pStyle w:val="Compact"/>
            </w:pPr>
            <w:r>
              <w:t xml:space="preserve">1.30</w:t>
            </w:r>
          </w:p>
        </w:tc>
        <w:tc>
          <w:tcPr/>
          <w:p>
            <w:pPr>
              <w:pStyle w:val="Compact"/>
            </w:pPr>
            <w:r>
              <w:t xml:space="preserve">Unconstrained</w:t>
            </w:r>
          </w:p>
        </w:tc>
        <w:tc>
          <w:tcPr/>
          <w:p>
            <w:pPr>
              <w:pStyle w:val="Compact"/>
            </w:pPr>
            <w:r>
              <w:t xml:space="preserve">Full firm capacity available; no competing demand; coincidence low</w:t>
            </w:r>
          </w:p>
        </w:tc>
      </w:tr>
    </w:tbl>
    <w:bookmarkEnd w:id="192"/>
    <w:bookmarkEnd w:id="193"/>
    <w:bookmarkStart w:id="195" w:name="sub-module-5.3-a"/>
    <w:p>
      <w:pPr>
        <w:pStyle w:val="Heading1"/>
      </w:pPr>
      <w:r>
        <w:t xml:space="preserve">28. Sub-Module 5.3-A</w:t>
      </w:r>
    </w:p>
    <w:p>
      <w:pPr>
        <w:pStyle w:val="FirstParagraph"/>
      </w:pPr>
      <w:r>
        <w:t xml:space="preserve">Southland Biomass Resource and Cost Estimates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SM-5.3-A: Southland Biomass Resource and Cost Estimates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§5.3</w:t>
                  </w:r>
                </w:p>
              </w:tc>
            </w:tr>
            <w:tr>
              <w:tc>
                <w:tcPr/>
                <w:p>
                  <w:pPr>
                    <w:pStyle w:val="Compact"/>
                  </w:pPr>
                  <w:r>
                    <w:rPr>
                      <w:b/>
                      <w:bCs/>
                    </w:rPr>
                    <w:t xml:space="preserve">Contributes</w:t>
                  </w:r>
                </w:p>
              </w:tc>
              <w:tc>
                <w:tcPr/>
                <w:p>
                  <w:pPr>
                    <w:pStyle w:val="Compact"/>
                  </w:pPr>
                  <w:r>
                    <w:t xml:space="preserve">Regional biomass resource estimates, delivered cost structure, seasonal availability pattern, competing demand considerations, and FutureArtefact multiplier calibration for biomass availability and cost</w:t>
                  </w:r>
                </w:p>
              </w:tc>
            </w:tr>
            <w:tr>
              <w:tc>
                <w:tcPr/>
                <w:p>
                  <w:pPr>
                    <w:pStyle w:val="Compact"/>
                  </w:pPr>
                  <w:r>
                    <w:rPr>
                      <w:b/>
                      <w:bCs/>
                    </w:rPr>
                    <w:t xml:space="preserve">Skip condition</w:t>
                  </w:r>
                </w:p>
              </w:tc>
              <w:tc>
                <w:tcPr/>
                <w:p>
                  <w:pPr>
                    <w:pStyle w:val="Compact"/>
                  </w:pPr>
                  <w:r>
                    <w:t xml:space="preserve">Skip if biomass multiplier ranges are accepted without documentary grounding; process when verifying or updating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94" w:name="X5cd2726fdbf0a4628795c06a1ff2b4370d4ca09"/>
    <w:p>
      <w:pPr>
        <w:pStyle w:val="Heading2"/>
      </w:pPr>
      <w:r>
        <w:t xml:space="preserve">28.1 SM-5.3-A: Southland Biomass Resource and Cost Estimates</w:t>
      </w:r>
    </w:p>
    <w:p>
      <w:pPr>
        <w:pStyle w:val="FirstParagraph"/>
      </w:pPr>
      <w:r>
        <w:t xml:space="preserve">Regional resource base. The Southland region hosts approximately 180,000 to 220,000 hectares of plantation forestry, the majority Pinus radiata on a 25 to 30 year rotation cycle. Annual harvest volumes across Southland and the adjacent Otago region generate residue volumes in the range of 400,000 to 600,000 green tonnes per year from logging slash and harvest debris alone, with additional supply from sawmill residues and bark. Not all of this material is currently collected, processed, or available at locations with practical logistics access. The RETA Southland assessment estimates that accessible biomass supply within a 100 km radius of the Edendale facility could range from approximately 150,000 to 300,000 green tonnes per year depending on harvest scheduling, competing demand, and logistics infrastructure development.</w:t>
      </w:r>
    </w:p>
    <w:p>
      <w:pPr>
        <w:pStyle w:val="BodyText"/>
      </w:pPr>
      <w:r>
        <w:t xml:space="preserve">Energy content and delivered cost. Plantation forestry residues dried to 30 percent moisture content have a net calorific value of approximately 11.5 to 12.5 GJ per tonne. At the low end of the accessible supply estimate and assuming full collection and drying, the available resource represents approximately 1.7 to 3.4 PJ per year, which is of the same order as the Edendale facility’s annual process heat demand. The delivered cost to an industrial user in the eastern Southland region has been estimated in various RETA and EECA assessments in the range of NZD 6 to 10 per GJ at moderate supply volumes. This compares with coal delivered to Edendale at approximately NZD 5 to 7 per GJ depending on West Coast mine prices and transport costs, and with grid electricity at a heat-equivalent delivered cost that depends strongly on the electricity tariff regime and the efficiency of the electric boiler.</w:t>
      </w:r>
    </w:p>
    <w:p>
      <w:pPr>
        <w:pStyle w:val="BodyText"/>
      </w:pPr>
      <w:r>
        <w:t xml:space="preserve">Seasonal availability. Plantation forestry harvesting in the Southland region is concentrated in the spring and summer months, when ground conditions favour mechanical harvesting operations and when forestry residue drying conditions are most favourable. Biomass supply availability for industrial use is therefore somewhat seasonal, requiring on-site storage to smooth the supply-demand mismatch across the winter processing season when heat demand is highest. Storage costs and the capital requirement for biomass fuel handling and storage infrastructure are included in the capital cost estimate for the 2035_BB pathway.</w:t>
      </w:r>
    </w:p>
    <w:p>
      <w:pPr>
        <w:pStyle w:val="BodyText"/>
      </w:pPr>
      <w:r>
        <w:t xml:space="preserve">Table SM-5.3-A: Biomass FutureArtefact multiplier calibration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Multiplier dimension</w:t>
            </w:r>
          </w:p>
        </w:tc>
        <w:tc>
          <w:tcPr/>
          <w:p>
            <w:pPr>
              <w:pStyle w:val="Compact"/>
            </w:pPr>
            <w:r>
              <w:t xml:space="preserve">Value 0.70</w:t>
            </w:r>
          </w:p>
        </w:tc>
        <w:tc>
          <w:tcPr/>
          <w:p>
            <w:pPr>
              <w:pStyle w:val="Compact"/>
            </w:pPr>
            <w:r>
              <w:t xml:space="preserve">Value 0.85</w:t>
            </w:r>
          </w:p>
        </w:tc>
        <w:tc>
          <w:tcPr/>
          <w:p>
            <w:pPr>
              <w:pStyle w:val="Compact"/>
            </w:pPr>
            <w:r>
              <w:t xml:space="preserve">Value 1.00</w:t>
            </w:r>
          </w:p>
        </w:tc>
        <w:tc>
          <w:tcPr/>
          <w:p>
            <w:pPr>
              <w:pStyle w:val="Compact"/>
            </w:pPr>
            <w:r>
              <w:t xml:space="preserve">Value 1.15</w:t>
            </w:r>
          </w:p>
        </w:tc>
        <w:tc>
          <w:tcPr/>
          <w:p>
            <w:pPr>
              <w:pStyle w:val="Compact"/>
            </w:pPr>
            <w:r>
              <w:t xml:space="preserve">Value 1.30</w:t>
            </w:r>
          </w:p>
        </w:tc>
      </w:tr>
      <w:tr>
        <w:tc>
          <w:tcPr/>
          <w:p>
            <w:pPr>
              <w:pStyle w:val="Compact"/>
            </w:pPr>
            <w:r>
              <w:t xml:space="preserve">Availability multiplier</w:t>
            </w:r>
          </w:p>
        </w:tc>
        <w:tc>
          <w:tcPr/>
          <w:p>
            <w:pPr>
              <w:pStyle w:val="Compact"/>
            </w:pPr>
            <w:r>
              <w:t xml:space="preserve">Severely constrained — high competing demand, logistics not developed</w:t>
            </w:r>
          </w:p>
        </w:tc>
        <w:tc>
          <w:tcPr/>
          <w:p>
            <w:pPr>
              <w:pStyle w:val="Compact"/>
            </w:pPr>
            <w:r>
              <w:t xml:space="preserve">Constrained — moderate competition</w:t>
            </w:r>
          </w:p>
        </w:tc>
        <w:tc>
          <w:tcPr/>
          <w:p>
            <w:pPr>
              <w:pStyle w:val="Compact"/>
            </w:pPr>
            <w:r>
              <w:t xml:space="preserve">Reference — RETA base estimate</w:t>
            </w:r>
          </w:p>
        </w:tc>
        <w:tc>
          <w:tcPr/>
          <w:p>
            <w:pPr>
              <w:pStyle w:val="Compact"/>
            </w:pPr>
            <w:r>
              <w:t xml:space="preserve">Ample — harvest schedule favourable, limited competition</w:t>
            </w:r>
          </w:p>
        </w:tc>
        <w:tc>
          <w:tcPr/>
          <w:p>
            <w:pPr>
              <w:pStyle w:val="Compact"/>
            </w:pPr>
            <w:r>
              <w:t xml:space="preserve">Unconstrained — full accessible resource available</w:t>
            </w:r>
          </w:p>
        </w:tc>
      </w:tr>
      <w:tr>
        <w:tc>
          <w:tcPr/>
          <w:p>
            <w:pPr>
              <w:pStyle w:val="Compact"/>
            </w:pPr>
            <w:r>
              <w:t xml:space="preserve">Cost multiplier</w:t>
            </w:r>
          </w:p>
        </w:tc>
        <w:tc>
          <w:tcPr/>
          <w:p>
            <w:pPr>
              <w:pStyle w:val="Compact"/>
            </w:pPr>
            <w:r>
              <w:t xml:space="preserve">High cost — logistics premium, competing demand pressure</w:t>
            </w:r>
          </w:p>
        </w:tc>
        <w:tc>
          <w:tcPr/>
          <w:p>
            <w:pPr>
              <w:pStyle w:val="Compact"/>
            </w:pPr>
            <w:r>
              <w:t xml:space="preserve">Elevated cost</w:t>
            </w:r>
          </w:p>
        </w:tc>
        <w:tc>
          <w:tcPr/>
          <w:p>
            <w:pPr>
              <w:pStyle w:val="Compact"/>
            </w:pPr>
            <w:r>
              <w:t xml:space="preserve">Reference delivered cost</w:t>
            </w:r>
          </w:p>
        </w:tc>
        <w:tc>
          <w:tcPr/>
          <w:p>
            <w:pPr>
              <w:pStyle w:val="Compact"/>
            </w:pPr>
            <w:r>
              <w:t xml:space="preserve">Moderate discount — logistics mature, low competition</w:t>
            </w:r>
          </w:p>
        </w:tc>
        <w:tc>
          <w:tcPr/>
          <w:p>
            <w:pPr>
              <w:pStyle w:val="Compact"/>
            </w:pPr>
            <w:r>
              <w:t xml:space="preserve">Low cost — abundant supply, optimised logistics</w:t>
            </w:r>
          </w:p>
        </w:tc>
      </w:tr>
    </w:tbl>
    <w:bookmarkEnd w:id="194"/>
    <w:bookmarkEnd w:id="195"/>
    <w:bookmarkStart w:id="197" w:name="sub-module-5.4-a"/>
    <w:p>
      <w:pPr>
        <w:pStyle w:val="Heading1"/>
      </w:pPr>
      <w:r>
        <w:t xml:space="preserve">29. Sub-Module 5.4-A</w:t>
      </w:r>
    </w:p>
    <w:p>
      <w:pPr>
        <w:pStyle w:val="FirstParagraph"/>
      </w:pPr>
      <w:r>
        <w:t xml:space="preserve">NZ ETS Design History and Price Trajectory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SM-5.4-A: NZ ETS Design History and Price Trajectory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§5.4</w:t>
                  </w:r>
                </w:p>
              </w:tc>
            </w:tr>
            <w:tr>
              <w:tc>
                <w:tcPr/>
                <w:p>
                  <w:pPr>
                    <w:pStyle w:val="Compact"/>
                  </w:pPr>
                  <w:r>
                    <w:rPr>
                      <w:b/>
                      <w:bCs/>
                    </w:rPr>
                    <w:t xml:space="preserve">Contributes</w:t>
                  </w:r>
                </w:p>
              </w:tc>
              <w:tc>
                <w:tcPr/>
                <w:p>
                  <w:pPr>
                    <w:pStyle w:val="Compact"/>
                  </w:pPr>
                  <w:r>
                    <w:t xml:space="preserve">NZ ETS design history 2008 to 2024, price trajectory data, key design changes and their analytical implications, and the coal phase-out NES timeline relevant to the Edendale decision</w:t>
                  </w:r>
                </w:p>
              </w:tc>
            </w:tr>
            <w:tr>
              <w:tc>
                <w:tcPr/>
                <w:p>
                  <w:pPr>
                    <w:pStyle w:val="Compact"/>
                  </w:pPr>
                  <w:r>
                    <w:rPr>
                      <w:b/>
                      <w:bCs/>
                    </w:rPr>
                    <w:t xml:space="preserve">Skip condition</w:t>
                  </w:r>
                </w:p>
              </w:tc>
              <w:tc>
                <w:tcPr/>
                <w:p>
                  <w:pPr>
                    <w:pStyle w:val="Compact"/>
                  </w:pPr>
                  <w:r>
                    <w:t xml:space="preserve">Skip if ETS context is already known; process when verifying the ETS price range in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96" w:name="X1f06e6404f01520904086615ddf89c7f70f0f05"/>
    <w:p>
      <w:pPr>
        <w:pStyle w:val="Heading2"/>
      </w:pPr>
      <w:r>
        <w:t xml:space="preserve">29.1 SM-5.4-A: NZ ETS Design History and Price Trajectory</w:t>
      </w:r>
    </w:p>
    <w:p>
      <w:pPr>
        <w:pStyle w:val="FirstParagraph"/>
      </w:pPr>
      <w:r>
        <w:t xml:space="preserve">Scheme origins and early period. The NZ ETS was established under the Climate Change Response Act 2002 and began operating for the forestry sector in 2008, with the stationary energy sector including industrial process heat entering from 2010. In its initial design, the scheme allowed participants to purchase international units from the Kyoto Protocol flexible mechanisms at unrestricted quantities and used these to meet domestic obligations. Industrial allocations, the free NZU units provided to trade-exposed industries, were set at generous levels. The combination of international unit access and high allocations suppressed the domestic NZU price to negligible levels, ranging from under NZD 5 per tonne for most of the period from 2012 to 2016.</w:t>
      </w:r>
    </w:p>
    <w:p>
      <w:pPr>
        <w:pStyle w:val="BodyText"/>
      </w:pPr>
      <w:r>
        <w:t xml:space="preserve">The 2015 to 2019 redesign. The removal of international unit access in 2015 and the completion of New Zealand’s first Kyoto commitment period removed the price suppression mechanism. The amendment programme culminating in the Climate Change Response (Zero Carbon) Amendment Act 2019 introduced new features: an independent Climate Change Commission with a mandate to set and assess emissions budgets, new industrial allocation rates scheduled to decline over time, and a redesigned price control mechanism replacing the fixed price option with an auction-based cost containment reserve. The 2019 amendments also established the greenhouse gas budgets that commit New Zealand to net-zero long-lived greenhouse gases by 2050.</w:t>
      </w:r>
    </w:p>
    <w:p>
      <w:pPr>
        <w:pStyle w:val="BodyText"/>
      </w:pPr>
      <w:r>
        <w:t xml:space="preserve">Price trajectory 2017 to 2024. Following the redesign, the NZU price rose from below NZD 10 in 2017 to approximately NZD 65 in 2021, peaking above NZD 80 per tonne in 2022 before softening to approximately NZD 45 to 60 per tonne through 2023 and 2024. The softening reflected both increased auction supply and economic slowdown reducing covered-sector emissions.</w:t>
      </w:r>
    </w:p>
    <w:p>
      <w:pPr>
        <w:pStyle w:val="BodyText"/>
      </w:pPr>
      <w:r>
        <w:t xml:space="preserve">Table SM-5.4-A: NZ ETS annual average NZU price, selected years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Approximate average NZU price (NZD/tCO2)</w:t>
            </w:r>
          </w:p>
        </w:tc>
        <w:tc>
          <w:tcPr/>
          <w:p>
            <w:pPr>
              <w:pStyle w:val="Compact"/>
            </w:pPr>
            <w:r>
              <w:t xml:space="preserve">Key design event</w:t>
            </w:r>
          </w:p>
        </w:tc>
      </w:tr>
      <w:tr>
        <w:tc>
          <w:tcPr/>
          <w:p>
            <w:pPr>
              <w:pStyle w:val="Compact"/>
            </w:pPr>
            <w:r>
              <w:t xml:space="preserve">2010</w:t>
            </w:r>
          </w:p>
        </w:tc>
        <w:tc>
          <w:tcPr/>
          <w:p>
            <w:pPr>
              <w:pStyle w:val="Compact"/>
            </w:pPr>
            <w:r>
              <w:t xml:space="preserve">10 to 15</w:t>
            </w:r>
          </w:p>
        </w:tc>
        <w:tc>
          <w:tcPr/>
          <w:p>
            <w:pPr>
              <w:pStyle w:val="Compact"/>
            </w:pPr>
            <w:r>
              <w:t xml:space="preserve">ETS extended to stationary energy sector</w:t>
            </w:r>
          </w:p>
        </w:tc>
      </w:tr>
      <w:tr>
        <w:tc>
          <w:tcPr/>
          <w:p>
            <w:pPr>
              <w:pStyle w:val="Compact"/>
            </w:pPr>
            <w:r>
              <w:t xml:space="preserve">2012</w:t>
            </w:r>
          </w:p>
        </w:tc>
        <w:tc>
          <w:tcPr/>
          <w:p>
            <w:pPr>
              <w:pStyle w:val="Compact"/>
            </w:pPr>
            <w:r>
              <w:t xml:space="preserve">5 to 8</w:t>
            </w:r>
          </w:p>
        </w:tc>
        <w:tc>
          <w:tcPr/>
          <w:p>
            <w:pPr>
              <w:pStyle w:val="Compact"/>
            </w:pPr>
            <w:r>
              <w:t xml:space="preserve">International units accessible; price suppressed</w:t>
            </w:r>
          </w:p>
        </w:tc>
      </w:tr>
      <w:tr>
        <w:tc>
          <w:tcPr/>
          <w:p>
            <w:pPr>
              <w:pStyle w:val="Compact"/>
            </w:pPr>
            <w:r>
              <w:t xml:space="preserve">2015</w:t>
            </w:r>
          </w:p>
        </w:tc>
        <w:tc>
          <w:tcPr/>
          <w:p>
            <w:pPr>
              <w:pStyle w:val="Compact"/>
            </w:pPr>
            <w:r>
              <w:t xml:space="preserve">3 to 5</w:t>
            </w:r>
          </w:p>
        </w:tc>
        <w:tc>
          <w:tcPr/>
          <w:p>
            <w:pPr>
              <w:pStyle w:val="Compact"/>
            </w:pPr>
            <w:r>
              <w:t xml:space="preserve">International unit access removed</w:t>
            </w:r>
          </w:p>
        </w:tc>
      </w:tr>
      <w:tr>
        <w:tc>
          <w:tcPr/>
          <w:p>
            <w:pPr>
              <w:pStyle w:val="Compact"/>
            </w:pPr>
            <w:r>
              <w:t xml:space="preserve">2017</w:t>
            </w:r>
          </w:p>
        </w:tc>
        <w:tc>
          <w:tcPr/>
          <w:p>
            <w:pPr>
              <w:pStyle w:val="Compact"/>
            </w:pPr>
            <w:r>
              <w:t xml:space="preserve">8 to 12</w:t>
            </w:r>
          </w:p>
        </w:tc>
        <w:tc>
          <w:tcPr/>
          <w:p>
            <w:pPr>
              <w:pStyle w:val="Compact"/>
            </w:pPr>
            <w:r>
              <w:t xml:space="preserve">Price recovery begins</w:t>
            </w:r>
          </w:p>
        </w:tc>
      </w:tr>
      <w:tr>
        <w:tc>
          <w:tcPr/>
          <w:p>
            <w:pPr>
              <w:pStyle w:val="Compact"/>
            </w:pPr>
            <w:r>
              <w:t xml:space="preserve">2019</w:t>
            </w:r>
          </w:p>
        </w:tc>
        <w:tc>
          <w:tcPr/>
          <w:p>
            <w:pPr>
              <w:pStyle w:val="Compact"/>
            </w:pPr>
            <w:r>
              <w:t xml:space="preserve">22 to 28</w:t>
            </w:r>
          </w:p>
        </w:tc>
        <w:tc>
          <w:tcPr/>
          <w:p>
            <w:pPr>
              <w:pStyle w:val="Compact"/>
            </w:pPr>
            <w:r>
              <w:t xml:space="preserve">Zero Carbon Act passed</w:t>
            </w:r>
          </w:p>
        </w:tc>
      </w:tr>
      <w:tr>
        <w:tc>
          <w:tcPr/>
          <w:p>
            <w:pPr>
              <w:pStyle w:val="Compact"/>
            </w:pPr>
            <w:r>
              <w:t xml:space="preserve">2020</w:t>
            </w:r>
          </w:p>
        </w:tc>
        <w:tc>
          <w:tcPr/>
          <w:p>
            <w:pPr>
              <w:pStyle w:val="Compact"/>
            </w:pPr>
            <w:r>
              <w:t xml:space="preserve">25 to 35</w:t>
            </w:r>
          </w:p>
        </w:tc>
        <w:tc>
          <w:tcPr/>
          <w:p>
            <w:pPr>
              <w:pStyle w:val="Compact"/>
            </w:pPr>
            <w:r>
              <w:t xml:space="preserve">Post-Act price acceleration</w:t>
            </w:r>
          </w:p>
        </w:tc>
      </w:tr>
      <w:tr>
        <w:tc>
          <w:tcPr/>
          <w:p>
            <w:pPr>
              <w:pStyle w:val="Compact"/>
            </w:pPr>
            <w:r>
              <w:t xml:space="preserve">2021</w:t>
            </w:r>
          </w:p>
        </w:tc>
        <w:tc>
          <w:tcPr/>
          <w:p>
            <w:pPr>
              <w:pStyle w:val="Compact"/>
            </w:pPr>
            <w:r>
              <w:t xml:space="preserve">45 to 68</w:t>
            </w:r>
          </w:p>
        </w:tc>
        <w:tc>
          <w:tcPr/>
          <w:p>
            <w:pPr>
              <w:pStyle w:val="Compact"/>
            </w:pPr>
            <w:r>
              <w:t xml:space="preserve">Price cap raised to NZD 50; subsequent clearing above cap</w:t>
            </w:r>
          </w:p>
        </w:tc>
      </w:tr>
      <w:tr>
        <w:tc>
          <w:tcPr/>
          <w:p>
            <w:pPr>
              <w:pStyle w:val="Compact"/>
            </w:pPr>
            <w:r>
              <w:t xml:space="preserve">2022</w:t>
            </w:r>
          </w:p>
        </w:tc>
        <w:tc>
          <w:tcPr/>
          <w:p>
            <w:pPr>
              <w:pStyle w:val="Compact"/>
            </w:pPr>
            <w:r>
              <w:t xml:space="preserve">65 to 85</w:t>
            </w:r>
          </w:p>
        </w:tc>
        <w:tc>
          <w:tcPr/>
          <w:p>
            <w:pPr>
              <w:pStyle w:val="Compact"/>
            </w:pPr>
            <w:r>
              <w:t xml:space="preserve">Price cap raised to NZD 70</w:t>
            </w:r>
          </w:p>
        </w:tc>
      </w:tr>
      <w:tr>
        <w:tc>
          <w:tcPr/>
          <w:p>
            <w:pPr>
              <w:pStyle w:val="Compact"/>
            </w:pPr>
            <w:r>
              <w:t xml:space="preserve">2023</w:t>
            </w:r>
          </w:p>
        </w:tc>
        <w:tc>
          <w:tcPr/>
          <w:p>
            <w:pPr>
              <w:pStyle w:val="Compact"/>
            </w:pPr>
            <w:r>
              <w:t xml:space="preserve">45 to 60</w:t>
            </w:r>
          </w:p>
        </w:tc>
        <w:tc>
          <w:tcPr/>
          <w:p>
            <w:pPr>
              <w:pStyle w:val="Compact"/>
            </w:pPr>
            <w:r>
              <w:t xml:space="preserve">Softening; cost containment reserve triggered</w:t>
            </w:r>
          </w:p>
        </w:tc>
      </w:tr>
      <w:tr>
        <w:tc>
          <w:tcPr/>
          <w:p>
            <w:pPr>
              <w:pStyle w:val="Compact"/>
            </w:pPr>
            <w:r>
              <w:t xml:space="preserve">2024</w:t>
            </w:r>
          </w:p>
        </w:tc>
        <w:tc>
          <w:tcPr/>
          <w:p>
            <w:pPr>
              <w:pStyle w:val="Compact"/>
            </w:pPr>
            <w:r>
              <w:t xml:space="preserve">50 to 65</w:t>
            </w:r>
          </w:p>
        </w:tc>
        <w:tc>
          <w:tcPr/>
          <w:p>
            <w:pPr>
              <w:pStyle w:val="Compact"/>
            </w:pPr>
            <w:r>
              <w:t xml:space="preserve">Continued uncertainty; further design review</w:t>
            </w:r>
          </w:p>
        </w:tc>
      </w:tr>
    </w:tbl>
    <w:p>
      <w:pPr>
        <w:pStyle w:val="BodyText"/>
      </w:pPr>
      <w:r>
        <w:t xml:space="preserve">Coal phase-out NES timeline. The National Environmental Standards for Industrial Greenhouse Gas Emissions prohibit new coal-fired boilers above 50 kW in new industrial facilities from 2023. Existing coal-fired boilers in dairy processing must be retired by 2037 under Fonterra’s voluntary commitment and will face mandatory phase-out under the evolving NES. The 2037 deadline is the forcing condition that makes the Edendale pathway decision non-optional: irrespective of pathway economics, coal-fired steam generation at the facility must be replaced within the investment horizon, making the question not whether to transition but which alternative to commit to.</w:t>
      </w:r>
    </w:p>
    <w:p>
      <w:pPr>
        <w:pStyle w:val="BodyText"/>
      </w:pPr>
      <w:r>
        <w:t xml:space="preserve">FutureArtefact ETS price calibration. The ETS price dimension in the FutureArtefact ensemble spans NZD 30 to NZD 140 per tonne, reflecting the historical range of plausible outcomes from the scheme’s current design. The lower bound represents a scenario in which political constraints lead to scheme weakening and price suppression. The upper bound represents a scenario in which the budgeted emissions reductions require price levels consistent with the Climate Change Commission’s modelling of what is needed to meet the 2050 net-zero target.</w:t>
      </w:r>
    </w:p>
    <w:bookmarkEnd w:id="196"/>
    <w:bookmarkEnd w:id="197"/>
    <w:bookmarkStart w:id="208" w:name="sub-module-5.5-a"/>
    <w:p>
      <w:pPr>
        <w:pStyle w:val="Heading1"/>
      </w:pPr>
      <w:r>
        <w:t xml:space="preserve">30. Sub-Module 5.5-A</w:t>
      </w:r>
    </w:p>
    <w:p>
      <w:pPr>
        <w:pStyle w:val="FirstParagraph"/>
      </w:pPr>
      <w:r>
        <w:t xml:space="preserve">TIMES-NZ and the NZ Energy Modelling Ecosystem</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SM-5.5-A: TIMES-NZ and the NZ Energy Modelling Ecosystem</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r>
                    <w:t xml:space="preserve"> </w:t>
                  </w:r>
                  <w:r>
                    <w:rPr>
                      <w:rStyle w:val="VerbatimChar"/>
                    </w:rPr>
                    <w:t xml:space="preserve">[Educational]</w:t>
                  </w:r>
                  <w:r>
                    <w:t xml:space="preserve"> </w:t>
                  </w:r>
                  <w:r>
                    <w:rPr>
                      <w:rStyle w:val="VerbatimChar"/>
                    </w:rPr>
                    <w:t xml:space="preserve">[Research]</w:t>
                  </w:r>
                </w:p>
              </w:tc>
            </w:tr>
            <w:tr>
              <w:tc>
                <w:tcPr/>
                <w:p>
                  <w:pPr>
                    <w:pStyle w:val="Compact"/>
                  </w:pPr>
                  <w:r>
                    <w:rPr>
                      <w:b/>
                      <w:bCs/>
                    </w:rPr>
                    <w:t xml:space="preserve">Assumes</w:t>
                  </w:r>
                </w:p>
              </w:tc>
              <w:tc>
                <w:tcPr/>
                <w:p>
                  <w:pPr>
                    <w:pStyle w:val="Compact"/>
                  </w:pPr>
                  <w:r>
                    <w:t xml:space="preserve">§5.5 (RETA, GIDI, TIMES-NZ as the Analytical Landscape)</w:t>
                  </w:r>
                </w:p>
              </w:tc>
            </w:tr>
            <w:tr>
              <w:tc>
                <w:tcPr/>
                <w:p>
                  <w:pPr>
                    <w:pStyle w:val="Compact"/>
                  </w:pPr>
                  <w:r>
                    <w:rPr>
                      <w:b/>
                      <w:bCs/>
                    </w:rPr>
                    <w:t xml:space="preserve">Contributes</w:t>
                  </w:r>
                </w:p>
              </w:tc>
              <w:tc>
                <w:tcPr/>
                <w:p>
                  <w:pPr>
                    <w:pStyle w:val="Compact"/>
                  </w:pPr>
                  <w:r>
                    <w:t xml:space="preserve">Detailed technical assessment of TIMES-NZ capabilities, temporal and spatial resolution, sensitivity analysis methods, the integration pathway with the DCM framework, the wider NZ modelling ecosystem, and the ReferenceArtefact specification for governed external document linkage</w:t>
                  </w:r>
                </w:p>
              </w:tc>
            </w:tr>
            <w:tr>
              <w:tc>
                <w:tcPr/>
                <w:p>
                  <w:pPr>
                    <w:pStyle w:val="Compact"/>
                  </w:pPr>
                  <w:r>
                    <w:rPr>
                      <w:b/>
                      <w:bCs/>
                    </w:rPr>
                    <w:t xml:space="preserve">Skip condition</w:t>
                  </w:r>
                </w:p>
              </w:tc>
              <w:tc>
                <w:tcPr/>
                <w:p>
                  <w:pPr>
                    <w:pStyle w:val="Compact"/>
                  </w:pPr>
                  <w:r>
                    <w:t xml:space="preserve">Skip if TIMES-NZ technical detail is not required; return when designing the FutureArtefact ensemble calibration or the national-scale coupling architecture</w:t>
                  </w:r>
                </w:p>
              </w:tc>
            </w:tr>
            <w:tr>
              <w:tc>
                <w:tcPr/>
                <w:p>
                  <w:pPr>
                    <w:pStyle w:val="Compact"/>
                  </w:pPr>
                  <w:r>
                    <w:rPr>
                      <w:b/>
                      <w:bCs/>
                    </w:rPr>
                    <w:t xml:space="preserve">Passes to</w:t>
                  </w:r>
                </w:p>
              </w:tc>
              <w:tc>
                <w:tcPr/>
                <w:p>
                  <w:pPr>
                    <w:pStyle w:val="Compact"/>
                  </w:pPr>
                  <w:r>
                    <w:t xml:space="preserve">§5.6, Module 7 §7.2, SM-3.5-A (ReferenceArtefact schema extension)</w:t>
                  </w:r>
                </w:p>
              </w:tc>
            </w:tr>
            <w:tr>
              <w:tc>
                <w:tcPr/>
                <w:p>
                  <w:pPr>
                    <w:pStyle w:val="Compact"/>
                  </w:pPr>
                  <w:r>
                    <w:rPr>
                      <w:b/>
                      <w:bCs/>
                    </w:rPr>
                    <w:t xml:space="preserve">Sub-Modules here</w:t>
                  </w:r>
                </w:p>
              </w:tc>
              <w:tc>
                <w:tcPr/>
                <w:p>
                  <w:pPr>
                    <w:pStyle w:val="Compact"/>
                  </w:pPr>
                  <w:r>
                    <w:t xml:space="preserve">None</w:t>
                  </w:r>
                </w:p>
              </w:tc>
            </w:tr>
          </w:tbl>
          <w:p/>
        </w:tc>
      </w:tr>
    </w:tbl>
    <w:p>
      <w:r>
        <w:pict>
          <v:rect style="width:0;height:1.5pt" o:hralign="center" o:hrstd="t" o:hr="t"/>
        </w:pict>
      </w:r>
    </w:p>
    <w:bookmarkStart w:id="198" w:name="what-times-nz-is-and-how-it-works"/>
    <w:p>
      <w:pPr>
        <w:pStyle w:val="Heading2"/>
      </w:pPr>
      <w:r>
        <w:t xml:space="preserve">30.1 What TIMES-NZ Is and How It Works</w:t>
      </w:r>
    </w:p>
    <w:p>
      <w:pPr>
        <w:pStyle w:val="FirstParagraph"/>
      </w:pPr>
      <w:r>
        <w:t xml:space="preserve">TIMES-NZ is a national energy system model built on the IEA ETSAP TIMES framework, developed and maintained by EECA in partnership with the BusinessNZ Energy Council (BEC), with the model files and documentation openly published on GitHub and ReadTheDocs. It finds the least-cost configuration of the New Zealand energy system over a declared planning horizon, subject to technology, resource, demand, and policy constraints. It covers all energy sectors simultaneously — electricity generation, industrial process heat, space heating, transport, and agriculture — making it the most comprehensive model of the national energy system available in New Zealand and the primary tool informing EECA, MfE, and the Climate Change Commission’s long-run pathway analysis. EECA describes its role precisely: the model</w:t>
      </w:r>
      <w:r>
        <w:t xml:space="preserve"> </w:t>
      </w:r>
      <w:r>
        <w:t xml:space="preserve">‘doesn’t tell us how to run the energy market. Instead, it can help inform conversations about important trade-offs and uncertainties.’</w:t>
      </w:r>
      <w:r>
        <w:t xml:space="preserve"> </w:t>
      </w:r>
      <w:r>
        <w:t xml:space="preserve">This framing positions TIMES-NZ as a national conversation-framing tool rather than an operational decision system — exactly the analytical gap that the site-level layer of the DCM framework is designed to fill. The model also reflects</w:t>
      </w:r>
      <w:r>
        <w:t xml:space="preserve"> </w:t>
      </w:r>
      <w:r>
        <w:t xml:space="preserve">‘the impacts of factors largely beyond New Zealand’s control — for example the cost of energy-related imports,’</w:t>
      </w:r>
      <w:r>
        <w:t xml:space="preserve"> </w:t>
      </w:r>
      <w:r>
        <w:t xml:space="preserve">which identifies an explicit class of exogenous uncertainty that remains unresolved at the national level and must be represented in the FutureArtefact ensemble at the site level. TIMES-NZ 3.0 model files and input data are openly available at github.com/EECA-NZ/TIMES-NZ-Model-Files and documented at times-nz-dev.readthedocs.io.</w:t>
      </w:r>
    </w:p>
    <w:p>
      <w:pPr>
        <w:pStyle w:val="BodyText"/>
      </w:pPr>
      <w:r>
        <w:rPr>
          <w:b/>
          <w:bCs/>
        </w:rPr>
        <w:t xml:space="preserve">Mathematical structure.</w:t>
      </w:r>
      <w:r>
        <w:t xml:space="preserve"> </w:t>
      </w:r>
      <w:r>
        <w:t xml:space="preserve">TIMES is a linear programme. The objective function minimises the discounted total system cost over the planning horizon. Constraints encompass technology capacity balances, resource availability limits, demand satisfaction requirements, and policy mandates including the coal phase-out NES and the ETS carbon price trajectory. The LP structure assumes all relationships between decision variables and costs are linear, which is a strong simplification that enables tractable optimisation over a 30 to 50 year horizon at national scale but forecloses the representation of non-linear grid dynamics, threshold effects, and the temporal coincidences that determine hosting capacity exceedances.</w:t>
      </w:r>
    </w:p>
    <w:p>
      <w:pPr>
        <w:pStyle w:val="BodyText"/>
      </w:pPr>
      <w:r>
        <w:rPr>
          <w:b/>
          <w:bCs/>
        </w:rPr>
        <w:t xml:space="preserve">Technology representation.</w:t>
      </w:r>
      <w:r>
        <w:t xml:space="preserve"> </w:t>
      </w:r>
      <w:r>
        <w:t xml:space="preserve">Each energy conversion technology is represented as a process with declared capital cost, operating cost, thermal efficiency, and asset lifetime. The investment decision for each technology in each period is an endogenous model variable: the optimiser decides how much capacity to build, when to build it, and when to retire it. This produces an economy-wide investment pathway rather than a single-year snapshot, and the technology mix in any given year is determined by the full inter-temporal optimisation rather than by year-by-year myopic decisions.</w:t>
      </w:r>
    </w:p>
    <w:p>
      <w:r>
        <w:pict>
          <v:rect style="width:0;height:1.5pt" o:hralign="center" o:hrstd="t" o:hr="t"/>
        </w:pict>
      </w:r>
    </w:p>
    <w:bookmarkEnd w:id="198"/>
    <w:bookmarkStart w:id="199" w:name="X2fe43b47a5d23b327945e1f6991417fb8f8f5d9"/>
    <w:p>
      <w:pPr>
        <w:pStyle w:val="Heading2"/>
      </w:pPr>
      <w:r>
        <w:t xml:space="preserve">30.2 Temporal Resolution: The Critical Limitation</w:t>
      </w:r>
    </w:p>
    <w:p>
      <w:pPr>
        <w:pStyle w:val="FirstParagraph"/>
      </w:pPr>
      <w:r>
        <w:t xml:space="preserve">TIMES-NZ 2.0 represented a full year using 24 time slices — combinations of season and time-of-day that together approximate the variety of supply and demand conditions across the year. The temporal resolution of TIMES-NZ 3.0 has not been publicly confirmed in the model’s documentation at the time of writing and should be verified against times-nz-dev.readthedocs.io before the 24-slice characterisation is assumed to carry over. Regardless of any improvement in temporal resolution in the 3.0 rebuild, this is adequate for capturing seasonal variation in renewable generation (winter hydro scarcity versus summer hydro abundance) and broad demand patterns, but it is entirely inadequate for capturing the hour-by-hour grid dynamics that determine whether a large industrial electrification commitment triggers a GXP hosting capacity exceedance.</w:t>
      </w:r>
    </w:p>
    <w:p>
      <w:pPr>
        <w:pStyle w:val="BodyText"/>
      </w:pPr>
      <w:r>
        <w:t xml:space="preserve">Subsequent NZ-specific implementations have partially addressed this. A more recent NZIES model instance uses 96 time slices (24 hours multiplied by 4 seasons), requiring generation and transfer capacity to meet demand in both seasonal and daily peak periods. Even at 96 slices, however, the model cannot represent the specific coincidence of events that constitutes a GXP exceedance: the winter peak hour when Edendale’s electric boilers are drawing maximum load, a dry hydro year has reduced South Island generation headroom, and competing industrial users in the Mararoa-Waimea zone are simultaneously at high demand. This coincidence is an hourly event requiring the 8,760-timestep representation that the DCM framework’s DemandPack and SignalsPack architecture provides.</w:t>
      </w:r>
    </w:p>
    <w:p>
      <w:pPr>
        <w:pStyle w:val="BodyText"/>
      </w:pPr>
      <w:r>
        <w:t xml:space="preserve">This structural temporal gap is the primary reason why TIMES-NZ cannot perform the analysis that Module 6 performs. The 23-of-64 GXP exceedance finding is not visible in a 96-slice or 24-slice national model. It only emerges when hourly demand traces are evaluated against hourly grid signal data across a structured future ensemble — precisely the architecture this framework provides.</w:t>
      </w:r>
    </w:p>
    <w:p>
      <w:r>
        <w:pict>
          <v:rect style="width:0;height:1.5pt" o:hralign="center" o:hrstd="t" o:hr="t"/>
        </w:pict>
      </w:r>
    </w:p>
    <w:bookmarkEnd w:id="199"/>
    <w:bookmarkStart w:id="200" w:name="spatial-resolution-two-regions"/>
    <w:p>
      <w:pPr>
        <w:pStyle w:val="Heading2"/>
      </w:pPr>
      <w:r>
        <w:t xml:space="preserve">30.3 Spatial Resolution: Two Regions</w:t>
      </w:r>
    </w:p>
    <w:p>
      <w:pPr>
        <w:pStyle w:val="FirstParagraph"/>
      </w:pPr>
      <w:r>
        <w:t xml:space="preserve">TIMES-NZ 2.0 aggregated New Zealand to two regions — broadly North Island and South Island — connected by the HVDC inter-island link. The spatial resolution of TIMES-NZ 3.0 has not been publicly confirmed at the time of writing and should be verified at times-nz-dev.readthedocs.io. This captures the fundamental geographic constraint of the NZ electricity system without representing the distribution-level constraints within each island that determine site-level feasibility.</w:t>
      </w:r>
    </w:p>
    <w:p>
      <w:pPr>
        <w:pStyle w:val="BodyText"/>
      </w:pPr>
      <w:r>
        <w:t xml:space="preserve">The two-region structure cannot distinguish Southland from Canterbury. It cannot represent the Mararoa-Waimea transmission cluster. It cannot assess whether the Fonterra Edendale facility and Alliance Group’s Lorneville processing plant, both in eastern Southland, are competing for the same zone substation headroom. These spatial distinctions are precisely what determines the infrastructure feasibility of the investment decisions that EECA’s GIDI programme is designed to accelerate. The gap between two-region national representation and GXP-level site representation is the spatial dimension of the analytical gap that the DCM framework fills.</w:t>
      </w:r>
    </w:p>
    <w:p>
      <w:r>
        <w:pict>
          <v:rect style="width:0;height:1.5pt" o:hralign="center" o:hrstd="t" o:hr="t"/>
        </w:pict>
      </w:r>
    </w:p>
    <w:bookmarkEnd w:id="200"/>
    <w:bookmarkStart w:id="201" w:name="Xc4c52927529b1ca32faeb20b97821d597d01c8a"/>
    <w:p>
      <w:pPr>
        <w:pStyle w:val="Heading2"/>
      </w:pPr>
      <w:r>
        <w:t xml:space="preserve">30.4 Sensitivity Analysis: Scenario Comparison versus DMDU Ensemble</w:t>
      </w:r>
    </w:p>
    <w:p>
      <w:pPr>
        <w:pStyle w:val="FirstParagraph"/>
      </w:pPr>
      <w:r>
        <w:t xml:space="preserve">TIMES-NZ has reached a third major iteration (3.0), which represents a complete rebuild rather than an incremental update. The two TIMES-NZ 3.0 scenarios are named</w:t>
      </w:r>
      <w:r>
        <w:t xml:space="preserve"> </w:t>
      </w:r>
      <w:r>
        <w:rPr>
          <w:b/>
          <w:bCs/>
        </w:rPr>
        <w:t xml:space="preserve">Steady</w:t>
      </w:r>
      <w:r>
        <w:t xml:space="preserve"> </w:t>
      </w:r>
      <w:r>
        <w:t xml:space="preserve">and</w:t>
      </w:r>
      <w:r>
        <w:t xml:space="preserve"> </w:t>
      </w:r>
      <w:r>
        <w:rPr>
          <w:b/>
          <w:bCs/>
        </w:rPr>
        <w:t xml:space="preserve">Shift</w:t>
      </w:r>
      <w:r>
        <w:t xml:space="preserve"> </w:t>
      </w:r>
      <w:r>
        <w:t xml:space="preserve">— they are designed to help users explore structural trade-offs and uncertainties, not to provide probability-weighted predictions or prescriptive pathways. (TIMES-NZ 2.0 used scenarios named Tūī and Kea; these have been superseded.)</w:t>
      </w:r>
    </w:p>
    <w:p>
      <w:pPr>
        <w:pStyle w:val="BodyText"/>
      </w:pPr>
      <w:r>
        <w:t xml:space="preserve">TIMES-NZ 3.0 sensitivity analysis is conducted through comparison of exactly</w:t>
      </w:r>
      <w:r>
        <w:t xml:space="preserve"> </w:t>
      </w:r>
      <w:r>
        <w:rPr>
          <w:b/>
          <w:bCs/>
        </w:rPr>
        <w:t xml:space="preserve">two named scenarios</w:t>
      </w:r>
      <w:r>
        <w:t xml:space="preserve">: Steady and Shift. EECA explicitly describes them as instruments for exploring data rather than a comprehensive coverage of plausible futures. The two scenarios span four structural uncertainties identified by EECA as critical:</w:t>
      </w:r>
    </w:p>
    <w:p>
      <w:pPr>
        <w:pStyle w:val="BodyText"/>
      </w:pPr>
      <w:r>
        <w:rPr>
          <w:b/>
          <w:bCs/>
        </w:rPr>
        <w:t xml:space="preserve">Table SM-5.5-A-TNZMAPPING: TIMES-NZ 3.0 critical uncertainties mapped to DCM FutureArtefact dimensions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TIMES-NZ 3.0 critical uncertainty</w:t>
            </w:r>
          </w:p>
        </w:tc>
        <w:tc>
          <w:tcPr/>
          <w:p>
            <w:pPr>
              <w:pStyle w:val="Compact"/>
            </w:pPr>
            <w:r>
              <w:t xml:space="preserve">Steady assumption</w:t>
            </w:r>
          </w:p>
        </w:tc>
        <w:tc>
          <w:tcPr/>
          <w:p>
            <w:pPr>
              <w:pStyle w:val="Compact"/>
            </w:pPr>
            <w:r>
              <w:t xml:space="preserve">Shift assumption</w:t>
            </w:r>
          </w:p>
        </w:tc>
        <w:tc>
          <w:tcPr/>
          <w:p>
            <w:pPr>
              <w:pStyle w:val="Compact"/>
            </w:pPr>
            <w:r>
              <w:t xml:space="preserve">DCM FutureArtefact dimension</w:t>
            </w:r>
          </w:p>
        </w:tc>
      </w:tr>
      <w:tr>
        <w:tc>
          <w:tcPr/>
          <w:p>
            <w:pPr>
              <w:pStyle w:val="Compact"/>
            </w:pPr>
            <w:r>
              <w:t xml:space="preserve">Economic structure</w:t>
            </w:r>
          </w:p>
        </w:tc>
        <w:tc>
          <w:tcPr/>
          <w:p>
            <w:pPr>
              <w:pStyle w:val="Compact"/>
            </w:pPr>
            <w:r>
              <w:t xml:space="preserve">Primary sector and traditional manufacturing continues</w:t>
            </w:r>
          </w:p>
        </w:tc>
        <w:tc>
          <w:tcPr/>
          <w:p>
            <w:pPr>
              <w:pStyle w:val="Compact"/>
            </w:pPr>
            <w:r>
              <w:t xml:space="preserve">Structural shift away from primary exports</w:t>
            </w:r>
          </w:p>
        </w:tc>
        <w:tc>
          <w:tcPr/>
          <w:p>
            <w:pPr>
              <w:pStyle w:val="Compact"/>
            </w:pPr>
            <w:r>
              <w:rPr>
                <w:rStyle w:val="VerbatimChar"/>
              </w:rPr>
              <w:t xml:space="preserve">D_demand_mult</w:t>
            </w:r>
            <w:r>
              <w:t xml:space="preserve"> </w:t>
            </w:r>
            <w:r>
              <w:t xml:space="preserve">— heat demand multiplier</w:t>
            </w:r>
          </w:p>
        </w:tc>
      </w:tr>
      <w:tr>
        <w:tc>
          <w:tcPr/>
          <w:p>
            <w:pPr>
              <w:pStyle w:val="Compact"/>
            </w:pPr>
            <w:r>
              <w:t xml:space="preserve">Global technology progress</w:t>
            </w:r>
          </w:p>
        </w:tc>
        <w:tc>
          <w:tcPr/>
          <w:p>
            <w:pPr>
              <w:pStyle w:val="Compact"/>
            </w:pPr>
            <w:r>
              <w:t xml:space="preserve">Moderate clean technology cost reduction</w:t>
            </w:r>
          </w:p>
        </w:tc>
        <w:tc>
          <w:tcPr/>
          <w:p>
            <w:pPr>
              <w:pStyle w:val="Compact"/>
            </w:pPr>
            <w:r>
              <w:t xml:space="preserve">Rapid cost reduction for wind, solar, battery, EVs</w:t>
            </w:r>
          </w:p>
        </w:tc>
        <w:tc>
          <w:tcPr/>
          <w:p>
            <w:pPr>
              <w:pStyle w:val="Compact"/>
            </w:pPr>
            <w:r>
              <w:rPr>
                <w:rStyle w:val="VerbatimChar"/>
              </w:rPr>
              <w:t xml:space="preserve">U_upgrade_capex_mult</w:t>
            </w:r>
            <w:r>
              <w:t xml:space="preserve"> </w:t>
            </w:r>
            <w:r>
              <w:t xml:space="preserve">— capital cost trajectory</w:t>
            </w:r>
          </w:p>
        </w:tc>
      </w:tr>
      <w:tr>
        <w:tc>
          <w:tcPr/>
          <w:p>
            <w:pPr>
              <w:pStyle w:val="Compact"/>
            </w:pPr>
            <w:r>
              <w:t xml:space="preserve">Individualistic vs cooperative</w:t>
            </w:r>
          </w:p>
        </w:tc>
        <w:tc>
          <w:tcPr/>
          <w:p>
            <w:pPr>
              <w:pStyle w:val="Compact"/>
            </w:pPr>
            <w:r>
              <w:t xml:space="preserve">ETS carbon price $52/tonne by 2035</w:t>
            </w:r>
          </w:p>
        </w:tc>
        <w:tc>
          <w:tcPr/>
          <w:p>
            <w:pPr>
              <w:pStyle w:val="Compact"/>
            </w:pPr>
            <w:r>
              <w:t xml:space="preserve">ETS carbon price $260/tonne by 2050</w:t>
            </w:r>
          </w:p>
        </w:tc>
        <w:tc>
          <w:tcPr/>
          <w:p>
            <w:pPr>
              <w:pStyle w:val="Compact"/>
            </w:pPr>
            <w:r>
              <w:rPr>
                <w:rStyle w:val="VerbatimChar"/>
              </w:rPr>
              <w:t xml:space="preserve">P_ETS</w:t>
            </w:r>
            <w:r>
              <w:t xml:space="preserve"> </w:t>
            </w:r>
            <w:r>
              <w:t xml:space="preserve">— ETS price multiplier</w:t>
            </w:r>
          </w:p>
        </w:tc>
      </w:tr>
      <w:tr>
        <w:tc>
          <w:tcPr/>
          <w:p>
            <w:pPr>
              <w:pStyle w:val="Compact"/>
            </w:pPr>
            <w:r>
              <w:t xml:space="preserve">Role of gas</w:t>
            </w:r>
          </w:p>
        </w:tc>
        <w:tc>
          <w:tcPr/>
          <w:p>
            <w:pPr>
              <w:pStyle w:val="Compact"/>
            </w:pPr>
            <w:r>
              <w:t xml:space="preserve">LNG import via floating terminal viable</w:t>
            </w:r>
          </w:p>
        </w:tc>
        <w:tc>
          <w:tcPr/>
          <w:p>
            <w:pPr>
              <w:pStyle w:val="Compact"/>
            </w:pPr>
            <w:r>
              <w:t xml:space="preserve">Gas exits energy mix; no LNG import</w:t>
            </w:r>
          </w:p>
        </w:tc>
        <w:tc>
          <w:tcPr/>
          <w:p>
            <w:pPr>
              <w:pStyle w:val="Compact"/>
            </w:pPr>
            <w:r>
              <w:t xml:space="preserve">New structural branch: LNG access binary</w:t>
            </w:r>
          </w:p>
        </w:tc>
      </w:tr>
    </w:tbl>
    <w:p>
      <w:pPr>
        <w:pStyle w:val="BodyText"/>
      </w:pPr>
      <w:r>
        <w:t xml:space="preserve">The gap between two nationally consistent structural scenarios and a 64-to-1,000 point DMDU ensemble is wider than any scenario count comparison implies. EECA’s own framing acknowledges it: two scenarios are a starting point for conversation, not a coverage of the uncertainty space. The Steady and Shift scenarios do, however, provide precisely calibrated anchor points for the FutureArtefact ETS dimension: $52/tonne (Steady, 2035) as the lower bound and $260/tonne (Shift, 2050) as the upper bound. These publicly attributed, citable figures from EECA replace any previously generic language about carbon price trajectories in the DCM ensemble calibration.</w:t>
      </w:r>
    </w:p>
    <w:p>
      <w:pPr>
        <w:pStyle w:val="BodyText"/>
      </w:pPr>
      <w:r>
        <w:t xml:space="preserve">The Steady/Shift distinction is directly Southland-relevant: the Steady scenario describes dairy and meat processing as</w:t>
      </w:r>
      <w:r>
        <w:t xml:space="preserve"> </w:t>
      </w:r>
      <w:r>
        <w:t xml:space="preserve">‘a steady source of income with international farming exports finding growing markets,’</w:t>
      </w:r>
      <w:r>
        <w:t xml:space="preserve"> </w:t>
      </w:r>
      <w:r>
        <w:t xml:space="preserve">while the Shift scenario describes</w:t>
      </w:r>
      <w:r>
        <w:t xml:space="preserve"> </w:t>
      </w:r>
      <w:r>
        <w:t xml:space="preserve">‘demand for energy used by meat and dairy processing plants falling because of lower international demand.’</w:t>
      </w:r>
      <w:r>
        <w:t xml:space="preserve"> </w:t>
      </w:r>
      <w:r>
        <w:t xml:space="preserve">The two scenarios bracket exactly the range of futures that the Edendale PoC must navigate. This is not an abstract macroeconomic parameter — it is the primary structural driver of site-level heat demand uncertainty in the Southland context.</w:t>
      </w:r>
    </w:p>
    <w:p>
      <w:pPr>
        <w:pStyle w:val="BodyText"/>
      </w:pPr>
      <w:r>
        <w:t xml:space="preserve">The strengths of this approach are transparency and interpretability: each scenario is a coherent, self-consistent account of a possible future. The limitation is coverage. With only two national structural scenarios in TIMES-NZ 3.0, the analysis explores only a tiny fraction of the combinatorial uncertainty space, and the scenarios are designed as anchor points for conversation rather than to identify the specific combinations of conditions that most strongly determine pathway preference — which is precisely what PRIM-based scenario discovery of the type specified in Sub-Module SM-2.4-A is designed to reveal.</w:t>
      </w:r>
    </w:p>
    <w:p>
      <w:pPr>
        <w:pStyle w:val="BodyText"/>
      </w:pPr>
      <w:r>
        <w:t xml:space="preserve">The RETA Southland report explicitly recommends that future RETA pathways make greater use of sensitivity analysis to illustrate how resource costs and carbon prices influence the pathway choice, acknowledging that current sensitivity methods are insufficient for communicating the depth of genuine uncertainty about which pathway is preferred. The DCM framework’s DMDU ensemble approach is the direct methodological response to that recommendation: where TIMES-NZ 3.0 produces two internally consistent national structural scenarios, the DCM ensemble evaluates 64 to 1,000 structured combinations of the uncertain drivers that most influence the site-level decision.</w:t>
      </w:r>
    </w:p>
    <w:p>
      <w:r>
        <w:pict>
          <v:rect style="width:0;height:1.5pt" o:hralign="center" o:hrstd="t" o:hr="t"/>
        </w:pict>
      </w:r>
    </w:p>
    <w:bookmarkEnd w:id="201"/>
    <w:bookmarkStart w:id="202" w:name="X0599a09e9071ff20bf07422d485bb3ac2970c52"/>
    <w:p>
      <w:pPr>
        <w:pStyle w:val="Heading2"/>
      </w:pPr>
      <w:r>
        <w:t xml:space="preserve">30.5 Integration Pathway: TIMES-NZ and the DCM Framework</w:t>
      </w:r>
    </w:p>
    <w:p>
      <w:pPr>
        <w:pStyle w:val="FirstParagraph"/>
      </w:pPr>
      <w:r>
        <w:t xml:space="preserve">The most defensible integration approach uses TIMES-NZ 3.0 scenario outputs to calibrate the</w:t>
      </w:r>
      <w:r>
        <w:t xml:space="preserve"> </w:t>
      </w:r>
      <w:r>
        <w:rPr>
          <w:i/>
          <w:iCs/>
        </w:rPr>
        <w:t xml:space="preserve">boundary conditions</w:t>
      </w:r>
      <w:r>
        <w:t xml:space="preserve"> </w:t>
      </w:r>
      <w:r>
        <w:t xml:space="preserve">of the FutureArtefact ensemble rather than to constrain the site-level decision directly.</w:t>
      </w:r>
    </w:p>
    <w:p>
      <w:pPr>
        <w:pStyle w:val="BodyText"/>
      </w:pPr>
      <w:r>
        <w:rPr>
          <w:b/>
          <w:bCs/>
        </w:rPr>
        <w:t xml:space="preserve">One-directional calibration (current implementation, §5.6).</w:t>
      </w:r>
      <w:r>
        <w:t xml:space="preserve"> </w:t>
      </w:r>
      <w:r>
        <w:t xml:space="preserve">TIMES-NZ 3.0 scenario outputs provide plausible national electricity price trajectories, concrete carbon price anchors ($52/tonne in Steady by 2035; $260/tonne in Shift by 2050), and sectoral demand projections including dairy and meat processing trajectories under different technology adoption assumptions. These outputs are translated into the upper and lower bounds of the FutureArtefact’s ETS price dimension and the electricity tariff multiplier range, ensuring that the futures explored in the DCM ensemble are consistent with plausible national energy trajectories rather than with arbitrary parameter ranges constructed independently of the national system context.</w:t>
      </w:r>
    </w:p>
    <w:p>
      <w:pPr>
        <w:pStyle w:val="BodyText"/>
      </w:pPr>
      <w:r>
        <w:rPr>
          <w:b/>
          <w:bCs/>
        </w:rPr>
        <w:t xml:space="preserve">LNG binary structural branch.</w:t>
      </w:r>
      <w:r>
        <w:t xml:space="preserve"> </w:t>
      </w:r>
      <w:r>
        <w:t xml:space="preserve">TIMES-NZ 3.0 introduces a new structural uncertainty not present in 2.0: whether New Zealand develops LNG import infrastructure via a floating terminal (Steady scenario) or exits gas entirely (Shift scenario). For Southland industrial heat users, this binary materially affects the counterfactual fuel price floor: if LNG import is viable, the economics of electrification relative to gas retention are different from those in a gas-exit world. The FutureArtefact ensemble should include this as a structural branch parameter — a discrete binary rather than a continuous multiplier — in future ensemble designs that extend beyond the current PoC’s biomass versus electricity framing.</w:t>
      </w:r>
    </w:p>
    <w:p>
      <w:pPr>
        <w:pStyle w:val="BodyText"/>
      </w:pPr>
      <w:r>
        <w:rPr>
          <w:b/>
          <w:bCs/>
        </w:rPr>
        <w:t xml:space="preserve">Open-data calibration pathway.</w:t>
      </w:r>
      <w:r>
        <w:t xml:space="preserve"> </w:t>
      </w:r>
      <w:r>
        <w:t xml:space="preserve">TIMES-NZ 3.0 model files and input data are publicly available at github.com/EECA-NZ/TIMES-NZ-Model-Files under an open licence. The one-directional calibration step described above can therefore be implemented with full reproducibility using public data, without any data-sharing arrangement. This directly satisfies the ReferenceArtefact schema’s requirement for a stable, publicly accessible source with a maintained URL. The documentation site at times-nz-dev.readthedocs.io provides the versioned specification needed for the ReferenceArtefact’s</w:t>
      </w:r>
      <w:r>
        <w:t xml:space="preserve"> </w:t>
      </w:r>
      <w:r>
        <w:rPr>
          <w:rStyle w:val="VerbatimChar"/>
        </w:rPr>
        <w:t xml:space="preserve">calibration_method</w:t>
      </w:r>
      <w:r>
        <w:t xml:space="preserve"> </w:t>
      </w:r>
      <w:r>
        <w:t xml:space="preserve">field.</w:t>
      </w:r>
    </w:p>
    <w:p>
      <w:pPr>
        <w:pStyle w:val="BodyText"/>
      </w:pPr>
      <w:r>
        <w:rPr>
          <w:b/>
          <w:bCs/>
        </w:rPr>
        <w:t xml:space="preserve">Gauss-Seidel iterative coupling (next-phase vision, §7.2).</w:t>
      </w:r>
      <w:r>
        <w:t xml:space="preserve"> </w:t>
      </w:r>
      <w:r>
        <w:t xml:space="preserve">The aggregate industrial pathway commitments revealed by DCM ensemble analysis — for example, that 60 percent of plausible futures prefer biomass over electrification for the Southland dairy cluster — can be summarised as industrial demand scenarios and passed back to TIMES-NZ as updated demand constraints. TIMES-NZ 3.0 re-runs under those constraints, producing updated national electricity price and carbon price trajectories, which recalibrate the FutureArtefact ensemble for the next iteration. Convergence is achieved when site-level and national-level projections are mutually consistent. This coupling architecture is the operational expression of the multi-scale analytical environment described in Module 7 §7.2, and it is technically feasible with existing tools.</w:t>
      </w:r>
    </w:p>
    <w:p>
      <w:r>
        <w:pict>
          <v:rect style="width:0;height:1.5pt" o:hralign="center" o:hrstd="t" o:hr="t"/>
        </w:pict>
      </w:r>
    </w:p>
    <w:bookmarkEnd w:id="202"/>
    <w:bookmarkStart w:id="203" w:name="the-wider-nz-energy-modelling-ecosystem"/>
    <w:p>
      <w:pPr>
        <w:pStyle w:val="Heading2"/>
      </w:pPr>
      <w:r>
        <w:t xml:space="preserve">30.6 The Wider NZ Energy Modelling Ecosystem</w:t>
      </w:r>
    </w:p>
    <w:p>
      <w:pPr>
        <w:pStyle w:val="FirstParagraph"/>
      </w:pPr>
      <w:r>
        <w:rPr>
          <w:b/>
          <w:bCs/>
        </w:rPr>
        <w:t xml:space="preserve">Table SM-5.5-A: NZ energy modelling tools — capabilities and DCM integration roles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Type</w:t>
            </w:r>
          </w:p>
        </w:tc>
        <w:tc>
          <w:tcPr/>
          <w:p>
            <w:pPr>
              <w:pStyle w:val="Compact"/>
            </w:pPr>
            <w:r>
              <w:t xml:space="preserve">Temporal res.</w:t>
            </w:r>
          </w:p>
        </w:tc>
        <w:tc>
          <w:tcPr/>
          <w:p>
            <w:pPr>
              <w:pStyle w:val="Compact"/>
            </w:pPr>
            <w:r>
              <w:t xml:space="preserve">Spatial res.</w:t>
            </w:r>
          </w:p>
        </w:tc>
        <w:tc>
          <w:tcPr/>
          <w:p>
            <w:pPr>
              <w:pStyle w:val="Compact"/>
            </w:pPr>
            <w:r>
              <w:t xml:space="preserve">Primary NZ role</w:t>
            </w:r>
          </w:p>
        </w:tc>
        <w:tc>
          <w:tcPr/>
          <w:p>
            <w:pPr>
              <w:pStyle w:val="Compact"/>
            </w:pPr>
            <w:r>
              <w:t xml:space="preserve">DCM integration role</w:t>
            </w:r>
          </w:p>
        </w:tc>
      </w:tr>
      <w:tr>
        <w:tc>
          <w:tcPr/>
          <w:p>
            <w:pPr>
              <w:pStyle w:val="Compact"/>
            </w:pPr>
            <w:r>
              <w:t xml:space="preserve">TIMES-NZ 3.0</w:t>
            </w:r>
          </w:p>
        </w:tc>
        <w:tc>
          <w:tcPr/>
          <w:p>
            <w:pPr>
              <w:pStyle w:val="Compact"/>
            </w:pPr>
            <w:r>
              <w:t xml:space="preserve">LP optimisation</w:t>
            </w:r>
          </w:p>
        </w:tc>
        <w:tc>
          <w:tcPr/>
          <w:p>
            <w:pPr>
              <w:pStyle w:val="Compact"/>
            </w:pPr>
            <w:r>
              <w:t xml:space="preserve">24 slices/year</w:t>
            </w:r>
          </w:p>
        </w:tc>
        <w:tc>
          <w:tcPr/>
          <w:p>
            <w:pPr>
              <w:pStyle w:val="Compact"/>
            </w:pPr>
            <w:r>
              <w:t xml:space="preserve">2 regions</w:t>
            </w:r>
          </w:p>
        </w:tc>
        <w:tc>
          <w:tcPr/>
          <w:p>
            <w:pPr>
              <w:pStyle w:val="Compact"/>
            </w:pPr>
            <w:r>
              <w:t xml:space="preserve">National least-cost pathways</w:t>
            </w:r>
          </w:p>
        </w:tc>
        <w:tc>
          <w:tcPr/>
          <w:p>
            <w:pPr>
              <w:pStyle w:val="Compact"/>
            </w:pPr>
            <w:r>
              <w:t xml:space="preserve">FutureArtefact ETS and price calibration</w:t>
            </w:r>
          </w:p>
        </w:tc>
      </w:tr>
      <w:tr>
        <w:tc>
          <w:tcPr/>
          <w:p>
            <w:pPr>
              <w:pStyle w:val="Compact"/>
            </w:pPr>
            <w:r>
              <w:t xml:space="preserve">NZIES</w:t>
            </w:r>
          </w:p>
        </w:tc>
        <w:tc>
          <w:tcPr/>
          <w:p>
            <w:pPr>
              <w:pStyle w:val="Compact"/>
            </w:pPr>
            <w:r>
              <w:t xml:space="preserve">LP optimisation</w:t>
            </w:r>
          </w:p>
        </w:tc>
        <w:tc>
          <w:tcPr/>
          <w:p>
            <w:pPr>
              <w:pStyle w:val="Compact"/>
            </w:pPr>
            <w:r>
              <w:t xml:space="preserve">96 slices/year</w:t>
            </w:r>
          </w:p>
        </w:tc>
        <w:tc>
          <w:tcPr/>
          <w:p>
            <w:pPr>
              <w:pStyle w:val="Compact"/>
            </w:pPr>
            <w:r>
              <w:t xml:space="preserve">3 to 5 regions</w:t>
            </w:r>
          </w:p>
        </w:tc>
        <w:tc>
          <w:tcPr/>
          <w:p>
            <w:pPr>
              <w:pStyle w:val="Compact"/>
            </w:pPr>
            <w:r>
              <w:t xml:space="preserve">Hydrogen and deep electrification analysis</w:t>
            </w:r>
          </w:p>
        </w:tc>
        <w:tc>
          <w:tcPr/>
          <w:p>
            <w:pPr>
              <w:pStyle w:val="Compact"/>
            </w:pPr>
            <w:r>
              <w:t xml:space="preserve">Enhanced calibration with HVDC constraints</w:t>
            </w:r>
          </w:p>
        </w:tc>
      </w:tr>
      <w:tr>
        <w:tc>
          <w:tcPr/>
          <w:p>
            <w:pPr>
              <w:pStyle w:val="Compact"/>
            </w:pPr>
            <w:r>
              <w:t xml:space="preserve">PyPSA-NZ</w:t>
            </w:r>
          </w:p>
        </w:tc>
        <w:tc>
          <w:tcPr/>
          <w:p>
            <w:pPr>
              <w:pStyle w:val="Compact"/>
            </w:pPr>
            <w:r>
              <w:t xml:space="preserve">Network LP</w:t>
            </w:r>
          </w:p>
        </w:tc>
        <w:tc>
          <w:tcPr/>
          <w:p>
            <w:pPr>
              <w:pStyle w:val="Compact"/>
            </w:pPr>
            <w:r>
              <w:t xml:space="preserve">Hourly (8,760)</w:t>
            </w:r>
          </w:p>
        </w:tc>
        <w:tc>
          <w:tcPr/>
          <w:p>
            <w:pPr>
              <w:pStyle w:val="Compact"/>
            </w:pPr>
            <w:r>
              <w:t xml:space="preserve">Nodal</w:t>
            </w:r>
          </w:p>
        </w:tc>
        <w:tc>
          <w:tcPr/>
          <w:p>
            <w:pPr>
              <w:pStyle w:val="Compact"/>
            </w:pPr>
            <w:r>
              <w:t xml:space="preserve">Electricity dispatch and investment</w:t>
            </w:r>
          </w:p>
        </w:tc>
        <w:tc>
          <w:tcPr/>
          <w:p>
            <w:pPr>
              <w:pStyle w:val="Compact"/>
            </w:pPr>
            <w:r>
              <w:t xml:space="preserve">Regional Module implementation (SM-6.6-E)</w:t>
            </w:r>
          </w:p>
        </w:tc>
      </w:tr>
      <w:tr>
        <w:tc>
          <w:tcPr/>
          <w:p>
            <w:pPr>
              <w:pStyle w:val="Compact"/>
            </w:pPr>
            <w:r>
              <w:t xml:space="preserve">REMix-NZ</w:t>
            </w:r>
          </w:p>
        </w:tc>
        <w:tc>
          <w:tcPr/>
          <w:p>
            <w:pPr>
              <w:pStyle w:val="Compact"/>
            </w:pPr>
            <w:r>
              <w:t xml:space="preserve">Integrated simulation</w:t>
            </w:r>
          </w:p>
        </w:tc>
        <w:tc>
          <w:tcPr/>
          <w:p>
            <w:pPr>
              <w:pStyle w:val="Compact"/>
            </w:pPr>
            <w:r>
              <w:t xml:space="preserve">Hourly</w:t>
            </w:r>
          </w:p>
        </w:tc>
        <w:tc>
          <w:tcPr/>
          <w:p>
            <w:pPr>
              <w:pStyle w:val="Compact"/>
            </w:pPr>
            <w:r>
              <w:t xml:space="preserve">Sub-regional</w:t>
            </w:r>
          </w:p>
        </w:tc>
        <w:tc>
          <w:tcPr/>
          <w:p>
            <w:pPr>
              <w:pStyle w:val="Compact"/>
            </w:pPr>
            <w:r>
              <w:t xml:space="preserve">Renewable integration and multi-carrier demand</w:t>
            </w:r>
          </w:p>
        </w:tc>
        <w:tc>
          <w:tcPr/>
          <w:p>
            <w:pPr>
              <w:pStyle w:val="Compact"/>
            </w:pPr>
            <w:r>
              <w:t xml:space="preserve">Regional electricity calibration; demand projection</w:t>
            </w:r>
          </w:p>
        </w:tc>
      </w:tr>
      <w:tr>
        <w:tc>
          <w:tcPr/>
          <w:p>
            <w:pPr>
              <w:pStyle w:val="Compact"/>
            </w:pPr>
            <w:r>
              <w:t xml:space="preserve">RETA methodology</w:t>
            </w:r>
          </w:p>
        </w:tc>
        <w:tc>
          <w:tcPr/>
          <w:p>
            <w:pPr>
              <w:pStyle w:val="Compact"/>
            </w:pPr>
            <w:r>
              <w:t xml:space="preserve">Screening</w:t>
            </w:r>
          </w:p>
        </w:tc>
        <w:tc>
          <w:tcPr/>
          <w:p>
            <w:pPr>
              <w:pStyle w:val="Compact"/>
            </w:pPr>
            <w:r>
              <w:t xml:space="preserve">Annual and peak</w:t>
            </w:r>
          </w:p>
        </w:tc>
        <w:tc>
          <w:tcPr/>
          <w:p>
            <w:pPr>
              <w:pStyle w:val="Compact"/>
            </w:pPr>
            <w:r>
              <w:t xml:space="preserve">GXP-level</w:t>
            </w:r>
          </w:p>
        </w:tc>
        <w:tc>
          <w:tcPr/>
          <w:p>
            <w:pPr>
              <w:pStyle w:val="Compact"/>
            </w:pPr>
            <w:r>
              <w:t xml:space="preserve">Industrial decarbonisation opportunity mapping</w:t>
            </w:r>
          </w:p>
        </w:tc>
        <w:tc>
          <w:tcPr/>
          <w:p>
            <w:pPr>
              <w:pStyle w:val="Compact"/>
            </w:pPr>
            <w:r>
              <w:t xml:space="preserve">SignalsPack headroom calibration; SM-5.2-A</w:t>
            </w:r>
          </w:p>
        </w:tc>
      </w:tr>
      <w:tr>
        <w:tc>
          <w:tcPr/>
          <w:p>
            <w:pPr>
              <w:pStyle w:val="Compact"/>
            </w:pPr>
            <w:r>
              <w:t xml:space="preserve">GIDI Fund analysis</w:t>
            </w:r>
          </w:p>
        </w:tc>
        <w:tc>
          <w:tcPr/>
          <w:p>
            <w:pPr>
              <w:pStyle w:val="Compact"/>
            </w:pPr>
            <w:r>
              <w:t xml:space="preserve">Project appraisal</w:t>
            </w:r>
          </w:p>
        </w:tc>
        <w:tc>
          <w:tcPr/>
          <w:p>
            <w:pPr>
              <w:pStyle w:val="Compact"/>
            </w:pPr>
            <w:r>
              <w:t xml:space="preserve">Project lifetime</w:t>
            </w:r>
          </w:p>
        </w:tc>
        <w:tc>
          <w:tcPr/>
          <w:p>
            <w:pPr>
              <w:pStyle w:val="Compact"/>
            </w:pPr>
            <w:r>
              <w:t xml:space="preserve">Site-level</w:t>
            </w:r>
          </w:p>
        </w:tc>
        <w:tc>
          <w:tcPr/>
          <w:p>
            <w:pPr>
              <w:pStyle w:val="Compact"/>
            </w:pPr>
            <w:r>
              <w:t xml:space="preserve">Co-investment eligibility and grant assessment</w:t>
            </w:r>
          </w:p>
        </w:tc>
        <w:tc>
          <w:tcPr/>
          <w:p>
            <w:pPr>
              <w:pStyle w:val="Compact"/>
            </w:pPr>
            <w:r>
              <w:t xml:space="preserve">Site-perspective cost adjustment in overlay</w:t>
            </w:r>
          </w:p>
        </w:tc>
      </w:tr>
      <w:tr>
        <w:tc>
          <w:tcPr/>
          <w:p>
            <w:pPr>
              <w:pStyle w:val="Compact"/>
            </w:pPr>
            <w:r>
              <w:t xml:space="preserve">EnergyPLAN</w:t>
            </w:r>
          </w:p>
        </w:tc>
        <w:tc>
          <w:tcPr/>
          <w:p>
            <w:pPr>
              <w:pStyle w:val="Compact"/>
            </w:pPr>
            <w:r>
              <w:t xml:space="preserve">Simulation</w:t>
            </w:r>
          </w:p>
        </w:tc>
        <w:tc>
          <w:tcPr/>
          <w:p>
            <w:pPr>
              <w:pStyle w:val="Compact"/>
            </w:pPr>
            <w:r>
              <w:t xml:space="preserve">Hourly</w:t>
            </w:r>
          </w:p>
        </w:tc>
        <w:tc>
          <w:tcPr/>
          <w:p>
            <w:pPr>
              <w:pStyle w:val="Compact"/>
            </w:pPr>
            <w:r>
              <w:t xml:space="preserve">National</w:t>
            </w:r>
          </w:p>
        </w:tc>
        <w:tc>
          <w:tcPr/>
          <w:p>
            <w:pPr>
              <w:pStyle w:val="Compact"/>
            </w:pPr>
            <w:r>
              <w:t xml:space="preserve">Renewable energy system simulation</w:t>
            </w:r>
          </w:p>
        </w:tc>
        <w:tc>
          <w:tcPr/>
          <w:p>
            <w:pPr>
              <w:pStyle w:val="Compact"/>
            </w:pPr>
            <w:r>
              <w:t xml:space="preserve">Alternative Regional Module implementation</w:t>
            </w:r>
          </w:p>
        </w:tc>
      </w:tr>
      <w:tr>
        <w:tc>
          <w:tcPr/>
          <w:p>
            <w:pPr>
              <w:pStyle w:val="Compact"/>
            </w:pPr>
            <w:r>
              <w:t xml:space="preserve">TIMES (IEA-ETSAP)</w:t>
            </w:r>
          </w:p>
        </w:tc>
        <w:tc>
          <w:tcPr/>
          <w:p>
            <w:pPr>
              <w:pStyle w:val="Compact"/>
            </w:pPr>
            <w:r>
              <w:t xml:space="preserve">LP optimisation</w:t>
            </w:r>
          </w:p>
        </w:tc>
        <w:tc>
          <w:tcPr/>
          <w:p>
            <w:pPr>
              <w:pStyle w:val="Compact"/>
            </w:pPr>
            <w:r>
              <w:t xml:space="preserve">Configurable</w:t>
            </w:r>
          </w:p>
        </w:tc>
        <w:tc>
          <w:tcPr/>
          <w:p>
            <w:pPr>
              <w:pStyle w:val="Compact"/>
            </w:pPr>
            <w:r>
              <w:t xml:space="preserve">Configurable</w:t>
            </w:r>
          </w:p>
        </w:tc>
        <w:tc>
          <w:tcPr/>
          <w:p>
            <w:pPr>
              <w:pStyle w:val="Compact"/>
            </w:pPr>
            <w:r>
              <w:t xml:space="preserve">Global and regional energy pathways</w:t>
            </w:r>
          </w:p>
        </w:tc>
        <w:tc>
          <w:tcPr/>
          <w:p>
            <w:pPr>
              <w:pStyle w:val="Compact"/>
            </w:pPr>
            <w:r>
              <w:t xml:space="preserve">Methodological parent of TIMES-NZ</w:t>
            </w:r>
          </w:p>
        </w:tc>
      </w:tr>
    </w:tbl>
    <w:p>
      <w:pPr>
        <w:pStyle w:val="BodyText"/>
      </w:pPr>
      <w:r>
        <w:rPr>
          <w:b/>
          <w:bCs/>
        </w:rPr>
        <w:t xml:space="preserve">PyPSA-NZ</w:t>
      </w:r>
      <w:r>
        <w:t xml:space="preserve"> </w:t>
      </w:r>
      <w:r>
        <w:t xml:space="preserve">is the most important next-phase Regional Module implementation target. It provides nodal network optimisation at hourly resolution for the New Zealand transmission system, producing dual variables and line loading fractions that map directly to SignalsPack fields: the nodal marginal price at EDN0331 becomes the</w:t>
      </w:r>
      <w:r>
        <w:t xml:space="preserve"> </w:t>
      </w:r>
      <w:r>
        <w:rPr>
          <w:rStyle w:val="VerbatimChar"/>
        </w:rPr>
        <w:t xml:space="preserve">tariff_nzd_per_mwh</w:t>
      </w:r>
      <w:r>
        <w:t xml:space="preserve"> </w:t>
      </w:r>
      <w:r>
        <w:t xml:space="preserve">field; the line loading fraction on the subtransmission circuit becomes the</w:t>
      </w:r>
      <w:r>
        <w:t xml:space="preserve"> </w:t>
      </w:r>
      <w:r>
        <w:rPr>
          <w:rStyle w:val="VerbatimChar"/>
        </w:rPr>
        <w:t xml:space="preserve">feasibility_indicator</w:t>
      </w:r>
      <w:r>
        <w:t xml:space="preserve">; the system adequacy margin becomes</w:t>
      </w:r>
      <w:r>
        <w:t xml:space="preserve"> </w:t>
      </w:r>
      <w:r>
        <w:rPr>
          <w:rStyle w:val="VerbatimChar"/>
        </w:rPr>
        <w:t xml:space="preserve">headroom_mw</w:t>
      </w:r>
      <w:r>
        <w:t xml:space="preserve">. The national PyPSA-NZ model can be subset to the Southland regional context, reducing computational cost while retaining network-aware dispatch accuracy. Full implementation is specified in Sub-Module SM-6.6-E.</w:t>
      </w:r>
    </w:p>
    <w:p>
      <w:pPr>
        <w:pStyle w:val="BodyText"/>
      </w:pPr>
      <w:r>
        <w:rPr>
          <w:b/>
          <w:bCs/>
        </w:rPr>
        <w:t xml:space="preserve">REMix-NZ</w:t>
      </w:r>
      <w:r>
        <w:t xml:space="preserve">, developed at DLR Stuttgart with NZ researchers, provides integrated energy system modelling with hourly resolution across electricity, heat, and transport carriers. Its published demand projection dataset — released in 2026 with regional and hourly resolution to 2050 — provides exactly the calibration data required for the DCM framework’s regional demand growth multiplier dimension, covering sector-specific electrification trajectories at sub-national spatial resolution that TIMES-NZ cannot provide. The full dataset, providing hourly and regional energy demand projections for electricity, heat, and transport in New Zealand to 2050, was published as an open dataset in January 2026 with DOI 10.1038/s41597-025-06511-6 (Canessa et al., 2026), directly providing the calibration data required for the DCM framework’s regional demand growth multiplier dimension.</w:t>
      </w:r>
    </w:p>
    <w:p>
      <w:r>
        <w:pict>
          <v:rect style="width:0;height:1.5pt" o:hralign="center" o:hrstd="t" o:hr="t"/>
        </w:pict>
      </w:r>
    </w:p>
    <w:bookmarkEnd w:id="203"/>
    <w:bookmarkStart w:id="204" w:name="X00d36d1df16089cf367f7ccda2a79e3c9f0f41d"/>
    <w:p>
      <w:pPr>
        <w:pStyle w:val="Heading2"/>
      </w:pPr>
      <w:r>
        <w:t xml:space="preserve">30.7 The ReferenceArtefact: Governed External Document Linkage</w:t>
      </w:r>
    </w:p>
    <w:p>
      <w:pPr>
        <w:pStyle w:val="FirstParagraph"/>
      </w:pPr>
      <w:r>
        <w:t xml:space="preserve">The DCM framework’s analytical backbone currently traces lineage from DecisionSummaryArtefacts through ResultArtefacts, SignalsPacks, FutureArtefacts, and DemandPacks back to generating runs and module versions. One important link in this chain is not yet formally governed: the relationship between the FutureArtefact’s uncertain driver ranges and the external documents — RETA reports, Transpower Grid Investment Plans, Climate Change Commission modelling, and TIMES-NZ scenario outputs — from which those ranges were calibrated.</w:t>
      </w:r>
    </w:p>
    <w:p>
      <w:pPr>
        <w:pStyle w:val="BodyText"/>
      </w:pPr>
      <w:r>
        <w:t xml:space="preserve">The</w:t>
      </w:r>
      <w:r>
        <w:t xml:space="preserve"> </w:t>
      </w:r>
      <w:r>
        <w:rPr>
          <w:b/>
          <w:bCs/>
        </w:rPr>
        <w:t xml:space="preserve">ReferenceArtefact</w:t>
      </w:r>
      <w:r>
        <w:t xml:space="preserve"> </w:t>
      </w:r>
      <w:r>
        <w:t xml:space="preserve">closes this gap. It is a new canonical artefact family that registers external documents as governed analytical inputs with full provenance. A ReferenceArtefact carries: the document’s title and institution; its URL or DOI; its publication date; the specific FutureArtefact fields or module sections it calibrates; the calibration methodology used to translate document content into parameter ranges; and a SHA256 hash of the source file where a downloadable version exists.</w:t>
      </w:r>
    </w:p>
    <w:p>
      <w:pPr>
        <w:pStyle w:val="BodyText"/>
      </w:pPr>
      <w:r>
        <w:t xml:space="preserve">Once registered, every FutureArtefact field has a traceable chain: the ETS price range in a given future references the ReferenceArtefact for the Climate Change Commission’s Demonstration Path modelling, which in turn references the specific table or figure from which the price bounds were derived. The SignalsPack headroom estimate references the ReferenceArtefact for the RETA Southland assessment, linking the analytical finding back to the EECA report that provided the reference capacity data. This makes the complete audit trail from framework results back to primary data sources recoverable without analyst interpretation.</w:t>
      </w:r>
    </w:p>
    <w:p>
      <w:pPr>
        <w:pStyle w:val="BodyText"/>
      </w:pPr>
      <w:r>
        <w:rPr>
          <w:b/>
          <w:bCs/>
        </w:rPr>
        <w:t xml:space="preserve">Table SM-5.5-A-2: ReferenceArtefact schema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ref_id</w:t>
            </w:r>
          </w:p>
        </w:tc>
        <w:tc>
          <w:tcPr/>
          <w:p>
            <w:pPr>
              <w:pStyle w:val="Compact"/>
            </w:pPr>
            <w:r>
              <w:t xml:space="preserve">UUID</w:t>
            </w:r>
          </w:p>
        </w:tc>
        <w:tc>
          <w:tcPr/>
          <w:p>
            <w:pPr>
              <w:pStyle w:val="Compact"/>
            </w:pPr>
            <w:r>
              <w:t xml:space="preserve">Required</w:t>
            </w:r>
          </w:p>
        </w:tc>
        <w:tc>
          <w:tcPr/>
          <w:p>
            <w:pPr>
              <w:pStyle w:val="Compact"/>
            </w:pPr>
            <w:r>
              <w:t xml:space="preserve">Unique identifier for this reference</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Full document title</w:t>
            </w:r>
          </w:p>
        </w:tc>
      </w:tr>
      <w:tr>
        <w:tc>
          <w:tcPr/>
          <w:p>
            <w:pPr>
              <w:pStyle w:val="Compact"/>
            </w:pPr>
            <w:r>
              <w:t xml:space="preserve">institution</w:t>
            </w:r>
          </w:p>
        </w:tc>
        <w:tc>
          <w:tcPr/>
          <w:p>
            <w:pPr>
              <w:pStyle w:val="Compact"/>
            </w:pPr>
            <w:r>
              <w:t xml:space="preserve">String</w:t>
            </w:r>
          </w:p>
        </w:tc>
        <w:tc>
          <w:tcPr/>
          <w:p>
            <w:pPr>
              <w:pStyle w:val="Compact"/>
            </w:pPr>
            <w:r>
              <w:t xml:space="preserve">Required</w:t>
            </w:r>
          </w:p>
        </w:tc>
        <w:tc>
          <w:tcPr/>
          <w:p>
            <w:pPr>
              <w:pStyle w:val="Compact"/>
            </w:pPr>
            <w:r>
              <w:t xml:space="preserve">Authoring institution</w:t>
            </w:r>
          </w:p>
        </w:tc>
      </w:tr>
      <w:tr>
        <w:tc>
          <w:tcPr/>
          <w:p>
            <w:pPr>
              <w:pStyle w:val="Compact"/>
            </w:pPr>
            <w:r>
              <w:t xml:space="preserve">authors</w:t>
            </w:r>
          </w:p>
        </w:tc>
        <w:tc>
          <w:tcPr/>
          <w:p>
            <w:pPr>
              <w:pStyle w:val="Compact"/>
            </w:pPr>
            <w:r>
              <w:t xml:space="preserve">String</w:t>
            </w:r>
          </w:p>
        </w:tc>
        <w:tc>
          <w:tcPr/>
          <w:p>
            <w:pPr>
              <w:pStyle w:val="Compact"/>
            </w:pPr>
            <w:r>
              <w:t xml:space="preserve">Optional</w:t>
            </w:r>
          </w:p>
        </w:tc>
        <w:tc>
          <w:tcPr/>
          <w:p>
            <w:pPr>
              <w:pStyle w:val="Compact"/>
            </w:pPr>
            <w:r>
              <w:t xml:space="preserve">Primary authors or report number</w:t>
            </w:r>
          </w:p>
        </w:tc>
      </w:tr>
      <w:tr>
        <w:tc>
          <w:tcPr/>
          <w:p>
            <w:pPr>
              <w:pStyle w:val="Compact"/>
            </w:pPr>
            <w:r>
              <w:t xml:space="preserve">url_or_doi</w:t>
            </w:r>
          </w:p>
        </w:tc>
        <w:tc>
          <w:tcPr/>
          <w:p>
            <w:pPr>
              <w:pStyle w:val="Compact"/>
            </w:pPr>
            <w:r>
              <w:t xml:space="preserve">String</w:t>
            </w:r>
          </w:p>
        </w:tc>
        <w:tc>
          <w:tcPr/>
          <w:p>
            <w:pPr>
              <w:pStyle w:val="Compact"/>
            </w:pPr>
            <w:r>
              <w:t xml:space="preserve">Required</w:t>
            </w:r>
          </w:p>
        </w:tc>
        <w:tc>
          <w:tcPr/>
          <w:p>
            <w:pPr>
              <w:pStyle w:val="Compact"/>
            </w:pPr>
            <w:r>
              <w:t xml:space="preserve">Stable URL or DOI</w:t>
            </w:r>
          </w:p>
        </w:tc>
      </w:tr>
      <w:tr>
        <w:tc>
          <w:tcPr/>
          <w:p>
            <w:pPr>
              <w:pStyle w:val="Compact"/>
            </w:pPr>
            <w:r>
              <w:t xml:space="preserve">publication_date</w:t>
            </w:r>
          </w:p>
        </w:tc>
        <w:tc>
          <w:tcPr/>
          <w:p>
            <w:pPr>
              <w:pStyle w:val="Compact"/>
            </w:pPr>
            <w:r>
              <w:t xml:space="preserve">Date</w:t>
            </w:r>
          </w:p>
        </w:tc>
        <w:tc>
          <w:tcPr/>
          <w:p>
            <w:pPr>
              <w:pStyle w:val="Compact"/>
            </w:pPr>
            <w:r>
              <w:t xml:space="preserve">Required</w:t>
            </w:r>
          </w:p>
        </w:tc>
        <w:tc>
          <w:tcPr/>
          <w:p>
            <w:pPr>
              <w:pStyle w:val="Compact"/>
            </w:pPr>
            <w:r>
              <w:t xml:space="preserve">Date of publication or last revision</w:t>
            </w:r>
          </w:p>
        </w:tc>
      </w:tr>
      <w:tr>
        <w:tc>
          <w:tcPr/>
          <w:p>
            <w:pPr>
              <w:pStyle w:val="Compact"/>
            </w:pPr>
            <w:r>
              <w:t xml:space="preserve">calibrates_fields</w:t>
            </w:r>
          </w:p>
        </w:tc>
        <w:tc>
          <w:tcPr/>
          <w:p>
            <w:pPr>
              <w:pStyle w:val="Compact"/>
            </w:pPr>
            <w:r>
              <w:t xml:space="preserve">List</w:t>
            </w:r>
          </w:p>
        </w:tc>
        <w:tc>
          <w:tcPr/>
          <w:p>
            <w:pPr>
              <w:pStyle w:val="Compact"/>
            </w:pPr>
            <w:r>
              <w:t xml:space="preserve">Required</w:t>
            </w:r>
          </w:p>
        </w:tc>
        <w:tc>
          <w:tcPr/>
          <w:p>
            <w:pPr>
              <w:pStyle w:val="Compact"/>
            </w:pPr>
            <w:r>
              <w:t xml:space="preserve">FutureArtefact fields this document calibrates</w:t>
            </w:r>
          </w:p>
        </w:tc>
      </w:tr>
      <w:tr>
        <w:tc>
          <w:tcPr/>
          <w:p>
            <w:pPr>
              <w:pStyle w:val="Compact"/>
            </w:pPr>
            <w:r>
              <w:t xml:space="preserve">calibrates_sections</w:t>
            </w:r>
          </w:p>
        </w:tc>
        <w:tc>
          <w:tcPr/>
          <w:p>
            <w:pPr>
              <w:pStyle w:val="Compact"/>
            </w:pPr>
            <w:r>
              <w:t xml:space="preserve">List</w:t>
            </w:r>
          </w:p>
        </w:tc>
        <w:tc>
          <w:tcPr/>
          <w:p>
            <w:pPr>
              <w:pStyle w:val="Compact"/>
            </w:pPr>
            <w:r>
              <w:t xml:space="preserve">Optional</w:t>
            </w:r>
          </w:p>
        </w:tc>
        <w:tc>
          <w:tcPr/>
          <w:p>
            <w:pPr>
              <w:pStyle w:val="Compact"/>
            </w:pPr>
            <w:r>
              <w:t xml:space="preserve">Module section numbers this document informs</w:t>
            </w:r>
          </w:p>
        </w:tc>
      </w:tr>
      <w:tr>
        <w:tc>
          <w:tcPr/>
          <w:p>
            <w:pPr>
              <w:pStyle w:val="Compact"/>
            </w:pPr>
            <w:r>
              <w:t xml:space="preserve">calibration_method</w:t>
            </w:r>
          </w:p>
        </w:tc>
        <w:tc>
          <w:tcPr/>
          <w:p>
            <w:pPr>
              <w:pStyle w:val="Compact"/>
            </w:pPr>
            <w:r>
              <w:t xml:space="preserve">String</w:t>
            </w:r>
          </w:p>
        </w:tc>
        <w:tc>
          <w:tcPr/>
          <w:p>
            <w:pPr>
              <w:pStyle w:val="Compact"/>
            </w:pPr>
            <w:r>
              <w:t xml:space="preserve">Required</w:t>
            </w:r>
          </w:p>
        </w:tc>
        <w:tc>
          <w:tcPr/>
          <w:p>
            <w:pPr>
              <w:pStyle w:val="Compact"/>
            </w:pPr>
            <w:r>
              <w:t xml:space="preserve">How document content was translated into parameter ranges</w:t>
            </w:r>
          </w:p>
        </w:tc>
      </w:tr>
      <w:tr>
        <w:tc>
          <w:tcPr/>
          <w:p>
            <w:pPr>
              <w:pStyle w:val="Compact"/>
            </w:pPr>
            <w:r>
              <w:t xml:space="preserve">file_sha256</w:t>
            </w:r>
          </w:p>
        </w:tc>
        <w:tc>
          <w:tcPr/>
          <w:p>
            <w:pPr>
              <w:pStyle w:val="Compact"/>
            </w:pPr>
            <w:r>
              <w:t xml:space="preserve">String</w:t>
            </w:r>
          </w:p>
        </w:tc>
        <w:tc>
          <w:tcPr/>
          <w:p>
            <w:pPr>
              <w:pStyle w:val="Compact"/>
            </w:pPr>
            <w:r>
              <w:t xml:space="preserve">Optional</w:t>
            </w:r>
          </w:p>
        </w:tc>
        <w:tc>
          <w:tcPr/>
          <w:p>
            <w:pPr>
              <w:pStyle w:val="Compact"/>
            </w:pPr>
            <w:r>
              <w:t xml:space="preserve">SHA256 hash of downloaded source file</w:t>
            </w:r>
          </w:p>
        </w:tc>
      </w:tr>
      <w:tr>
        <w:tc>
          <w:tcPr/>
          <w:p>
            <w:pPr>
              <w:pStyle w:val="Compact"/>
            </w:pPr>
            <w:r>
              <w:t xml:space="preserve">schema_version</w:t>
            </w:r>
          </w:p>
        </w:tc>
        <w:tc>
          <w:tcPr/>
          <w:p>
            <w:pPr>
              <w:pStyle w:val="Compact"/>
            </w:pPr>
            <w:r>
              <w:t xml:space="preserve">String</w:t>
            </w:r>
          </w:p>
        </w:tc>
        <w:tc>
          <w:tcPr/>
          <w:p>
            <w:pPr>
              <w:pStyle w:val="Compact"/>
            </w:pPr>
            <w:r>
              <w:t xml:space="preserve">Required</w:t>
            </w:r>
          </w:p>
        </w:tc>
        <w:tc>
          <w:tcPr/>
          <w:p>
            <w:pPr>
              <w:pStyle w:val="Compact"/>
            </w:pPr>
            <w:r>
              <w:t xml:space="preserve">“1.0”</w:t>
            </w:r>
          </w:p>
        </w:tc>
      </w:tr>
    </w:tbl>
    <w:p>
      <w:pPr>
        <w:pStyle w:val="BodyText"/>
      </w:pPr>
      <w:r>
        <w:rPr>
          <w:b/>
          <w:bCs/>
        </w:rPr>
        <w:t xml:space="preserve">Table SM-5.5-A-3: Current ReferenceArtefact registry entries (planned)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Institution</w:t>
            </w:r>
          </w:p>
        </w:tc>
        <w:tc>
          <w:tcPr/>
          <w:p>
            <w:pPr>
              <w:pStyle w:val="Compact"/>
            </w:pPr>
            <w:r>
              <w:t xml:space="preserve">Calibrates</w:t>
            </w:r>
          </w:p>
        </w:tc>
        <w:tc>
          <w:tcPr/>
          <w:p>
            <w:pPr>
              <w:pStyle w:val="Compact"/>
            </w:pPr>
            <w:r>
              <w:t xml:space="preserve">Method</w:t>
            </w:r>
          </w:p>
        </w:tc>
      </w:tr>
      <w:tr>
        <w:tc>
          <w:tcPr/>
          <w:p>
            <w:pPr>
              <w:pStyle w:val="Compact"/>
            </w:pPr>
            <w:r>
              <w:t xml:space="preserve">RETA Southland Assessment</w:t>
            </w:r>
          </w:p>
        </w:tc>
        <w:tc>
          <w:tcPr/>
          <w:p>
            <w:pPr>
              <w:pStyle w:val="Compact"/>
            </w:pPr>
            <w:r>
              <w:t xml:space="preserve">EECA</w:t>
            </w:r>
          </w:p>
        </w:tc>
        <w:tc>
          <w:tcPr/>
          <w:p>
            <w:pPr>
              <w:pStyle w:val="Compact"/>
            </w:pPr>
            <w:r>
              <w:t xml:space="preserve">headroom_mult range</w:t>
            </w:r>
          </w:p>
        </w:tc>
        <w:tc>
          <w:tcPr/>
          <w:p>
            <w:pPr>
              <w:pStyle w:val="Compact"/>
            </w:pPr>
            <w:r>
              <w:t xml:space="preserve">Reference capacity from GXP screening table</w:t>
            </w:r>
          </w:p>
        </w:tc>
      </w:tr>
      <w:tr>
        <w:tc>
          <w:tcPr/>
          <w:p>
            <w:pPr>
              <w:pStyle w:val="Compact"/>
            </w:pPr>
            <w:r>
              <w:t xml:space="preserve">Climate Change Commission — Demonstration Path</w:t>
            </w:r>
          </w:p>
        </w:tc>
        <w:tc>
          <w:tcPr/>
          <w:p>
            <w:pPr>
              <w:pStyle w:val="Compact"/>
            </w:pPr>
            <w:r>
              <w:t xml:space="preserve">Climate Change Commission</w:t>
            </w:r>
          </w:p>
        </w:tc>
        <w:tc>
          <w:tcPr/>
          <w:p>
            <w:pPr>
              <w:pStyle w:val="Compact"/>
            </w:pPr>
            <w:r>
              <w:t xml:space="preserve">ets_price range</w:t>
            </w:r>
          </w:p>
        </w:tc>
        <w:tc>
          <w:tcPr/>
          <w:p>
            <w:pPr>
              <w:pStyle w:val="Compact"/>
            </w:pPr>
            <w:r>
              <w:t xml:space="preserve">Table 5.3 NZU price trajectory low and high bounds</w:t>
            </w:r>
          </w:p>
        </w:tc>
      </w:tr>
      <w:tr>
        <w:tc>
          <w:tcPr/>
          <w:p>
            <w:pPr>
              <w:pStyle w:val="Compact"/>
            </w:pPr>
            <w:r>
              <w:t xml:space="preserve">TIMES-NZ 3.0 Energy Scenarios</w:t>
            </w:r>
          </w:p>
        </w:tc>
        <w:tc>
          <w:tcPr/>
          <w:p>
            <w:pPr>
              <w:pStyle w:val="Compact"/>
            </w:pPr>
            <w:r>
              <w:t xml:space="preserve">EECA / BEC</w:t>
            </w:r>
          </w:p>
        </w:tc>
        <w:tc>
          <w:tcPr/>
          <w:p>
            <w:pPr>
              <w:pStyle w:val="Compact"/>
            </w:pPr>
            <w:r>
              <w:t xml:space="preserve">Steady and Shift scenario outputs; ETS price anchors ($52/t and $260/t); sectoral demand projections</w:t>
            </w:r>
          </w:p>
        </w:tc>
        <w:tc>
          <w:tcPr/>
          <w:p>
            <w:pPr>
              <w:pStyle w:val="Compact"/>
            </w:pPr>
            <w:r>
              <w:t xml:space="preserve">github.com/EECA-NZ/TIMES-NZ-Model-Files; times-nz-dev.readthedocs.io</w:t>
            </w:r>
          </w:p>
        </w:tc>
      </w:tr>
      <w:tr>
        <w:tc>
          <w:tcPr/>
          <w:p>
            <w:pPr>
              <w:pStyle w:val="Compact"/>
            </w:pPr>
            <w:r>
              <w:t xml:space="preserve">TIMES-NZ 3.0 Documentation Site</w:t>
            </w:r>
          </w:p>
        </w:tc>
        <w:tc>
          <w:tcPr/>
          <w:p>
            <w:pPr>
              <w:pStyle w:val="Compact"/>
            </w:pPr>
            <w:r>
              <w:t xml:space="preserve">EECA</w:t>
            </w:r>
          </w:p>
        </w:tc>
        <w:tc>
          <w:tcPr/>
          <w:p>
            <w:pPr>
              <w:pStyle w:val="Compact"/>
            </w:pPr>
            <w:r>
              <w:t xml:space="preserve">Versioned model specification for calibration_method field in ReferenceArtefact</w:t>
            </w:r>
          </w:p>
        </w:tc>
        <w:tc>
          <w:tcPr/>
          <w:p>
            <w:pPr>
              <w:pStyle w:val="Compact"/>
            </w:pPr>
            <w:r>
              <w:t xml:space="preserve">times-nz-dev.readthedocs.io</w:t>
            </w:r>
          </w:p>
        </w:tc>
      </w:tr>
      <w:tr>
        <w:tc>
          <w:tcPr/>
          <w:p>
            <w:pPr>
              <w:pStyle w:val="Compact"/>
            </w:pPr>
            <w:r>
              <w:t xml:space="preserve">EECA TIMES-NZ Model Files</w:t>
            </w:r>
          </w:p>
        </w:tc>
        <w:tc>
          <w:tcPr/>
          <w:p>
            <w:pPr>
              <w:pStyle w:val="Compact"/>
            </w:pPr>
            <w:r>
              <w:t xml:space="preserve">EECA-NZ (GitHub)</w:t>
            </w:r>
          </w:p>
        </w:tc>
        <w:tc>
          <w:tcPr/>
          <w:p>
            <w:pPr>
              <w:pStyle w:val="Compact"/>
            </w:pPr>
            <w:r>
              <w:t xml:space="preserve">TIMES-NZ model inputs and scenario data</w:t>
            </w:r>
          </w:p>
        </w:tc>
        <w:tc>
          <w:tcPr/>
          <w:p>
            <w:pPr>
              <w:pStyle w:val="Compact"/>
            </w:pPr>
            <w:r>
              <w:t xml:space="preserve">Direct download from github.com/EECA-NZ/TIMES-NZ-Model-Files</w:t>
            </w:r>
          </w:p>
        </w:tc>
      </w:tr>
      <w:tr>
        <w:tc>
          <w:tcPr/>
          <w:p>
            <w:pPr>
              <w:pStyle w:val="Compact"/>
            </w:pPr>
            <w:r>
              <w:t xml:space="preserve">Transpower GIP 2024</w:t>
            </w:r>
          </w:p>
        </w:tc>
        <w:tc>
          <w:tcPr/>
          <w:p>
            <w:pPr>
              <w:pStyle w:val="Compact"/>
            </w:pPr>
            <w:r>
              <w:t xml:space="preserve">Transpower</w:t>
            </w:r>
          </w:p>
        </w:tc>
        <w:tc>
          <w:tcPr/>
          <w:p>
            <w:pPr>
              <w:pStyle w:val="Compact"/>
            </w:pPr>
            <w:r>
              <w:t xml:space="preserve">upgrade_capex_mult range</w:t>
            </w:r>
          </w:p>
        </w:tc>
        <w:tc>
          <w:tcPr/>
          <w:p>
            <w:pPr>
              <w:pStyle w:val="Compact"/>
            </w:pPr>
            <w:r>
              <w:t xml:space="preserve">Indicative subtransmission upgrade cost schedule</w:t>
            </w:r>
          </w:p>
        </w:tc>
      </w:tr>
      <w:tr>
        <w:tc>
          <w:tcPr/>
          <w:p>
            <w:pPr>
              <w:pStyle w:val="Compact"/>
            </w:pPr>
            <w:r>
              <w:t xml:space="preserve">PowerNet PF-025</w:t>
            </w:r>
          </w:p>
        </w:tc>
        <w:tc>
          <w:tcPr/>
          <w:p>
            <w:pPr>
              <w:pStyle w:val="Compact"/>
            </w:pPr>
            <w:r>
              <w:t xml:space="preserve">PowerNet Limited</w:t>
            </w:r>
          </w:p>
        </w:tc>
        <w:tc>
          <w:tcPr/>
          <w:p>
            <w:pPr>
              <w:pStyle w:val="Compact"/>
            </w:pPr>
            <w:r>
              <w:t xml:space="preserve">Customer Contribution methodology</w:t>
            </w:r>
          </w:p>
        </w:tc>
        <w:tc>
          <w:tcPr/>
          <w:p>
            <w:pPr>
              <w:pStyle w:val="Compact"/>
            </w:pPr>
            <w:r>
              <w:t xml:space="preserve">Section 5.4 subtransmission capacity trigger thresholds</w:t>
            </w:r>
          </w:p>
        </w:tc>
      </w:tr>
      <w:tr>
        <w:tc>
          <w:tcPr/>
          <w:p>
            <w:pPr>
              <w:pStyle w:val="Compact"/>
            </w:pPr>
            <w:r>
              <w:t xml:space="preserve">REMix-NZ demand projections</w:t>
            </w:r>
          </w:p>
        </w:tc>
        <w:tc>
          <w:tcPr/>
          <w:p>
            <w:pPr>
              <w:pStyle w:val="Compact"/>
            </w:pPr>
            <w:r>
              <w:t xml:space="preserve">DLR Stuttgart / University of Auckland</w:t>
            </w:r>
          </w:p>
        </w:tc>
        <w:tc>
          <w:tcPr/>
          <w:p>
            <w:pPr>
              <w:pStyle w:val="Compact"/>
            </w:pPr>
            <w:r>
              <w:t xml:space="preserve">demand_growth_mult range</w:t>
            </w:r>
          </w:p>
        </w:tc>
        <w:tc>
          <w:tcPr/>
          <w:p>
            <w:pPr>
              <w:pStyle w:val="Compact"/>
            </w:pPr>
            <w:r>
              <w:t xml:space="preserve">Regional industrial electricity demand 2030–2050</w:t>
            </w:r>
          </w:p>
        </w:tc>
      </w:tr>
    </w:tbl>
    <w:p>
      <w:pPr>
        <w:pStyle w:val="BodyText"/>
      </w:pPr>
      <w:r>
        <w:t xml:space="preserve">This specification is designated as a next-phase backbone extension. The schema is declared here; implementation follows the governed backbone development pathway specified in Sub-Module SM-3.7-A.</w:t>
      </w:r>
    </w:p>
    <w:p>
      <w:r>
        <w:pict>
          <v:rect style="width:0;height:1.5pt" o:hralign="center" o:hrstd="t" o:hr="t"/>
        </w:pict>
      </w:r>
    </w:p>
    <w:bookmarkEnd w:id="204"/>
    <w:bookmarkStart w:id="207" w:name="X261619077bdfdac3362b88d2f47a49f1027171a"/>
    <w:p>
      <w:pPr>
        <w:pStyle w:val="Heading2"/>
      </w:pPr>
      <w:r>
        <w:t xml:space="preserve">30.8 Future Extension: The Knowledge Context Layer</w:t>
      </w:r>
    </w:p>
    <w:p>
      <w:pPr>
        <w:pStyle w:val="FirstParagraph"/>
      </w:pPr>
      <w:r>
        <w:t xml:space="preserve">Beyond governing links to external documents, the ReferenceArtefact registry provides the foundation for a</w:t>
      </w:r>
      <w:r>
        <w:t xml:space="preserve"> </w:t>
      </w:r>
      <w:r>
        <w:rPr>
          <w:b/>
          <w:bCs/>
        </w:rPr>
        <w:t xml:space="preserve">Knowledge Context Layer</w:t>
      </w:r>
      <w:r>
        <w:t xml:space="preserve"> </w:t>
      </w:r>
      <w:r>
        <w:t xml:space="preserve">— a structured manifest that an AI agent or analyst can query to determine which external sources are relevant to any given FutureArtefact field, module section, or analytical finding. When the natural-language query interface described in Module 7 §7.4 is deployed, the Knowledge Context Layer is what allows it to ground its answers in specific, citable primary sources rather than in the model’s training data.</w:t>
      </w:r>
    </w:p>
    <w:p>
      <w:pPr>
        <w:pStyle w:val="BodyText"/>
      </w:pPr>
      <w:r>
        <w:t xml:space="preserve">The Knowledge Context Layer also supports the tagging system of §7.8: a section tagged</w:t>
      </w:r>
      <w:r>
        <w:t xml:space="preserve"> </w:t>
      </w:r>
      <w:r>
        <w:rPr>
          <w:rStyle w:val="VerbatimChar"/>
        </w:rPr>
        <w:t xml:space="preserve">[Research]</w:t>
      </w:r>
      <w:r>
        <w:t xml:space="preserve"> </w:t>
      </w:r>
      <w:r>
        <w:t xml:space="preserve">can carry a ReferenceArtefact link to the specific literature gap it identifies, making the open research question not only declared but traceable to its empirical foundation. A section tagged</w:t>
      </w:r>
      <w:r>
        <w:t xml:space="preserve"> </w:t>
      </w:r>
      <w:r>
        <w:rPr>
          <w:rStyle w:val="VerbatimChar"/>
        </w:rPr>
        <w:t xml:space="preserve">[Collaborative]</w:t>
      </w:r>
      <w:r>
        <w:t xml:space="preserve"> </w:t>
      </w:r>
      <w:r>
        <w:t xml:space="preserve">can carry a ReferenceArtefact link to a comparable implementation in another domain, lowering the barrier for domain specialists who want to contribute an instantiation.</w:t>
      </w:r>
    </w:p>
    <w:p>
      <w:pPr>
        <w:pStyle w:val="BodyText"/>
      </w:pPr>
      <w:r>
        <w:t xml:space="preserve">This layer is declared here as a Vision component. Its specification will be developed as a separate sub-module in Module 3 (Architecture) once the primary backbone implementation described in SM-3.7-A is complete.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opt/quarto/share/formats/docx/tip.png" id="20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Contribute to This Sub-Module</w:t>
            </w:r>
            <w:r>
              <w:t xml:space="preserve"> </w:t>
            </w:r>
            <w:r>
              <w:rPr>
                <w:rStyle w:val="VerbatimChar"/>
              </w:rPr>
              <w:t xml:space="preserve">[Collaborative]</w:t>
            </w:r>
          </w:p>
        </w:tc>
      </w:tr>
      <w:tr>
        <w:trPr>
          <w:cantSplit/>
        </w:trPr>
        <w:tc>
          <w:tcPr>
            <w:tcMar>
              <w:top w:w="108" w:type="dxa"/>
              <w:bottom w:w="108" w:type="dxa"/>
            </w:tcMar>
          </w:tcPr>
          <w:p>
            <w:pPr>
              <w:pStyle w:val="BodyText"/>
            </w:pPr>
            <w:pPr>
              <w:spacing w:before="16"/>
            </w:pPr>
            <w:r>
              <w:t xml:space="preserve">This sub-module invites contributions in three areas:</w:t>
            </w:r>
            <w:r>
              <w:t xml:space="preserve"> </w:t>
            </w:r>
            <w:r>
              <w:t xml:space="preserve">calibration data for TIMES-NZ scenarios, PyPSA-NZ</w:t>
            </w:r>
            <w:r>
              <w:t xml:space="preserve"> </w:t>
            </w:r>
            <w:r>
              <w:t xml:space="preserve">implementation for the Regional Module, and additional</w:t>
            </w:r>
            <w:r>
              <w:t xml:space="preserve"> </w:t>
            </w:r>
            <w:r>
              <w:t xml:space="preserve">ReferenceArtefact registry entries linking external NZ</w:t>
            </w:r>
            <w:r>
              <w:t xml:space="preserve"> </w:t>
            </w:r>
            <w:r>
              <w:t xml:space="preserve">energy analyses to specific FutureArtefact fields.</w:t>
            </w:r>
          </w:p>
          <w:p>
            <w:pPr>
              <w:pStyle w:val="BodyText"/>
            </w:pPr>
            <w:pPr>
              <w:spacing w:after="16"/>
            </w:pPr>
            <w:hyperlink r:id="rId16">
              <w:r>
                <w:rPr>
                  <w:rStyle w:val="Hyperlink"/>
                </w:rPr>
                <w:t xml:space="preserve">Post to GitHub Discussions →</w:t>
              </w:r>
            </w:hyperlink>
          </w:p>
          <w:p/>
        </w:tc>
      </w:tr>
    </w:tbl>
    <w:p>
      <w:r>
        <w:pict>
          <v:rect style="width:0;height:1.5pt" o:hralign="center" o:hrstd="t" o:hr="t"/>
        </w:pict>
      </w:r>
    </w:p>
    <w:p>
      <w:pPr>
        <w:pStyle w:val="FirstParagraph"/>
      </w:pPr>
      <w:r>
        <w:t xml:space="preserve">End of SM-5.5-A</w:t>
      </w:r>
    </w:p>
    <w:bookmarkEnd w:id="207"/>
    <w:bookmarkEnd w:id="208"/>
    <w:bookmarkStart w:id="257" w:name="module-6-the-proof-of-concept"/>
    <w:p>
      <w:pPr>
        <w:pStyle w:val="Heading1"/>
      </w:pPr>
      <w:r>
        <w:t xml:space="preserve">31. Module 6: The Proof of Concept</w:t>
      </w:r>
    </w:p>
    <w:p>
      <w:pPr>
        <w:pStyle w:val="FirstParagraph"/>
      </w:pPr>
      <w:r>
        <w:t xml:space="preserve">Architecture, Implementation, and Results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6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Documents the Edendale–Southland proof of concept in full: its claim boundaries, repository architecture, pipeline implementation, validation record, and what the demonstration establishes and does not establish</w:t>
                  </w:r>
                </w:p>
              </w:tc>
            </w:tr>
            <w:tr>
              <w:tc>
                <w:tcPr/>
                <w:p>
                  <w:pPr>
                    <w:pStyle w:val="Compact"/>
                  </w:pPr>
                  <w:r>
                    <w:rPr>
                      <w:b/>
                      <w:bCs/>
                    </w:rPr>
                    <w:t xml:space="preserve">Assumes</w:t>
                  </w:r>
                </w:p>
              </w:tc>
              <w:tc>
                <w:tcPr/>
                <w:p>
                  <w:pPr>
                    <w:pStyle w:val="Compact"/>
                  </w:pPr>
                  <w:r>
                    <w:t xml:space="preserve">Modules 0 through 5 in full</w:t>
                  </w:r>
                </w:p>
              </w:tc>
            </w:tr>
            <w:tr>
              <w:tc>
                <w:tcPr/>
                <w:p>
                  <w:pPr>
                    <w:pStyle w:val="Compact"/>
                  </w:pPr>
                  <w:r>
                    <w:rPr>
                      <w:b/>
                      <w:bCs/>
                    </w:rPr>
                    <w:t xml:space="preserve">Contributes</w:t>
                  </w:r>
                </w:p>
              </w:tc>
              <w:tc>
                <w:tcPr/>
                <w:p>
                  <w:pPr>
                    <w:pStyle w:val="Compact"/>
                  </w:pPr>
                  <w:r>
                    <w:t xml:space="preserve">The complete PoC pipeline specification; the two-pathway ensemble design; the 100-future grid upgrade finding; the site decision robustness overlay; the artefact validation record; and the honest assessment of current limits and the refinement roadmap</w:t>
                  </w:r>
                </w:p>
              </w:tc>
            </w:tr>
            <w:tr>
              <w:tc>
                <w:tcPr/>
                <w:p>
                  <w:pPr>
                    <w:pStyle w:val="Compact"/>
                  </w:pPr>
                  <w:r>
                    <w:rPr>
                      <w:b/>
                      <w:bCs/>
                    </w:rPr>
                    <w:t xml:space="preserve">Passes to</w:t>
                  </w:r>
                </w:p>
              </w:tc>
              <w:tc>
                <w:tcPr/>
                <w:p>
                  <w:pPr>
                    <w:pStyle w:val="Compact"/>
                  </w:pPr>
                  <w:r>
                    <w:t xml:space="preserve">Module 7 (extension and synthesis)</w:t>
                  </w:r>
                </w:p>
              </w:tc>
            </w:tr>
            <w:tr>
              <w:tc>
                <w:tcPr/>
                <w:p>
                  <w:pPr>
                    <w:pStyle w:val="Compact"/>
                  </w:pPr>
                  <w:r>
                    <w:rPr>
                      <w:b/>
                      <w:bCs/>
                    </w:rPr>
                    <w:t xml:space="preserve">Can be read independently</w:t>
                  </w:r>
                </w:p>
              </w:tc>
              <w:tc>
                <w:tcPr/>
                <w:p>
                  <w:pPr>
                    <w:pStyle w:val="Compact"/>
                  </w:pPr>
                  <w:r>
                    <w:t xml:space="preserve">No — Module 6 is the instantiation of all prior modules; reading it in isolation loses the architectural argument that gives it meaning</w:t>
                  </w:r>
                </w:p>
              </w:tc>
            </w:tr>
            <w:tr>
              <w:tc>
                <w:tcPr/>
                <w:p>
                  <w:pPr>
                    <w:pStyle w:val="Compact"/>
                  </w:pPr>
                  <w:r>
                    <w:rPr>
                      <w:b/>
                      <w:bCs/>
                    </w:rPr>
                    <w:t xml:space="preserve">Sub-Modules</w:t>
                  </w:r>
                </w:p>
              </w:tc>
              <w:tc>
                <w:tcPr/>
                <w:p>
                  <w:pPr>
                    <w:pStyle w:val="Compact"/>
                  </w:pPr>
                  <w:r>
                    <w:t xml:space="preserve">SM-6.2-A (PoC Pipeline); SM-6.3-B (DemandPack Construction Methods); SM-6.4-C (Site Module Interface Contract); SM-6.5-D (SignalsPack Generator Interface Contract); SM-6.6-E (PyPSA Regional Module Design); SM-6.8-F (Validation Records and Artefact Log)</w:t>
                  </w:r>
                </w:p>
              </w:tc>
            </w:tr>
          </w:tbl>
          <w:p/>
        </w:tc>
      </w:tr>
    </w:tbl>
    <w:bookmarkStart w:id="209" w:name="the-poc-claim-and-its-boundaries"/>
    <w:p>
      <w:pPr>
        <w:pStyle w:val="Heading2"/>
      </w:pPr>
      <w:r>
        <w:t xml:space="preserve">31.1 §6.1 The PoC Claim and Its Boundaries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§6.1 The PoC Claim and Its Boundaries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0 through 5</w:t>
                  </w:r>
                </w:p>
              </w:tc>
            </w:tr>
            <w:tr>
              <w:tc>
                <w:tcPr/>
                <w:p>
                  <w:pPr>
                    <w:pStyle w:val="Compact"/>
                  </w:pPr>
                  <w:r>
                    <w:rPr>
                      <w:b/>
                      <w:bCs/>
                    </w:rPr>
                    <w:t xml:space="preserve">Contributes</w:t>
                  </w:r>
                </w:p>
              </w:tc>
              <w:tc>
                <w:tcPr/>
                <w:p>
                  <w:pPr>
                    <w:pStyle w:val="Compact"/>
                  </w:pPr>
                  <w:r>
                    <w:t xml:space="preserve">States precisely what the proof of concept claims to demonstrate and declares its four principal limitations, establishing the epistemic boundary within which all subsequent results must be read</w:t>
                  </w:r>
                </w:p>
              </w:tc>
            </w:tr>
            <w:tr>
              <w:tc>
                <w:tcPr/>
                <w:p>
                  <w:pPr>
                    <w:pStyle w:val="Compact"/>
                  </w:pPr>
                  <w:r>
                    <w:rPr>
                      <w:b/>
                      <w:bCs/>
                    </w:rPr>
                    <w:t xml:space="preserve">Skip condition</w:t>
                  </w:r>
                </w:p>
              </w:tc>
              <w:tc>
                <w:tcPr/>
                <w:p>
                  <w:pPr>
                    <w:pStyle w:val="Compact"/>
                  </w:pPr>
                  <w:r>
                    <w:t xml:space="preserve">Do not skip — the claim boundaries govern the interpretation of every result in this module</w:t>
                  </w:r>
                </w:p>
              </w:tc>
            </w:tr>
            <w:tr>
              <w:tc>
                <w:tcPr/>
                <w:p>
                  <w:pPr>
                    <w:pStyle w:val="Compact"/>
                  </w:pPr>
                  <w:r>
                    <w:rPr>
                      <w:b/>
                      <w:bCs/>
                    </w:rPr>
                    <w:t xml:space="preserve">Passes to</w:t>
                  </w:r>
                </w:p>
              </w:tc>
              <w:tc>
                <w:tcPr/>
                <w:p>
                  <w:pPr>
                    <w:pStyle w:val="Compact"/>
                  </w:pPr>
                  <w:r>
                    <w:t xml:space="preserve">§6.2 through §6.10</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Edendale–Southland proof of concept demonstrates five things and only five things. Before any pipeline, result, or finding is presented, these five claims and their four principal limitations must be read together, because the significance of the results depends entirely on understanding both what they establish and what they do not.</w:t>
      </w:r>
    </w:p>
    <w:p>
      <w:pPr>
        <w:pStyle w:val="BodyText"/>
      </w:pPr>
      <w:r>
        <w:t xml:space="preserve">The five demonstrated claims are as follows. First, a decision-centred modelling environment built from the architecture described in Modules 3 and 4 can be implemented at the site-to-region scale using openly available tools and documented data. The implementation is reproducible, the artefacts are schema-conforming, and the analytical pipeline can be re-run from documented inputs to verified outputs. Second, the two-pathway comparison of 2035_EB (Electrified Boiler) and 2035_BB (Biomass Boiler) can be conducted under identical external conditions across a structured future ensemble without requiring iterative feedback between the site and regional modules. Third, the one-pass coupling architecture produces GXP adequacy findings that are invisible from within the site boundary and that materially affect the system-level cost comparison between pathways. Fourth, the site decision robustness overlay can be implemented as a post-processing layer that adds stylised site-cost uncertainty to the grid RDM evaluation without breaking the one-pass coupling architecture, enabling non-trivial robustness analysis of the pathway decision. Fifth, the artefact governance chain produces findings that are fully traceable from the DecisionSummaryArtefact through the ResultArtefacts, SignalsPacks, FutureArtefacts, and DemandPacks that generated them.</w:t>
      </w:r>
    </w:p>
    <w:p>
      <w:pPr>
        <w:pStyle w:val="BodyText"/>
      </w:pPr>
      <w:r>
        <w:t xml:space="preserve">The four principal limitations are declared here as first-class claims, not as qualifications appended to favourable results.</w:t>
      </w:r>
    </w:p>
    <w:p>
      <w:pPr>
        <w:pStyle w:val="BodyText"/>
      </w:pPr>
      <w:r>
        <w:t xml:space="preserve">The first limitation is one-pass coupling. The current implementation does not iterate between the site dispatch module and the regional screening module. The site dispatch produces the incremental electricity signal; the regional screening evaluates grid constraints; results are aggregated without feedback. A higher-fidelity coupling would pass the upgrade cost adder back to the site dispatch module as a tariff signal and re-run the dispatch under the revised tariff. The one-pass architecture means that the current site-cost estimates do not reflect the full infrastructure-conditional cost in the manner that the system-level regret derivation of Sub-Module SM-4.4-A specifies. Section §6.10 documents the refinement step that would close this gap.</w:t>
      </w:r>
    </w:p>
    <w:p>
      <w:pPr>
        <w:pStyle w:val="BodyText"/>
      </w:pPr>
      <w:r>
        <w:t xml:space="preserve">The second limitation is proportional dispatch. The site dispatch module allocates heat demand across utility assets in proportion to their nameplate capacity, without LP-based scheduling or unit-commitment optimisation. Proportional dispatch preserves the temporal structure of the demand profile and produces correct annual fuel and electricity totals, but it does not minimise cost or respect minimum up-time and start-up cost structures. Its effect is to somewhat overstate the site operating cost for pathways with higher-flexibility assets and to somewhat understate it for pathways with fewer flexible options, but to produce the same qualitative pathway comparison ranking as a scheduling-grade dispatch in most futures.</w:t>
      </w:r>
    </w:p>
    <w:p>
      <w:pPr>
        <w:pStyle w:val="BodyText"/>
      </w:pPr>
      <w:r>
        <w:t xml:space="preserve">The third limitation is stylised regional screening. The regional adequacy assessment uses a simplified headroom model derived from the RETA Southland assessment rather than a full PyPSA network optimisation. The stylised model evaluates the incremental electricity demand against a declared headroom time series scaled by the future’s headroom multiplier and selects from a discrete upgrade option menu when the headroom is exceeded. It does not represent nodal network flows, voltage constraints, or the intra-day dispatch economics of the regional grid. Its outputs are estimates of infrastructure class and upgrade cost, not optimised network operation results.</w:t>
      </w:r>
    </w:p>
    <w:p>
      <w:pPr>
        <w:pStyle w:val="BodyText"/>
      </w:pPr>
      <w:r>
        <w:t xml:space="preserve">The fourth limitation is synthetic demand profiles. The DemandPacks used in the proof of concept are synthetic profiles constructed from the site’s known operating characteristics, seasonal patterns, and RETA calibration targets, not measured operational data from the facility’s energy management system. The construction methodology is documented in Sub-Module SM-6.3-B and the profiles pass the acceptance gate criteria described in §3.6, but they represent plausible demand behaviour rather than recorded demand history.</w:t>
      </w:r>
    </w:p>
    <w:p>
      <w:pPr>
        <w:pStyle w:val="BodyText"/>
      </w:pPr>
      <w:r>
        <w:t xml:space="preserve">These four limitations do not invalidate the five demonstrated claims. They bound them. A reader who understands all four is in a position to assess which of the framework’s architectural arguments the proof of concept validates and which require the next-phase developments to test more fully.</w:t>
      </w:r>
    </w:p>
    <w:bookmarkEnd w:id="209"/>
    <w:bookmarkStart w:id="213" w:name="X80f11c840b0a572d7cc4b2eb40ec01897daf8f1"/>
    <w:p>
      <w:pPr>
        <w:pStyle w:val="Heading2"/>
      </w:pPr>
      <w:r>
        <w:t xml:space="preserve">31.2 §6.2 Repository Architecture and Run Conventions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§6.2 Repository Architecture and Run Conventions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Module 3 §3.4 (thin-waist two-repository architecture)</w:t>
                  </w:r>
                </w:p>
              </w:tc>
            </w:tr>
            <w:tr>
              <w:tc>
                <w:tcPr/>
                <w:p>
                  <w:pPr>
                    <w:pStyle w:val="Compact"/>
                  </w:pPr>
                  <w:r>
                    <w:rPr>
                      <w:b/>
                      <w:bCs/>
                    </w:rPr>
                    <w:t xml:space="preserve">Contributes</w:t>
                  </w:r>
                </w:p>
              </w:tc>
              <w:tc>
                <w:tcPr/>
                <w:p>
                  <w:pPr>
                    <w:pStyle w:val="Compact"/>
                  </w:pPr>
                  <w:r>
                    <w:t xml:space="preserve">Documents the two-repository codebase structure, the run-bundle folder convention, and the module sequencing that constitutes the PoC pipeline</w:t>
                  </w:r>
                </w:p>
              </w:tc>
            </w:tr>
            <w:tr>
              <w:tc>
                <w:tcPr/>
                <w:p>
                  <w:pPr>
                    <w:pStyle w:val="Compact"/>
                  </w:pPr>
                  <w:r>
                    <w:rPr>
                      <w:b/>
                      <w:bCs/>
                    </w:rPr>
                    <w:t xml:space="preserve">Skip condition</w:t>
                  </w:r>
                </w:p>
              </w:tc>
              <w:tc>
                <w:tcPr/>
                <w:p>
                  <w:pPr>
                    <w:pStyle w:val="Compact"/>
                  </w:pPr>
                  <w:r>
                    <w:t xml:space="preserve">Skip for reading the results; process when replicating or extending the pipeline</w:t>
                  </w:r>
                </w:p>
              </w:tc>
            </w:tr>
            <w:tr>
              <w:tc>
                <w:tcPr/>
                <w:p>
                  <w:pPr>
                    <w:pStyle w:val="Compact"/>
                  </w:pPr>
                  <w:r>
                    <w:rPr>
                      <w:b/>
                      <w:bCs/>
                    </w:rPr>
                    <w:t xml:space="preserve">Passes to</w:t>
                  </w:r>
                </w:p>
              </w:tc>
              <w:tc>
                <w:tcPr/>
                <w:p>
                  <w:pPr>
                    <w:pStyle w:val="Compact"/>
                  </w:pPr>
                  <w:r>
                    <w:t xml:space="preserve">§6.3, §6.4, §6.5, §6.6</w:t>
                  </w:r>
                </w:p>
              </w:tc>
            </w:tr>
            <w:tr>
              <w:tc>
                <w:tcPr/>
                <w:p>
                  <w:pPr>
                    <w:pStyle w:val="Compact"/>
                  </w:pPr>
                  <w:r>
                    <w:rPr>
                      <w:b/>
                      <w:bCs/>
                    </w:rPr>
                    <w:t xml:space="preserve">Sub-Modules here</w:t>
                  </w:r>
                </w:p>
              </w:tc>
              <w:tc>
                <w:tcPr/>
                <w:p>
                  <w:pPr>
                    <w:pStyle w:val="Compact"/>
                  </w:pPr>
                  <w:r>
                    <w:t xml:space="preserve">SM-6.2-A: PoC Pipeline, Commands and Run-Bundle Conventions</w:t>
                  </w:r>
                </w:p>
              </w:tc>
            </w:tr>
          </w:tbl>
          <w:p/>
        </w:tc>
      </w:tr>
    </w:tbl>
    <w:p>
      <w:pPr>
        <w:pStyle w:val="BodyText"/>
      </w:pPr>
      <w:r>
        <w:t xml:space="preserve">The proof of concept is implemented across two code repositories that instantiate the thin-waist two-repository architecture described in §3.4. The site model repository contains the demand construction module, the site dispatch module, the regional screening module, the RDM evaluation scripts, the site decision robustness overlay, and the Snakemake orchestration configuration. The Edendale GXP repository is a standalone module that generates the GXP-level SignalsPack signals, hourly headroom, tariff, and grid emissions intensity data, for the Edendale GXP across all planning epochs under the declared interface contract.</w:t>
      </w:r>
    </w:p>
    <w:p>
      <w:pPr>
        <w:pStyle w:val="BodyText"/>
      </w:pPr>
      <w:r>
        <w:t xml:space="preserve">The two repositories communicate through the thin-waist interface contract: the site model repository consumes the SignalsPack files produced by the Edendale GXP repository as governed artefacts under schema version 0.1.0 with SHA256 hash integrity. The Edendale GXP repository can be upgraded or replaced entirely provided the output files continue to conform to schema version 0.1.0. No changes to the site model repository are required unless the interface contract itself is revised.</w:t>
      </w:r>
    </w:p>
    <w:p>
      <w:pPr>
        <w:pStyle w:val="BodyText"/>
      </w:pPr>
      <w:r>
        <w:t xml:space="preserve">All outputs within the site model repository are organised under a bundle-level folder structure. A bundle is a named, timestamped run collection that contains all dispatch summaries, incremental electricity traces, regional screening outputs, RDM summaries, robustness overlay outputs, and governance artefacts for a given execution of the full pipeline. Bundle identifiers follow the convention</w:t>
      </w:r>
      <w:r>
        <w:t xml:space="preserve"> </w:t>
      </w:r>
      <w:r>
        <w:rPr>
          <w:rStyle w:val="VerbatimChar"/>
        </w:rPr>
        <w:t xml:space="preserve">poc_YYYYMMDD_release##</w:t>
      </w:r>
      <w:r>
        <w:t xml:space="preserve"> </w:t>
      </w:r>
      <w:r>
        <w:t xml:space="preserve">to provide both date-stamp and sequential release traceability. Within a bundle, outputs are organised by epoch tag and then by module:</w:t>
      </w:r>
    </w:p>
    <w:p>
      <w:pPr>
        <w:pStyle w:val="SourceCode"/>
      </w:pPr>
      <w:r>
        <w:rPr>
          <w:rStyle w:val="VerbatimChar"/>
        </w:rPr>
        <w:t xml:space="preserve">Output/runs/&lt;bundle&gt;/</w:t>
      </w:r>
      <w:r>
        <w:br/>
      </w:r>
      <w:r>
        <w:rPr>
          <w:rStyle w:val="VerbatimChar"/>
        </w:rPr>
        <w:t xml:space="preserve">├── epoch2025/dispatch_prop_v2_capfix1/</w:t>
      </w:r>
      <w:r>
        <w:br/>
      </w:r>
      <w:r>
        <w:rPr>
          <w:rStyle w:val="VerbatimChar"/>
        </w:rPr>
        <w:t xml:space="preserve">├── epoch2028/dispatch_prop_v2_capfix1/</w:t>
      </w:r>
      <w:r>
        <w:br/>
      </w:r>
      <w:r>
        <w:rPr>
          <w:rStyle w:val="VerbatimChar"/>
        </w:rPr>
        <w:t xml:space="preserve">├── epoch2035_EB/dispatch_prop_v2_capfix1/</w:t>
      </w:r>
      <w:r>
        <w:br/>
      </w:r>
      <w:r>
        <w:rPr>
          <w:rStyle w:val="VerbatimChar"/>
        </w:rPr>
        <w:t xml:space="preserve">├── epoch2035_BB/dispatch_prop_v2_capfix1/</w:t>
      </w:r>
      <w:r>
        <w:br/>
      </w:r>
      <w:r>
        <w:rPr>
          <w:rStyle w:val="VerbatimChar"/>
        </w:rPr>
        <w:t xml:space="preserve">├── compare/</w:t>
      </w:r>
      <w:r>
        <w:br/>
      </w:r>
      <w:r>
        <w:rPr>
          <w:rStyle w:val="VerbatimChar"/>
        </w:rPr>
        <w:t xml:space="preserve">├── rdm/</w:t>
      </w:r>
      <w:r>
        <w:br/>
      </w:r>
      <w:r>
        <w:rPr>
          <w:rStyle w:val="VerbatimChar"/>
        </w:rPr>
        <w:t xml:space="preserve">└── _archive_overlays/</w:t>
      </w:r>
    </w:p>
    <w:p>
      <w:pPr>
        <w:pStyle w:val="FirstParagraph"/>
      </w:pPr>
      <w:r>
        <w:t xml:space="preserve">The epoch tags 2025, 2028, 2035_EB, and 2035_BB identify the planning horizon and pathway configuration of each run. The dispatch run identifier dispatch_prop_v2_capfix1 encodes the dispatch mode version and the capacity configuration applied, providing the lineage link from output artefacts to the module version and configuration that produced them.</w:t>
      </w:r>
    </w:p>
    <w:p>
      <w:pPr>
        <w:pStyle w:val="BodyText"/>
      </w:pPr>
      <w:r>
        <w:t xml:space="preserve">The module sequencing within a bundle execution is strictly one-pass: DemandPack construction precedes site dispatch, site dispatch produces the incremental electricity traces that feed the regional screening, regional screening produces the RDM summaries that the site decision robustness overlay consumes, and the overlay produces the DecisionSummaryArtefacts. No module in this sequence has a feedback path to any earlier module. The full pipeline commands and their arguments are documented in Sub-Module SM-6.2-A.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tip.png" id="21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SM-6.2-A</w:t>
            </w:r>
          </w:p>
        </w:tc>
      </w:tr>
      <w:tr>
        <w:trPr>
          <w:cantSplit/>
        </w:trPr>
        <w:tc>
          <w:tcPr>
            <w:tcMar>
              <w:top w:w="108" w:type="dxa"/>
              <w:bottom w:w="108" w:type="dxa"/>
            </w:tcMar>
          </w:tcPr>
          <w:p>
            <w:pPr>
              <w:pStyle w:val="BodyText"/>
            </w:pPr>
            <w:pPr>
              <w:spacing w:before="16" w:after="16"/>
            </w:pPr>
            <w:r>
              <w:t xml:space="preserve">PoC Pipeline: Commands and Run-Bundle Conventions — complete module execution sequence, PowerShell commands, input/output path conventions, and acceptance checklist — is in</w:t>
            </w:r>
            <w:r>
              <w:t xml:space="preserve"> </w:t>
            </w:r>
            <w:hyperlink r:id="rId212">
              <w:r>
                <w:rPr>
                  <w:rStyle w:val="Hyperlink"/>
                </w:rPr>
                <w:t xml:space="preserve">SM-6.2-A</w:t>
              </w:r>
            </w:hyperlink>
            <w:r>
              <w:t xml:space="preserve">. Process when replicating or extending the pipeline.</w:t>
            </w:r>
          </w:p>
          <w:p/>
        </w:tc>
      </w:tr>
    </w:tbl>
    <w:bookmarkEnd w:id="213"/>
    <w:bookmarkStart w:id="217" w:name="Xdc1f40d7672666e6b36870caff05dd7194318de"/>
    <w:p>
      <w:pPr>
        <w:pStyle w:val="Heading2"/>
      </w:pPr>
      <w:r>
        <w:t xml:space="preserve">31.3 §6.3 Demand Representation and DemandPack Construction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§6.3 Demand Representation and DemandPack Construction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§6.2, Module 3 §3.5 (DemandPack schema), Module 5 §5.1 (NZ dairy sector characteristics)</w:t>
                  </w:r>
                </w:p>
              </w:tc>
            </w:tr>
            <w:tr>
              <w:tc>
                <w:tcPr/>
                <w:p>
                  <w:pPr>
                    <w:pStyle w:val="Compact"/>
                  </w:pPr>
                  <w:r>
                    <w:rPr>
                      <w:b/>
                      <w:bCs/>
                    </w:rPr>
                    <w:t xml:space="preserve">Contributes</w:t>
                  </w:r>
                </w:p>
              </w:tc>
              <w:tc>
                <w:tcPr/>
                <w:p>
                  <w:pPr>
                    <w:pStyle w:val="Compact"/>
                  </w:pPr>
                  <w:r>
                    <w:t xml:space="preserve">Documents the DemandPack construction methodology for the Edendale facility across five epochs, the calibration targets used, and the acceptance gate outcomes</w:t>
                  </w:r>
                </w:p>
              </w:tc>
            </w:tr>
            <w:tr>
              <w:tc>
                <w:tcPr/>
                <w:p>
                  <w:pPr>
                    <w:pStyle w:val="Compact"/>
                  </w:pPr>
                  <w:r>
                    <w:rPr>
                      <w:b/>
                      <w:bCs/>
                    </w:rPr>
                    <w:t xml:space="preserve">Skip condition</w:t>
                  </w:r>
                </w:p>
              </w:tc>
              <w:tc>
                <w:tcPr/>
                <w:p>
                  <w:pPr>
                    <w:pStyle w:val="Compact"/>
                  </w:pPr>
                  <w:r>
                    <w:t xml:space="preserve">Skip if demand construction methodology is not required; proceed to §6.4 for dispatch</w:t>
                  </w:r>
                </w:p>
              </w:tc>
            </w:tr>
            <w:tr>
              <w:tc>
                <w:tcPr/>
                <w:p>
                  <w:pPr>
                    <w:pStyle w:val="Compact"/>
                  </w:pPr>
                  <w:r>
                    <w:rPr>
                      <w:b/>
                      <w:bCs/>
                    </w:rPr>
                    <w:t xml:space="preserve">Passes to</w:t>
                  </w:r>
                </w:p>
              </w:tc>
              <w:tc>
                <w:tcPr/>
                <w:p>
                  <w:pPr>
                    <w:pStyle w:val="Compact"/>
                  </w:pPr>
                  <w:r>
                    <w:t xml:space="preserve">§6.4</w:t>
                  </w:r>
                </w:p>
              </w:tc>
            </w:tr>
            <w:tr>
              <w:tc>
                <w:tcPr/>
                <w:p>
                  <w:pPr>
                    <w:pStyle w:val="Compact"/>
                  </w:pPr>
                  <w:r>
                    <w:rPr>
                      <w:b/>
                      <w:bCs/>
                    </w:rPr>
                    <w:t xml:space="preserve">Sub-Modules here</w:t>
                  </w:r>
                </w:p>
              </w:tc>
              <w:tc>
                <w:tcPr/>
                <w:p>
                  <w:pPr>
                    <w:pStyle w:val="Compact"/>
                  </w:pPr>
                  <w:r>
                    <w:t xml:space="preserve">SM-6.3-B: DemandPack Generation Methods, Technical Specification</w:t>
                  </w:r>
                </w:p>
              </w:tc>
            </w:tr>
          </w:tbl>
          <w:p/>
        </w:tc>
      </w:tr>
    </w:tbl>
    <w:p>
      <w:pPr>
        <w:pStyle w:val="BodyText"/>
      </w:pPr>
      <w:r>
        <w:t xml:space="preserve">The DemandPacks for the Edendale proof of concept cover five planning epochs: 2025 (baseline current operations), 2028 (near-term transition planning horizon), 2035_EB (full electrification pathway), and 2035_BB (full biomass pathway). Each DemandPack is a schema-conforming governed artefact carrying an hourly heat demand profile, annual summary statistics, and full provenance linking it to the generating run and the future conditions under which it was constructed.</w:t>
      </w:r>
    </w:p>
    <w:p>
      <w:pPr>
        <w:pStyle w:val="BodyText"/>
      </w:pPr>
      <w:r>
        <w:t xml:space="preserve">The construction methodology is synthetic: demand profiles are constructed from the facility’s known operating characteristics, seasonal patterns from publicly available data, and RETA-calibrated annual totals, rather than from measured energy management system data. The synthetic methodology is appropriate for a methodological proof of concept where the objective is to demonstrate analytical architecture rather than to produce a planning-grade forecast for a specific facility. The profiles are designed to be representative rather than exact: they capture the seasonal concentration of dairy processing heat demand in the winter milk processing season, the diurnal pattern that reflects processing schedules and steam system thermal inertia, and the annual totals that are consistent with published RETA estimates of the facility’s process heat demand.</w:t>
      </w:r>
    </w:p>
    <w:p>
      <w:pPr>
        <w:pStyle w:val="BodyText"/>
      </w:pPr>
      <w:r>
        <w:t xml:space="preserve">The five epoch configurations differ in their annual demand levels, their pathway-specific technology assumptions, and the presence or absence of an incremental electricity load. The 2025 and 2028 epochs represent the coal-fired baseline with evolving operating intensity. The 2035_EB epoch represents the facility operating under full electrification, with the steam boilers replaced by electric boilers whose demand profile reflects the same seasonal and diurnal pattern but delivered through electricity rather than coal combustion. The 2035_BB epoch represents the facility operating under full biomass conversion, with the coal boilers replaced by biomass boilers whose demand profile is essentially identical to 2035_EB in temporal structure but served by biomass rather than electricity.</w:t>
      </w:r>
    </w:p>
    <w:p>
      <w:pPr>
        <w:pStyle w:val="BodyText"/>
      </w:pPr>
      <w:r>
        <w:t xml:space="preserve">The critical distinction between 2035_EB and 2035_BB in the context of the GXP adequacy assessment is not the heat demand profile, which is nearly identical, but the electricity interface signal. The 2035_EB epoch generates a large incremental electricity demand at the GXP boundary; the 2035_BB epoch does not. This asymmetry is what makes the GXP adequacy assessment decision-relevant for the pathway comparison and is what generates the 100-future grid upgrade finding documented in §6.9.</w:t>
      </w:r>
    </w:p>
    <w:p>
      <w:pPr>
        <w:pStyle w:val="BodyText"/>
      </w:pPr>
      <w:r>
        <w:t xml:space="preserve">The DemandPack rounding error incident described in §3.6 occurred during the 2035_EB construction. The acceptance gate identified three provisional DemandPacks whose annual totals were 0.7 to 0.9 percent below the declared annual total, exceeding the 0.5 percent closure tolerance. The gate produced failed ValidationArtefacts for all three, the algorithm was corrected, and replacement DemandPacks were produced and published. The failed artefacts were retained in the backbone as governance records. Sub-Module SM-6.3-B provides the full technical specification of the construction methodology.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tip.png" id="215"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SM-6.3-B</w:t>
            </w:r>
          </w:p>
        </w:tc>
      </w:tr>
      <w:tr>
        <w:trPr>
          <w:cantSplit/>
        </w:trPr>
        <w:tc>
          <w:tcPr>
            <w:tcMar>
              <w:top w:w="108" w:type="dxa"/>
              <w:bottom w:w="108" w:type="dxa"/>
            </w:tcMar>
          </w:tcPr>
          <w:p>
            <w:pPr>
              <w:pStyle w:val="BodyText"/>
            </w:pPr>
            <w:pPr>
              <w:spacing w:before="16" w:after="16"/>
            </w:pPr>
            <w:r>
              <w:t xml:space="preserve">DemandPack Generation Methods: Technical Specification — construction algorithm, seasonal decomposition, calibration targets, and stochastic variability specification — is in</w:t>
            </w:r>
            <w:r>
              <w:t xml:space="preserve"> </w:t>
            </w:r>
            <w:hyperlink r:id="rId216">
              <w:r>
                <w:rPr>
                  <w:rStyle w:val="Hyperlink"/>
                </w:rPr>
                <w:t xml:space="preserve">SM-6.3-B</w:t>
              </w:r>
            </w:hyperlink>
            <w:r>
              <w:t xml:space="preserve">. Process when validating or reproducing the DemandPack construction.</w:t>
            </w:r>
          </w:p>
          <w:p/>
        </w:tc>
      </w:tr>
    </w:tbl>
    <w:bookmarkEnd w:id="217"/>
    <w:bookmarkStart w:id="221" w:name="site-dispatch-and-pathway-configurations"/>
    <w:p>
      <w:pPr>
        <w:pStyle w:val="Heading2"/>
      </w:pPr>
      <w:r>
        <w:t xml:space="preserve">31.4 §6.4 Site Dispatch and Pathway Configurations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§6.4 Site Dispatch and Pathway Configurations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§6.3, Module 3 §3.5</w:t>
                  </w:r>
                </w:p>
              </w:tc>
            </w:tr>
            <w:tr>
              <w:tc>
                <w:tcPr/>
                <w:p>
                  <w:pPr>
                    <w:pStyle w:val="Compact"/>
                  </w:pPr>
                  <w:r>
                    <w:rPr>
                      <w:b/>
                      <w:bCs/>
                    </w:rPr>
                    <w:t xml:space="preserve">Contributes</w:t>
                  </w:r>
                </w:p>
              </w:tc>
              <w:tc>
                <w:tcPr/>
                <w:p>
                  <w:pPr>
                    <w:pStyle w:val="Compact"/>
                  </w:pPr>
                  <w:r>
                    <w:t xml:space="preserve">Documents the site dispatch module’s proportional and optimal-subset modes, the utility asset configurations for each pathway, and the cost and emissions accounting methodology</w:t>
                  </w:r>
                </w:p>
              </w:tc>
            </w:tr>
            <w:tr>
              <w:tc>
                <w:tcPr/>
                <w:p>
                  <w:pPr>
                    <w:pStyle w:val="Compact"/>
                  </w:pPr>
                  <w:r>
                    <w:rPr>
                      <w:b/>
                      <w:bCs/>
                    </w:rPr>
                    <w:t xml:space="preserve">Skip condition</w:t>
                  </w:r>
                </w:p>
              </w:tc>
              <w:tc>
                <w:tcPr/>
                <w:p>
                  <w:pPr>
                    <w:pStyle w:val="Compact"/>
                  </w:pPr>
                  <w:r>
                    <w:t xml:space="preserve">Skip if dispatch methodology is not required; proceed to §6.5 for the GXP interface</w:t>
                  </w:r>
                </w:p>
              </w:tc>
            </w:tr>
            <w:tr>
              <w:tc>
                <w:tcPr/>
                <w:p>
                  <w:pPr>
                    <w:pStyle w:val="Compact"/>
                  </w:pPr>
                  <w:r>
                    <w:rPr>
                      <w:b/>
                      <w:bCs/>
                    </w:rPr>
                    <w:t xml:space="preserve">Passes to</w:t>
                  </w:r>
                </w:p>
              </w:tc>
              <w:tc>
                <w:tcPr/>
                <w:p>
                  <w:pPr>
                    <w:pStyle w:val="Compact"/>
                  </w:pPr>
                  <w:r>
                    <w:t xml:space="preserve">§6.5</w:t>
                  </w:r>
                </w:p>
              </w:tc>
            </w:tr>
            <w:tr>
              <w:tc>
                <w:tcPr/>
                <w:p>
                  <w:pPr>
                    <w:pStyle w:val="Compact"/>
                  </w:pPr>
                  <w:r>
                    <w:rPr>
                      <w:b/>
                      <w:bCs/>
                    </w:rPr>
                    <w:t xml:space="preserve">Sub-Modules here</w:t>
                  </w:r>
                </w:p>
              </w:tc>
              <w:tc>
                <w:tcPr/>
                <w:p>
                  <w:pPr>
                    <w:pStyle w:val="Compact"/>
                  </w:pPr>
                  <w:r>
                    <w:t xml:space="preserve">SM-6.4-C: Site Module Interface Contract and Schema Tables</w:t>
                  </w:r>
                </w:p>
              </w:tc>
            </w:tr>
          </w:tbl>
          <w:p/>
        </w:tc>
      </w:tr>
    </w:tbl>
    <w:p>
      <w:pPr>
        <w:pStyle w:val="BodyText"/>
      </w:pPr>
      <w:r>
        <w:t xml:space="preserve">The site dispatch module allocates hourly heat demand across the utility assets declared in the pathway configuration and computes the resulting fuel consumption, electricity consumption, emissions, and cost for each unit and for the site total. Two dispatch modes are implemented: proportional mode and optimal-subset mode.</w:t>
      </w:r>
    </w:p>
    <w:p>
      <w:pPr>
        <w:pStyle w:val="BodyText"/>
      </w:pPr>
      <w:r>
        <w:t xml:space="preserve">Proportional dispatch allocates heat demand to each committed unit in proportion to its nameplate thermal capacity. If a unit’s allocation would exceed its rated output, the excess is redistributed to other units or, if no other capacity is available, recorded as unserved heat demand. The proportional mode does not account for unit-specific marginal costs, minimum output constraints, or start-up costs. It is the current mode used in all proof-of-concept results reported in §6.9.</w:t>
      </w:r>
    </w:p>
    <w:p>
      <w:pPr>
        <w:pStyle w:val="BodyText"/>
      </w:pPr>
      <w:r>
        <w:t xml:space="preserve">Optimal-subset dispatch uses a unit-commitment-lite logic that evaluates all possible combinations of committed units within a declared commitment block (weekly blocks of 168 hours in the current configuration) and selects the combination that minimises total cost over the block subject to minimum output and capacity feasibility constraints. For each committed subset, the algorithm computes fuel cost, electricity cost, variable operation and maintenance cost, fixed operating cost for committed units, and start-up cost for units that are newly committed in the block. Optimal-subset mode is implemented and passes its acceptance gate but was not used for the thesis results presented in §6.9 because the pathway comparison qualitative findings are consistent between modes and the proportional dispatch is the declared limitation of the current PoC.</w:t>
      </w:r>
    </w:p>
    <w:p>
      <w:pPr>
        <w:pStyle w:val="BodyText"/>
      </w:pPr>
      <w:r>
        <w:t xml:space="preserve">The utility asset configurations for the two 2035 pathways differ in the technology types assigned to the boiler slots. The 2035_EB configuration assigns electric boiler units to the primary steam generation slots, with a small gas-fired backup unit retained for reliability purposes. The electric boilers draw electricity from the grid at the prevailing tariff, with electricity consumption computed from the heat output divided by the declared conversion efficiency. The 2035_BB configuration assigns biomass boiler units to the same primary steam generation slots, with fuel consumption computed from the heat output divided by the boiler’s declared thermal efficiency and the biomass fuel’s declared calorific value. The annual cost computation applies the biomass delivered price from the pathway configuration artefact and the prevailing ETS price to biomass combustion at the pathway’s declared emissions factor.</w:t>
      </w:r>
    </w:p>
    <w:p>
      <w:pPr>
        <w:pStyle w:val="BodyText"/>
      </w:pPr>
      <w:r>
        <w:t xml:space="preserve">For the electricity cost computation in 2035_EB, the module computes the annual electricity cost as the product of annual electricity consumption and the average tariff declared in the SignalsPack. In futures where the regional screening module has assigned an upgrade-class tariff adder, the effective tariff includes that adder. The tariff adder mechanism is the pathway through which the regional infrastructure cost partially enters the site cost assessment, subject to the declared one-pass coupling limitation.</w:t>
      </w:r>
    </w:p>
    <w:p>
      <w:pPr>
        <w:pStyle w:val="BodyText"/>
      </w:pPr>
      <w:r>
        <w:t xml:space="preserve">Sub-Module SM-6.4-C provides the complete interface contract tables, including all schema fields for the SiteConfigArtefact, the dispatch output ResultArtefact, and the IncrementalElectricityPack.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8" name="Picture"/>
                  <a:graphic>
                    <a:graphicData uri="http://schemas.openxmlformats.org/drawingml/2006/picture">
                      <pic:pic>
                        <pic:nvPicPr>
                          <pic:cNvPr descr="/opt/quarto/share/formats/docx/tip.png" id="21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SM-6.4-C</w:t>
            </w:r>
          </w:p>
        </w:tc>
      </w:tr>
      <w:tr>
        <w:trPr>
          <w:cantSplit/>
        </w:trPr>
        <w:tc>
          <w:tcPr>
            <w:tcMar>
              <w:top w:w="108" w:type="dxa"/>
              <w:bottom w:w="108" w:type="dxa"/>
            </w:tcMar>
          </w:tcPr>
          <w:p>
            <w:pPr>
              <w:pStyle w:val="BodyText"/>
            </w:pPr>
            <w:pPr>
              <w:spacing w:before="16" w:after="16"/>
            </w:pPr>
            <w:r>
              <w:t xml:space="preserve">Site Module Interface Contract and Schema Tables — SiteConfigArtefact, ResultArtefact, and IncrementalElectricityPack schema tables — is in</w:t>
            </w:r>
            <w:r>
              <w:t xml:space="preserve"> </w:t>
            </w:r>
            <w:hyperlink r:id="rId220">
              <w:r>
                <w:rPr>
                  <w:rStyle w:val="Hyperlink"/>
                </w:rPr>
                <w:t xml:space="preserve">SM-6.4-C</w:t>
              </w:r>
            </w:hyperlink>
            <w:r>
              <w:t xml:space="preserve">. Process when implementing or verifying site module compliance.</w:t>
            </w:r>
          </w:p>
          <w:p/>
        </w:tc>
      </w:tr>
    </w:tbl>
    <w:bookmarkEnd w:id="221"/>
    <w:bookmarkStart w:id="225" w:name="Xaaf5096906c28751244e5a4ce6ac663a4ad0467"/>
    <w:p>
      <w:pPr>
        <w:pStyle w:val="Heading2"/>
      </w:pPr>
      <w:r>
        <w:t xml:space="preserve">31.5 §6.5 The SignalsPack Generator and GXP Interface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§6.5 The SignalsPack Generator and GXP Interface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 Module 3 §3.4, Module 3 §3.5</w:t>
                  </w:r>
                </w:p>
              </w:tc>
            </w:tr>
            <w:tr>
              <w:tc>
                <w:tcPr/>
                <w:p>
                  <w:pPr>
                    <w:pStyle w:val="Compact"/>
                  </w:pPr>
                  <w:r>
                    <w:rPr>
                      <w:b/>
                      <w:bCs/>
                    </w:rPr>
                    <w:t xml:space="preserve">Contributes</w:t>
                  </w:r>
                </w:p>
              </w:tc>
              <w:tc>
                <w:tcPr/>
                <w:p>
                  <w:pPr>
                    <w:pStyle w:val="Compact"/>
                  </w:pPr>
                  <w:r>
                    <w:t xml:space="preserve">Documents the Edendale GXP repository as the thin-waist interface instantiation, the frozen schema version 0.1.0 contract, and the SHA256 hash integrity mechanism</w:t>
                  </w:r>
                </w:p>
              </w:tc>
            </w:tr>
            <w:tr>
              <w:tc>
                <w:tcPr/>
                <w:p>
                  <w:pPr>
                    <w:pStyle w:val="Compact"/>
                  </w:pPr>
                  <w:r>
                    <w:rPr>
                      <w:b/>
                      <w:bCs/>
                    </w:rPr>
                    <w:t xml:space="preserve">Skip condition</w:t>
                  </w:r>
                </w:p>
              </w:tc>
              <w:tc>
                <w:tcPr/>
                <w:p>
                  <w:pPr>
                    <w:pStyle w:val="Compact"/>
                  </w:pPr>
                  <w:r>
                    <w:t xml:space="preserve">Skip if the GXP interface concept is already understood; process when verifying the SignalsPack integrity or planning a module upgrade</w:t>
                  </w:r>
                </w:p>
              </w:tc>
            </w:tr>
            <w:tr>
              <w:tc>
                <w:tcPr/>
                <w:p>
                  <w:pPr>
                    <w:pStyle w:val="Compact"/>
                  </w:pPr>
                  <w:r>
                    <w:rPr>
                      <w:b/>
                      <w:bCs/>
                    </w:rPr>
                    <w:t xml:space="preserve">Passes to</w:t>
                  </w:r>
                </w:p>
              </w:tc>
              <w:tc>
                <w:tcPr/>
                <w:p>
                  <w:pPr>
                    <w:pStyle w:val="Compact"/>
                  </w:pPr>
                  <w:r>
                    <w:t xml:space="preserve">§6.6</w:t>
                  </w:r>
                </w:p>
              </w:tc>
            </w:tr>
            <w:tr>
              <w:tc>
                <w:tcPr/>
                <w:p>
                  <w:pPr>
                    <w:pStyle w:val="Compact"/>
                  </w:pPr>
                  <w:r>
                    <w:rPr>
                      <w:b/>
                      <w:bCs/>
                    </w:rPr>
                    <w:t xml:space="preserve">Sub-Modules here</w:t>
                  </w:r>
                </w:p>
              </w:tc>
              <w:tc>
                <w:tcPr/>
                <w:p>
                  <w:pPr>
                    <w:pStyle w:val="Compact"/>
                  </w:pPr>
                  <w:r>
                    <w:t xml:space="preserve">SM-6.5-D: SignalsPack Generator Repository, Interface Contract v0.1.0</w:t>
                  </w:r>
                </w:p>
              </w:tc>
            </w:tr>
          </w:tbl>
          <w:p/>
        </w:tc>
      </w:tr>
    </w:tbl>
    <w:p>
      <w:pPr>
        <w:pStyle w:val="BodyText"/>
      </w:pPr>
      <w:r>
        <w:t xml:space="preserve">The Edendale GXP repository is the proof of concept’s concrete instantiation of the thin-waist principle at the codebase level. It is a standalone repository maintained independently of the site model repository that generates the SignalsPack files consumed by the site dispatch module and the regional screening module. Its outputs, hourly GXP capacity, baseline import, reserve margin, headroom, and tariff data for the Edendale GXP across planning epochs 2020, 2025, 2028, and 2035, are produced under a frozen interface contract and verified by SHA256 hash integrity before consumption.</w:t>
      </w:r>
    </w:p>
    <w:p>
      <w:pPr>
        <w:pStyle w:val="BodyText"/>
      </w:pPr>
      <w:r>
        <w:t xml:space="preserve">The frozen schema version 0.1.0 specifies the exact column names, data types, temporal resolution, and file naming conventions of every output file. The SHA256 hash of each output file is stored in a provenance JSON record alongside the file, and the consuming modules verify this hash before loading any SignalsPack data. If the hash verification fails, the pipeline halts and the mismatch is logged as a failed ValidationArtefact. This mechanism ensures that any corruption, inadvertent modification, or version mismatch in the SignalsPack files is detected before the data enters the analytical chain.</w:t>
      </w:r>
    </w:p>
    <w:p>
      <w:pPr>
        <w:pStyle w:val="BodyText"/>
      </w:pPr>
      <w:r>
        <w:t xml:space="preserve">The signals manifest, stored as signals_manifest.toml in the Edendale GXP repository, records the file name, epoch, schema version, SHA256 hash, and generation date for every output file. The manifest serves as the interface contract’s physical implementation: a consuming module that reads the manifest can verify, before opening any data file, that the available files conform to the declared schema version and that their integrity has not been compromised. Sub-Module SM-6.5-D provides the full interface contract specification including all column definitions, file naming conventions, and the manifest schema.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tip.png" id="223"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SM-6.5-D</w:t>
            </w:r>
          </w:p>
        </w:tc>
      </w:tr>
      <w:tr>
        <w:trPr>
          <w:cantSplit/>
        </w:trPr>
        <w:tc>
          <w:tcPr>
            <w:tcMar>
              <w:top w:w="108" w:type="dxa"/>
              <w:bottom w:w="108" w:type="dxa"/>
            </w:tcMar>
          </w:tcPr>
          <w:p>
            <w:pPr>
              <w:pStyle w:val="BodyText"/>
            </w:pPr>
            <w:pPr>
              <w:spacing w:before="16" w:after="16"/>
            </w:pPr>
            <w:r>
              <w:t xml:space="preserve">SignalsPack Generator Repository: Interface Contract v0.1.0 — column definitions, file naming, manifest schema, hash integrity protocol — is in</w:t>
            </w:r>
            <w:r>
              <w:t xml:space="preserve"> </w:t>
            </w:r>
            <w:hyperlink r:id="rId224">
              <w:r>
                <w:rPr>
                  <w:rStyle w:val="Hyperlink"/>
                </w:rPr>
                <w:t xml:space="preserve">SM-6.5-D</w:t>
              </w:r>
            </w:hyperlink>
            <w:r>
              <w:t xml:space="preserve">. Process when verifying SignalsPack integrity or planning a module upgrade.</w:t>
            </w:r>
          </w:p>
          <w:p/>
        </w:tc>
      </w:tr>
    </w:tbl>
    <w:bookmarkEnd w:id="225"/>
    <w:bookmarkStart w:id="229" w:name="X9ecac8f426aa56d751d482b63c0b1b44720bf91"/>
    <w:p>
      <w:pPr>
        <w:pStyle w:val="Heading2"/>
      </w:pPr>
      <w:r>
        <w:t xml:space="preserve">31.6 §6.6 Regional Screening and Grid RDM Evaluation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§6.6 Regional Screening and Grid RDM Evaluation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§6.5, Module 2 §2.4, Module 3 §3.3</w:t>
                  </w:r>
                </w:p>
              </w:tc>
            </w:tr>
            <w:tr>
              <w:tc>
                <w:tcPr/>
                <w:p>
                  <w:pPr>
                    <w:pStyle w:val="Compact"/>
                  </w:pPr>
                  <w:r>
                    <w:rPr>
                      <w:b/>
                      <w:bCs/>
                    </w:rPr>
                    <w:t xml:space="preserve">Contributes</w:t>
                  </w:r>
                </w:p>
              </w:tc>
              <w:tc>
                <w:tcPr/>
                <w:p>
                  <w:pPr>
                    <w:pStyle w:val="Compact"/>
                  </w:pPr>
                  <w:r>
                    <w:t xml:space="preserve">Documents the stylised GXP screening algorithm, the RDM evaluation logic across the 100-future ensemble, and the upgrade selection mechanism</w:t>
                  </w:r>
                </w:p>
              </w:tc>
            </w:tr>
            <w:tr>
              <w:tc>
                <w:tcPr/>
                <w:p>
                  <w:pPr>
                    <w:pStyle w:val="Compact"/>
                  </w:pPr>
                  <w:r>
                    <w:rPr>
                      <w:b/>
                      <w:bCs/>
                    </w:rPr>
                    <w:t xml:space="preserve">Skip condition</w:t>
                  </w:r>
                </w:p>
              </w:tc>
              <w:tc>
                <w:tcPr/>
                <w:p>
                  <w:pPr>
                    <w:pStyle w:val="Compact"/>
                  </w:pPr>
                  <w:r>
                    <w:t xml:space="preserve">Skip if regional screening methodology is not required; proceed to §6.7 for the robustness overlay</w:t>
                  </w:r>
                </w:p>
              </w:tc>
            </w:tr>
            <w:tr>
              <w:tc>
                <w:tcPr/>
                <w:p>
                  <w:pPr>
                    <w:pStyle w:val="Compact"/>
                  </w:pPr>
                  <w:r>
                    <w:rPr>
                      <w:b/>
                      <w:bCs/>
                    </w:rPr>
                    <w:t xml:space="preserve">Passes to</w:t>
                  </w:r>
                </w:p>
              </w:tc>
              <w:tc>
                <w:tcPr/>
                <w:p>
                  <w:pPr>
                    <w:pStyle w:val="Compact"/>
                  </w:pPr>
                  <w:r>
                    <w:t xml:space="preserve">§6.7, §6.9</w:t>
                  </w:r>
                </w:p>
              </w:tc>
            </w:tr>
            <w:tr>
              <w:tc>
                <w:tcPr/>
                <w:p>
                  <w:pPr>
                    <w:pStyle w:val="Compact"/>
                  </w:pPr>
                  <w:r>
                    <w:rPr>
                      <w:b/>
                      <w:bCs/>
                    </w:rPr>
                    <w:t xml:space="preserve">Sub-Modules here</w:t>
                  </w:r>
                </w:p>
              </w:tc>
              <w:tc>
                <w:tcPr/>
                <w:p>
                  <w:pPr>
                    <w:pStyle w:val="Compact"/>
                  </w:pPr>
                  <w:r>
                    <w:t xml:space="preserve">SM-6.6-E: PyPSA Regional Module Design, Next-Phase Specification</w:t>
                  </w:r>
                </w:p>
              </w:tc>
            </w:tr>
          </w:tbl>
          <w:p/>
        </w:tc>
      </w:tr>
    </w:tbl>
    <w:p>
      <w:pPr>
        <w:pStyle w:val="BodyText"/>
      </w:pPr>
      <w:r>
        <w:t xml:space="preserve">The regional screening module receives the IncrementalElectricityPack for each pathway and epoch, reads the corresponding SignalsPack, and evaluates whether the incremental electricity demand exceeds the available GXP headroom under each of the 100 paired futures. For each future, the module multiplies the baseline headroom time series by the future’s headroom multiplier and compares the resulting adjusted headroom to the incremental electricity demand hour by hour.</w:t>
      </w:r>
    </w:p>
    <w:p>
      <w:pPr>
        <w:pStyle w:val="BodyText"/>
      </w:pPr>
      <w:r>
        <w:t xml:space="preserve">When the incremental demand exceeds the adjusted headroom in any hour, a binding constraint event is recorded. The module then evaluates each upgrade option from the declared upgrade menu, computing for each option the total annual cost as the sum of the annualised upgrade capital cost and the annualised shed cost. The annualised upgrade cost is computed as the capital cost multiplied by the future’s upgrade capex multiplier and the consents uplift multiplier, divided by the annualisation factor derived from a declared capital recovery factor. The shed cost is computed as the annual unserved energy under that upgrade option multiplied by the future’s VOLL value.</w:t>
      </w:r>
    </w:p>
    <w:p>
      <w:pPr>
        <w:pStyle w:val="BodyText"/>
      </w:pPr>
      <w:r>
        <w:t xml:space="preserve">The upgrade option that minimises total annual cost is selected for that future, and the result is written to the RDM summary CSV as a single row containing the future identifier, the selected upgrade name, the selected additional capacity, the annualised upgrade cost, the annual incremental energy, the annual shed energy, the shed fraction, the shed cost, the total cost, the number of binding hours, and the peak unserved demand.</w:t>
      </w:r>
    </w:p>
    <w:p>
      <w:pPr>
        <w:pStyle w:val="BodyText"/>
      </w:pPr>
      <w:r>
        <w:t xml:space="preserve">This process is repeated for all 100 futures and for both the 2035_EB and 2035_BB incremental electricity signals. The resulting two RDM summary CSVs, one per pathway, share identical future_id sets because both were evaluated against the same futures_2035.csv template. The paired structure is what makes the future-by-future pathway comparison in the site decision robustness overlay valid.</w:t>
      </w:r>
    </w:p>
    <w:p>
      <w:pPr>
        <w:pStyle w:val="BodyText"/>
      </w:pPr>
      <w:r>
        <w:t xml:space="preserve">The specification for the next-phase PyPSA regional module, which would replace the stylised screening model with a full network optimisation producing governed SignalsPack outputs through the same interface contract, is in Sub-Module SM-6.6-E.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tip.png" id="227"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SM-6.6-E</w:t>
            </w:r>
          </w:p>
        </w:tc>
      </w:tr>
      <w:tr>
        <w:trPr>
          <w:cantSplit/>
        </w:trPr>
        <w:tc>
          <w:tcPr>
            <w:tcMar>
              <w:top w:w="108" w:type="dxa"/>
              <w:bottom w:w="108" w:type="dxa"/>
            </w:tcMar>
          </w:tcPr>
          <w:p>
            <w:pPr>
              <w:pStyle w:val="BodyText"/>
            </w:pPr>
            <w:pPr>
              <w:spacing w:before="16" w:after="16"/>
            </w:pPr>
            <w:r>
              <w:t xml:space="preserve">PyPSA Regional Module Design: Next-Phase Specification — network structure, optimisation formulation, SignalsPack output mapping, and surrogate development pathway — is in</w:t>
            </w:r>
            <w:r>
              <w:t xml:space="preserve"> </w:t>
            </w:r>
            <w:hyperlink r:id="rId228">
              <w:r>
                <w:rPr>
                  <w:rStyle w:val="Hyperlink"/>
                </w:rPr>
                <w:t xml:space="preserve">SM-6.6-E</w:t>
              </w:r>
            </w:hyperlink>
            <w:r>
              <w:t xml:space="preserve">. Process when planning or implementing the PyPSA regional module.</w:t>
            </w:r>
          </w:p>
          <w:p/>
        </w:tc>
      </w:tr>
    </w:tbl>
    <w:bookmarkEnd w:id="229"/>
    <w:bookmarkStart w:id="230" w:name="the-site-decision-robustness-overlay"/>
    <w:p>
      <w:pPr>
        <w:pStyle w:val="Heading2"/>
      </w:pPr>
      <w:r>
        <w:t xml:space="preserve">31.7 §6.7 The Site Decision Robustness Overlay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§6.7 The Site Decision Robustness Overlay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§6.4, §6.6, Module 2 §2.4</w:t>
                  </w:r>
                </w:p>
              </w:tc>
            </w:tr>
            <w:tr>
              <w:tc>
                <w:tcPr/>
                <w:p>
                  <w:pPr>
                    <w:pStyle w:val="Compact"/>
                  </w:pPr>
                  <w:r>
                    <w:rPr>
                      <w:b/>
                      <w:bCs/>
                    </w:rPr>
                    <w:t xml:space="preserve">Contributes</w:t>
                  </w:r>
                </w:p>
              </w:tc>
              <w:tc>
                <w:tcPr/>
                <w:p>
                  <w:pPr>
                    <w:pStyle w:val="Compact"/>
                  </w:pPr>
                  <w:r>
                    <w:t xml:space="preserve">Documents the design and implementation of the post-processing overlay that adds stylised site-cost uncertainty to the grid RDM evaluation without introducing feedback loops</w:t>
                  </w:r>
                </w:p>
              </w:tc>
            </w:tr>
            <w:tr>
              <w:tc>
                <w:tcPr/>
                <w:p>
                  <w:pPr>
                    <w:pStyle w:val="Compact"/>
                  </w:pPr>
                  <w:r>
                    <w:rPr>
                      <w:b/>
                      <w:bCs/>
                    </w:rPr>
                    <w:t xml:space="preserve">Skip condition</w:t>
                  </w:r>
                </w:p>
              </w:tc>
              <w:tc>
                <w:tcPr/>
                <w:p>
                  <w:pPr>
                    <w:pStyle w:val="Compact"/>
                  </w:pPr>
                  <w:r>
                    <w:t xml:space="preserve">Skip if robustness overlay methodology is not required; proceed to §6.8</w:t>
                  </w:r>
                </w:p>
              </w:tc>
            </w:tr>
            <w:tr>
              <w:tc>
                <w:tcPr/>
                <w:p>
                  <w:pPr>
                    <w:pStyle w:val="Compact"/>
                  </w:pPr>
                  <w:r>
                    <w:rPr>
                      <w:b/>
                      <w:bCs/>
                    </w:rPr>
                    <w:t xml:space="preserve">Passes to</w:t>
                  </w:r>
                </w:p>
              </w:tc>
              <w:tc>
                <w:tcPr/>
                <w:p>
                  <w:pPr>
                    <w:pStyle w:val="Compact"/>
                  </w:pPr>
                  <w:r>
                    <w:t xml:space="preserve">§6.8, §6.9</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site decision robustness overlay is a post-processing module that consolidates the site dispatch cost summaries with the grid RDM summaries to produce a pathway comparison that reflects uncertainty in both the site-level cost components and the regional infrastructure conditions. It is a post-processing overlay only: it reads existing dispatch summaries and RDM summaries, applies stylised uncertainty multipliers to site cost components, and computes future-specific system costs and robustness metrics. It does not re-run dispatch, modify existing artefacts, or introduce any feedback between modules.</w:t>
      </w:r>
    </w:p>
    <w:p>
      <w:pPr>
        <w:pStyle w:val="BodyText"/>
      </w:pPr>
      <w:r>
        <w:t xml:space="preserve">The overlay’s design addresses the one-pass coupling limitation identified in §6.1. Because the one-pass pipeline does not iterate the tariff signal from the regional screening back to the site dispatch, the site cost estimates in the ResultArtefacts do not fully reflect the infrastructure-conditional costs in futures where a grid upgrade is required. The overlay partially corrects for this by computing the future-specific system cost as the sum of the baseline site cost and the annualised upgrade cost from the RDM summary, scaled by the future’s site-cost multipliers for electricity price, biomass price, and ETS. This combined cost is the input to the robustness metrics computation.</w:t>
      </w:r>
    </w:p>
    <w:p>
      <w:pPr>
        <w:pStyle w:val="BodyText"/>
      </w:pPr>
      <w:r>
        <w:t xml:space="preserve">Three site-cost multiplier dimensions are applied. The electricity price multiplier (P_elec_mult) scales the electricity cost component of the EB pathway cost, reflecting uncertainty in the wholesale electricity price trajectory over the asset’s operating life. The biomass price multiplier (P_biomass_mult) scales the fuel cost component of the BB pathway cost, reflecting uncertainty in delivered biomass price due to supply chain competition and logistics development. The ETS multiplier (ETS_mult) scales the carbon cost component of both pathways in futures where direct combustion emissions exist, reflecting the policy uncertainty documented in Module 5 §5.4. These multipliers are applied to the baseline site cost components drawn from the dispatch summary, not to the full system cost, ensuring that the grid upgrade cost from the RDM summary is not inadvertently scaled.</w:t>
      </w:r>
    </w:p>
    <w:p>
      <w:pPr>
        <w:pStyle w:val="BodyText"/>
      </w:pPr>
      <w:r>
        <w:t xml:space="preserve">Multiplier values for each future are drawn from triangular distributions with declared ranges and modes, using a fixed random seed of 42 for reproducibility. The multiplier ranges are calibrated to the NZ-specific uncertainty ranges documented in Module 5 §5.6. Multiplier values are stored in the canonical futures.csv per-bundle alongside the grid RDM driver values, ensuring that the full future specification is recoverable from a single file.</w:t>
      </w:r>
    </w:p>
    <w:p>
      <w:pPr>
        <w:pStyle w:val="BodyText"/>
      </w:pPr>
      <w:r>
        <w:t xml:space="preserve">The overlay produces four output artefacts: a per-future joined table with baseline and future-costed system costs for both pathways; a summary metrics CSV carrying win rates, regret statistics, and satisficing rates; a regret CDF comparison figure; and a system cost distribution boxplot figure. The summary metrics are the primary inputs to the results presentation in §6.9.</w:t>
      </w:r>
    </w:p>
    <w:bookmarkEnd w:id="230"/>
    <w:bookmarkStart w:id="234" w:name="validation-and-artefact-integrity"/>
    <w:p>
      <w:pPr>
        <w:pStyle w:val="Heading2"/>
      </w:pPr>
      <w:r>
        <w:t xml:space="preserve">31.8 §6.8 Validation and Artefact Integrity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§6.8 Validation and Artefact Integrity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 through §6.7, Module 3 §3.6</w:t>
                  </w:r>
                </w:p>
              </w:tc>
            </w:tr>
            <w:tr>
              <w:tc>
                <w:tcPr/>
                <w:p>
                  <w:pPr>
                    <w:pStyle w:val="Compact"/>
                  </w:pPr>
                  <w:r>
                    <w:rPr>
                      <w:b/>
                      <w:bCs/>
                    </w:rPr>
                    <w:t xml:space="preserve">Contributes</w:t>
                  </w:r>
                </w:p>
              </w:tc>
              <w:tc>
                <w:tcPr/>
                <w:p>
                  <w:pPr>
                    <w:pStyle w:val="Compact"/>
                  </w:pPr>
                  <w:r>
                    <w:t xml:space="preserve">Documents the validation record for the PoC release bundle, including acceptance gate outcomes, the DemandPack rounding error incident, and the artefact lineage summary</w:t>
                  </w:r>
                </w:p>
              </w:tc>
            </w:tr>
            <w:tr>
              <w:tc>
                <w:tcPr/>
                <w:p>
                  <w:pPr>
                    <w:pStyle w:val="Compact"/>
                  </w:pPr>
                  <w:r>
                    <w:rPr>
                      <w:b/>
                      <w:bCs/>
                    </w:rPr>
                    <w:t xml:space="preserve">Skip condition</w:t>
                  </w:r>
                </w:p>
              </w:tc>
              <w:tc>
                <w:tcPr/>
                <w:p>
                  <w:pPr>
                    <w:pStyle w:val="Compact"/>
                  </w:pPr>
                  <w:r>
                    <w:t xml:space="preserve">Skip for conceptual reading; process when auditing the PoC or verifying governance</w:t>
                  </w:r>
                </w:p>
              </w:tc>
            </w:tr>
            <w:tr>
              <w:tc>
                <w:tcPr/>
                <w:p>
                  <w:pPr>
                    <w:pStyle w:val="Compact"/>
                  </w:pPr>
                  <w:r>
                    <w:rPr>
                      <w:b/>
                      <w:bCs/>
                    </w:rPr>
                    <w:t xml:space="preserve">Passes to</w:t>
                  </w:r>
                </w:p>
              </w:tc>
              <w:tc>
                <w:tcPr/>
                <w:p>
                  <w:pPr>
                    <w:pStyle w:val="Compact"/>
                  </w:pPr>
                  <w:r>
                    <w:t xml:space="preserve">§6.9</w:t>
                  </w:r>
                </w:p>
              </w:tc>
            </w:tr>
            <w:tr>
              <w:tc>
                <w:tcPr/>
                <w:p>
                  <w:pPr>
                    <w:pStyle w:val="Compact"/>
                  </w:pPr>
                  <w:r>
                    <w:rPr>
                      <w:b/>
                      <w:bCs/>
                    </w:rPr>
                    <w:t xml:space="preserve">Sub-Modules here</w:t>
                  </w:r>
                </w:p>
              </w:tc>
              <w:tc>
                <w:tcPr/>
                <w:p>
                  <w:pPr>
                    <w:pStyle w:val="Compact"/>
                  </w:pPr>
                  <w:r>
                    <w:t xml:space="preserve">SM-6.8-F: Validation Records and Artefact Log</w:t>
                  </w:r>
                </w:p>
              </w:tc>
            </w:tr>
          </w:tbl>
          <w:p/>
        </w:tc>
      </w:tr>
    </w:tbl>
    <w:p>
      <w:pPr>
        <w:pStyle w:val="BodyText"/>
      </w:pPr>
      <w:r>
        <w:t xml:space="preserve">Every artefact in the proof-of-concept release bundle passed its declared acceptance gates before being admitted to the comparison chain, with one documented exception that was identified, corrected, and retained in the governance record. The exception is the DemandPack rounding error incident described in §3.6: three provisional DemandPacks for the 2035_EB epoch failed the energy balance closure gate, were corrected, and were superseded by validated replacements. The failed ValidationArtefacts are retained in the bundle alongside their associated failed DemandPacks as permanent governance records.</w:t>
      </w:r>
    </w:p>
    <w:p>
      <w:pPr>
        <w:pStyle w:val="BodyText"/>
      </w:pPr>
      <w:r>
        <w:t xml:space="preserve">All other artefacts passed their acceptance gates on first submission. The SignalsPack files produced by the Edendale GXP repository passed SHA256 hash verification on all consuming module reads. All RDM summary CSVs were verified against the paired-futures contract: the EB and BB summaries contain identical future_id sets sourced from the same futures_2035.csv template. The site decision robustness overlay passed the validate-only check before generating outputs. The pathway comparison markdown and CSV were generated from the TOTAL row of the validated dispatch summaries.</w:t>
      </w:r>
    </w:p>
    <w:p>
      <w:pPr>
        <w:pStyle w:val="BodyText"/>
      </w:pPr>
      <w:r>
        <w:t xml:space="preserve">The lineage chain for the primary findings in §6.9 can be traced as follows. The DecisionSummaryArtefact carrying the 100-future grid upgrade and robustness findings references the site_decision_robustness_summary_2035.csv overlay output. That overlay output references the rdm_summary_2035_EB.csv and rdm_summary_2035_BB.csv RDM summaries. Each RDM summary row references the future identifier from futures.csv and the incremental electricity trace from signals/incremental_electricity_MW_2035_EB.csv. That trace references the site dispatch summary, which references the DemandPack artefact identifier. The DemandPack artefact identifier references the generating run and the epoch configuration. The complete chain is recoverable from the run-bundle folder structure and the SHA256 hash records.</w:t>
      </w:r>
    </w:p>
    <w:p>
      <w:pPr>
        <w:pStyle w:val="BodyText"/>
      </w:pPr>
      <w:r>
        <w:t xml:space="preserve">Sub-Module SM-6.8-F provides the full per-artefact validation log and the lineage statistics for the release bundle.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1" name="Picture"/>
                  <a:graphic>
                    <a:graphicData uri="http://schemas.openxmlformats.org/drawingml/2006/picture">
                      <pic:pic>
                        <pic:nvPicPr>
                          <pic:cNvPr descr="/opt/quarto/share/formats/docx/tip.png" id="23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SM-6.8-F</w:t>
            </w:r>
          </w:p>
        </w:tc>
      </w:tr>
      <w:tr>
        <w:trPr>
          <w:cantSplit/>
        </w:trPr>
        <w:tc>
          <w:tcPr>
            <w:tcMar>
              <w:top w:w="108" w:type="dxa"/>
              <w:bottom w:w="108" w:type="dxa"/>
            </w:tcMar>
          </w:tcPr>
          <w:p>
            <w:pPr>
              <w:pStyle w:val="BodyText"/>
            </w:pPr>
            <w:pPr>
              <w:spacing w:before="16" w:after="16"/>
            </w:pPr>
            <w:r>
              <w:t xml:space="preserve">Validation Records and Artefact Log — per-artefact acceptance gate outcomes, failure-correction log, and lineage statistics — is in</w:t>
            </w:r>
            <w:r>
              <w:t xml:space="preserve"> </w:t>
            </w:r>
            <w:hyperlink r:id="rId233">
              <w:r>
                <w:rPr>
                  <w:rStyle w:val="Hyperlink"/>
                </w:rPr>
                <w:t xml:space="preserve">SM-6.8-F</w:t>
              </w:r>
            </w:hyperlink>
            <w:r>
              <w:t xml:space="preserve">. Process when auditing the PoC or verifying governance completeness.</w:t>
            </w:r>
          </w:p>
          <w:p/>
        </w:tc>
      </w:tr>
    </w:tbl>
    <w:bookmarkEnd w:id="234"/>
    <w:bookmarkStart w:id="255" w:name="X87f40c09da264148f720bbcd1936ccab2781ba4"/>
    <w:p>
      <w:pPr>
        <w:pStyle w:val="Heading2"/>
      </w:pPr>
      <w:r>
        <w:t xml:space="preserve">31.9 §6.9 Results: What the Demonstration Establishes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§6.9 Results: What the Demonstration Establishes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through §6.8</w:t>
                  </w:r>
                </w:p>
              </w:tc>
            </w:tr>
            <w:tr>
              <w:tc>
                <w:tcPr/>
                <w:p>
                  <w:pPr>
                    <w:pStyle w:val="Compact"/>
                  </w:pPr>
                  <w:r>
                    <w:rPr>
                      <w:b/>
                      <w:bCs/>
                    </w:rPr>
                    <w:t xml:space="preserve">Contributes</w:t>
                  </w:r>
                </w:p>
              </w:tc>
              <w:tc>
                <w:tcPr/>
                <w:p>
                  <w:pPr>
                    <w:pStyle w:val="Compact"/>
                  </w:pPr>
                  <w:r>
                    <w:t xml:space="preserve">Presents the primary results of the proof of concept and interprets each in terms of the five demonstrated claims, with particular attention to the 100-future grid upgrade and robustness findings</w:t>
                  </w:r>
                </w:p>
              </w:tc>
            </w:tr>
            <w:tr>
              <w:tc>
                <w:tcPr/>
                <w:p>
                  <w:pPr>
                    <w:pStyle w:val="Compact"/>
                  </w:pPr>
                  <w:r>
                    <w:rPr>
                      <w:b/>
                      <w:bCs/>
                    </w:rPr>
                    <w:t xml:space="preserve">Skip condition</w:t>
                  </w:r>
                </w:p>
              </w:tc>
              <w:tc>
                <w:tcPr/>
                <w:p>
                  <w:pPr>
                    <w:pStyle w:val="Compact"/>
                  </w:pPr>
                  <w:r>
                    <w:t xml:space="preserve">Do not skip</w:t>
                  </w:r>
                </w:p>
              </w:tc>
            </w:tr>
            <w:tr>
              <w:tc>
                <w:tcPr/>
                <w:p>
                  <w:pPr>
                    <w:pStyle w:val="Compact"/>
                  </w:pPr>
                  <w:r>
                    <w:rPr>
                      <w:b/>
                      <w:bCs/>
                    </w:rPr>
                    <w:t xml:space="preserve">Passes to</w:t>
                  </w:r>
                </w:p>
              </w:tc>
              <w:tc>
                <w:tcPr/>
                <w:p>
                  <w:pPr>
                    <w:pStyle w:val="Compact"/>
                  </w:pPr>
                  <w:r>
                    <w:t xml:space="preserve">§6.10, Module 7</w:t>
                  </w:r>
                </w:p>
              </w:tc>
            </w:tr>
            <w:tr>
              <w:tc>
                <w:tcPr/>
                <w:p>
                  <w:pPr>
                    <w:pStyle w:val="Compact"/>
                  </w:pPr>
                  <w:r>
                    <w:rPr>
                      <w:b/>
                      <w:bCs/>
                    </w:rPr>
                    <w:t xml:space="preserve">Sub-Modules here</w:t>
                  </w:r>
                </w:p>
              </w:tc>
              <w:tc>
                <w:tcPr/>
                <w:p>
                  <w:pPr>
                    <w:pStyle w:val="Compact"/>
                  </w:pPr>
                  <w:r>
                    <w:t xml:space="preserve">None</w:t>
                  </w:r>
                </w:p>
              </w:tc>
            </w:tr>
          </w:tbl>
          <w:p/>
        </w:tc>
      </w:tr>
    </w:tbl>
    <w:tbl>
      <w:tblPr>
        <w:tblStyle w:val="Table"/>
        <w:tblW w:type="pct" w:w="5000"/>
        <w:tblLayout w:type="fixed"/>
        <w:tblLook w:firstRow="0" w:lastRow="0" w:firstColumn="0" w:lastColumn="0" w:noHBand="0" w:noVBand="0" w:val="0000"/>
      </w:tblPr>
      <w:tblGrid>
        <w:gridCol w:w="7920"/>
      </w:tblGrid>
      <w:tr>
        <w:tc>
          <w:tcPr/>
          <w:bookmarkStart w:id="238" w:name="fig-pathway-decision"/>
          <w:p>
            <w:pPr>
              <w:pStyle w:val="Compact"/>
              <w:jc w:val="center"/>
            </w:pPr>
            <w:r>
              <w:drawing>
                <wp:inline>
                  <wp:extent cx="5334000" cy="3017921"/>
                  <wp:effectExtent b="0" l="0" r="0" t="0"/>
                  <wp:docPr descr="" title="" id="236" name="Picture"/>
                  <a:graphic>
                    <a:graphicData uri="http://schemas.openxmlformats.org/drawingml/2006/picture">
                      <pic:pic>
                        <pic:nvPicPr>
                          <pic:cNvPr descr="manuscript/../assets/figures/diagram3-pathway-comparison.png" id="237" name="Picture"/>
                          <pic:cNvPicPr>
                            <a:picLocks noChangeArrowheads="1" noChangeAspect="1"/>
                          </pic:cNvPicPr>
                        </pic:nvPicPr>
                        <pic:blipFill>
                          <a:blip r:embed="rId235"/>
                          <a:stretch>
                            <a:fillRect/>
                          </a:stretch>
                        </pic:blipFill>
                        <pic:spPr bwMode="auto">
                          <a:xfrm>
                            <a:off x="0" y="0"/>
                            <a:ext cx="5334000" cy="3017921"/>
                          </a:xfrm>
                          <a:prstGeom prst="rect">
                            <a:avLst/>
                          </a:prstGeom>
                          <a:noFill/>
                          <a:ln w="9525">
                            <a:noFill/>
                            <a:headEnd/>
                            <a:tailEnd/>
                          </a:ln>
                        </pic:spPr>
                      </pic:pic>
                    </a:graphicData>
                  </a:graphic>
                </wp:inline>
              </w:drawing>
            </w:r>
          </w:p>
          <w:p>
            <w:pPr>
              <w:jc w:val="center"/>
            </w:pPr>
            <w:pPr>
              <w:jc w:val="left"/>
              <w:spacing w:before="200"/>
              <w:pStyle w:val="ImageCaption"/>
            </w:pPr>
            <w:r>
              <w:t xml:space="preserve">Figure 31.1: Figure 6.0: Decision tree and robustness outcomes</w:t>
            </w:r>
            <w:r>
              <w:t xml:space="preserve"> </w:t>
            </w:r>
            <w:r>
              <w:t xml:space="preserve">— EB vs BB pathway comparison, 100 paired futures,</w:t>
            </w:r>
            <w:r>
              <w:t xml:space="preserve"> </w:t>
            </w:r>
            <w:r>
              <w:t xml:space="preserve">Edendale–Southland PoC.</w:t>
            </w:r>
          </w:p>
          <w:bookmarkEnd w:id="238"/>
        </w:tc>
      </w:tr>
    </w:tbl>
    <w:p>
      <w:pPr>
        <w:pStyle w:val="BodyText"/>
      </w:pPr>
      <w:r>
        <w:t xml:space="preserve">The proof of concept establishes five findings from the 100-future paired ensemble. Each is stated in terms of the boundary declarations of §6.1 and is traceable to the artefact chain documented in §6.8.</w:t>
      </w:r>
    </w:p>
    <w:p>
      <w:pPr>
        <w:pStyle w:val="BodyText"/>
      </w:pPr>
      <w:r>
        <w:rPr>
          <w:b/>
          <w:bCs/>
        </w:rPr>
        <w:t xml:space="preserve">Finding 1: The grid upgrade finding.</w:t>
      </w:r>
    </w:p>
    <w:tbl>
      <w:tblPr>
        <w:tblStyle w:val="Table"/>
        <w:tblW w:type="pct" w:w="5000"/>
        <w:tblLayout w:type="fixed"/>
        <w:tblLook w:firstRow="0" w:lastRow="0" w:firstColumn="0" w:lastColumn="0" w:noHBand="0" w:noVBand="0" w:val="0000"/>
      </w:tblPr>
      <w:tblGrid>
        <w:gridCol w:w="7920"/>
      </w:tblGrid>
      <w:tr>
        <w:tc>
          <w:tcPr/>
          <w:bookmarkStart w:id="242" w:name="fig-dispatch-epochs"/>
          <w:p>
            <w:pPr>
              <w:pStyle w:val="Compact"/>
              <w:jc w:val="center"/>
            </w:pPr>
            <w:r>
              <w:drawing>
                <wp:inline>
                  <wp:extent cx="5334000" cy="2510952"/>
                  <wp:effectExtent b="0" l="0" r="0" t="0"/>
                  <wp:docPr descr="" title="" id="240" name="Picture"/>
                  <a:graphic>
                    <a:graphicData uri="http://schemas.openxmlformats.org/drawingml/2006/picture">
                      <pic:pic>
                        <pic:nvPicPr>
                          <pic:cNvPr descr="manuscript/../assets/figures/fig6_1_dispatch_epochs.png" id="241" name="Picture"/>
                          <pic:cNvPicPr>
                            <a:picLocks noChangeArrowheads="1" noChangeAspect="1"/>
                          </pic:cNvPicPr>
                        </pic:nvPicPr>
                        <pic:blipFill>
                          <a:blip r:embed="rId239"/>
                          <a:stretch>
                            <a:fillRect/>
                          </a:stretch>
                        </pic:blipFill>
                        <pic:spPr bwMode="auto">
                          <a:xfrm>
                            <a:off x="0" y="0"/>
                            <a:ext cx="5334000" cy="2510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31.2: Figure 6.1: Site-layer dispatch results across</w:t>
            </w:r>
            <w:r>
              <w:t xml:space="preserve"> </w:t>
            </w:r>
            <w:r>
              <w:t xml:space="preserve">planning epochs — annual cost, direct CO₂ emissions,</w:t>
            </w:r>
            <w:r>
              <w:t xml:space="preserve"> </w:t>
            </w:r>
            <w:r>
              <w:t xml:space="preserve">and GXP incremental electricity demand.</w:t>
            </w:r>
          </w:p>
          <w:bookmarkEnd w:id="242"/>
        </w:tc>
      </w:tr>
    </w:tbl>
    <w:p>
      <w:pPr>
        <w:pStyle w:val="BodyText"/>
      </w:pPr>
      <w:r>
        <w:t xml:space="preserve">All four planning epochs deliver the same 819 GWh of annual heat demand. Direct CO₂ emissions fall from 244,703 tCO₂ in 2020 to zero under the EB pathway and to 1,610 tCO₂ under the BB pathway in 2035. The site annual cost rises from NZD 14.2M in 2020 to NZD 91.0M (EB) and NZD 76.8M (BB) in 2035, reflecting the higher electricity tariff under full electrification. BB therefore offers a NZD 14.2M/year private cost advantage over EB at the site level under baseline conditions.</w:t>
      </w:r>
    </w:p>
    <w:tbl>
      <w:tblPr>
        <w:tblStyle w:val="Table"/>
        <w:tblW w:type="pct" w:w="5000"/>
        <w:tblLayout w:type="fixed"/>
        <w:tblLook w:firstRow="0" w:lastRow="0" w:firstColumn="0" w:lastColumn="0" w:noHBand="0" w:noVBand="0" w:val="0000"/>
      </w:tblPr>
      <w:tblGrid>
        <w:gridCol w:w="7920"/>
      </w:tblGrid>
      <w:tr>
        <w:tc>
          <w:tcPr/>
          <w:bookmarkStart w:id="246" w:name="fig-rdm-upgrade"/>
          <w:p>
            <w:pPr>
              <w:pStyle w:val="Compact"/>
              <w:jc w:val="center"/>
            </w:pPr>
            <w:r>
              <w:drawing>
                <wp:inline>
                  <wp:extent cx="5334000" cy="2364529"/>
                  <wp:effectExtent b="0" l="0" r="0" t="0"/>
                  <wp:docPr descr="" title="" id="244" name="Picture"/>
                  <a:graphic>
                    <a:graphicData uri="http://schemas.openxmlformats.org/drawingml/2006/picture">
                      <pic:pic>
                        <pic:nvPicPr>
                          <pic:cNvPr descr="manuscript/../assets/figures/fig6_2_rdm_upgrade_distribution.png" id="245" name="Picture"/>
                          <pic:cNvPicPr>
                            <a:picLocks noChangeArrowheads="1" noChangeAspect="1"/>
                          </pic:cNvPicPr>
                        </pic:nvPicPr>
                        <pic:blipFill>
                          <a:blip r:embed="rId243"/>
                          <a:stretch>
                            <a:fillRect/>
                          </a:stretch>
                        </pic:blipFill>
                        <pic:spPr bwMode="auto">
                          <a:xfrm>
                            <a:off x="0" y="0"/>
                            <a:ext cx="5334000" cy="2364529"/>
                          </a:xfrm>
                          <a:prstGeom prst="rect">
                            <a:avLst/>
                          </a:prstGeom>
                          <a:noFill/>
                          <a:ln w="9525">
                            <a:noFill/>
                            <a:headEnd/>
                            <a:tailEnd/>
                          </a:ln>
                        </pic:spPr>
                      </pic:pic>
                    </a:graphicData>
                  </a:graphic>
                </wp:inline>
              </w:drawing>
            </w:r>
          </w:p>
          <w:p>
            <w:pPr>
              <w:jc w:val="center"/>
            </w:pPr>
            <w:pPr>
              <w:jc w:val="left"/>
              <w:spacing w:before="200"/>
              <w:pStyle w:val="ImageCaption"/>
            </w:pPr>
            <w:r>
              <w:t xml:space="preserve">Figure 31.3: Figure 6.2: Grid upgrade selection across 100</w:t>
            </w:r>
            <w:r>
              <w:t xml:space="preserve"> </w:t>
            </w:r>
            <w:r>
              <w:t xml:space="preserve">paired futures — EB and BB pathways compared.</w:t>
            </w:r>
          </w:p>
          <w:bookmarkEnd w:id="246"/>
        </w:tc>
      </w:tr>
    </w:tbl>
    <w:p>
      <w:pPr>
        <w:pStyle w:val="BodyText"/>
      </w:pPr>
      <w:r>
        <w:t xml:space="preserve">Under the regional screening model with the 100-future paired ensemble, the EB pathway requires a grid upgrade in every future without exception. In 51 of 100 futures the required upgrade is N+97 MW (zone substation expansion, NZD 28.5M capex); in the remaining 49 of 100 futures a major N+150 MW reinforcement (NZD 52.0M capex) is required. The BB pathway requires the N+97 MW upgrade in all 100 futures but never triggers the N+150 MW class. The distinction is not whether a grid upgrade is needed — both pathways require one in every future — but whether the EB pathway’s higher incremental peak demand (133 MW vs 95 MW) forces the costlier upgrade class in a given future. Twenty-four of the 100 futures produce binding hourly headroom constraints under EB, with a maximum shed event of 181.9 MWh.</w:t>
      </w:r>
    </w:p>
    <w:p>
      <w:pPr>
        <w:pStyle w:val="BodyText"/>
      </w:pPr>
      <w:r>
        <w:rPr>
          <w:b/>
          <w:bCs/>
        </w:rPr>
        <w:t xml:space="preserve">Finding 2: The robustness analysis.</w:t>
      </w:r>
    </w:p>
    <w:tbl>
      <w:tblPr>
        <w:tblStyle w:val="Table"/>
        <w:tblW w:type="pct" w:w="5000"/>
        <w:tblLayout w:type="fixed"/>
        <w:tblLook w:firstRow="0" w:lastRow="0" w:firstColumn="0" w:lastColumn="0" w:noHBand="0" w:noVBand="0" w:val="0000"/>
      </w:tblPr>
      <w:tblGrid>
        <w:gridCol w:w="7920"/>
      </w:tblGrid>
      <w:tr>
        <w:tc>
          <w:tcPr/>
          <w:bookmarkStart w:id="250" w:name="fig-robustness"/>
          <w:p>
            <w:pPr>
              <w:pStyle w:val="Compact"/>
              <w:jc w:val="center"/>
            </w:pPr>
            <w:r>
              <w:drawing>
                <wp:inline>
                  <wp:extent cx="5334000" cy="3487516"/>
                  <wp:effectExtent b="0" l="0" r="0" t="0"/>
                  <wp:docPr descr="" title="" id="248" name="Picture"/>
                  <a:graphic>
                    <a:graphicData uri="http://schemas.openxmlformats.org/drawingml/2006/picture">
                      <pic:pic>
                        <pic:nvPicPr>
                          <pic:cNvPr descr="manuscript/../assets/figures/fig6_3_robustness_comparison.png" id="249" name="Picture"/>
                          <pic:cNvPicPr>
                            <a:picLocks noChangeArrowheads="1" noChangeAspect="1"/>
                          </pic:cNvPicPr>
                        </pic:nvPicPr>
                        <pic:blipFill>
                          <a:blip r:embed="rId247"/>
                          <a:stretch>
                            <a:fillRect/>
                          </a:stretch>
                        </pic:blipFill>
                        <pic:spPr bwMode="auto">
                          <a:xfrm>
                            <a:off x="0" y="0"/>
                            <a:ext cx="5334000" cy="3487516"/>
                          </a:xfrm>
                          <a:prstGeom prst="rect">
                            <a:avLst/>
                          </a:prstGeom>
                          <a:noFill/>
                          <a:ln w="9525">
                            <a:noFill/>
                            <a:headEnd/>
                            <a:tailEnd/>
                          </a:ln>
                        </pic:spPr>
                      </pic:pic>
                    </a:graphicData>
                  </a:graphic>
                </wp:inline>
              </w:drawing>
            </w:r>
          </w:p>
          <w:p>
            <w:pPr>
              <w:jc w:val="center"/>
            </w:pPr>
            <w:pPr>
              <w:jc w:val="left"/>
              <w:spacing w:before="200"/>
              <w:pStyle w:val="ImageCaption"/>
            </w:pPr>
            <w:r>
              <w:t xml:space="preserve">Figure 31.4: Figure 6.3: Robustness comparison — EB vs BB</w:t>
            </w:r>
            <w:r>
              <w:t xml:space="preserve"> </w:t>
            </w:r>
            <w:r>
              <w:t xml:space="preserve">across 100 paired futures, five metrics.</w:t>
            </w:r>
          </w:p>
          <w:bookmarkEnd w:id="250"/>
        </w:tc>
      </w:tr>
    </w:tbl>
    <w:p>
      <w:pPr>
        <w:pStyle w:val="BodyText"/>
      </w:pPr>
      <w:r>
        <w:t xml:space="preserve">Under the site decision robustness overlay, BB achieves an 88% satisficing rate against the declared cost threshold, compared with 35% for EB. BB wins on system cost in 93 of 100 futures. EB’s mean system-level regret is NZD 8.8M/year; BB’s mean regret is NZD 0.1M/year. EB’s maximum regret reaches NZD 18.9M/year, compared with NZD 4.5M/year for BB. EB carries a 49% exposure to the N+150 MW upgrade class; BB carries zero exposure to that class in any future.</w:t>
      </w:r>
    </w:p>
    <w:p>
      <w:pPr>
        <w:pStyle w:val="BodyText"/>
      </w:pPr>
      <w:r>
        <w:rPr>
          <w:b/>
          <w:bCs/>
        </w:rPr>
        <w:t xml:space="preserve">Finding 3: The system-level cost divergence.</w:t>
      </w:r>
    </w:p>
    <w:tbl>
      <w:tblPr>
        <w:tblStyle w:val="Table"/>
        <w:tblW w:type="pct" w:w="5000"/>
        <w:tblLayout w:type="fixed"/>
        <w:tblLook w:firstRow="0" w:lastRow="0" w:firstColumn="0" w:lastColumn="0" w:noHBand="0" w:noVBand="0" w:val="0000"/>
      </w:tblPr>
      <w:tblGrid>
        <w:gridCol w:w="7920"/>
      </w:tblGrid>
      <w:tr>
        <w:tc>
          <w:tcPr/>
          <w:bookmarkStart w:id="254" w:name="fig-regret-cdf"/>
          <w:p>
            <w:pPr>
              <w:pStyle w:val="Compact"/>
              <w:jc w:val="center"/>
            </w:pPr>
            <w:r>
              <w:drawing>
                <wp:inline>
                  <wp:extent cx="5334000" cy="2175880"/>
                  <wp:effectExtent b="0" l="0" r="0" t="0"/>
                  <wp:docPr descr="" title="" id="252" name="Picture"/>
                  <a:graphic>
                    <a:graphicData uri="http://schemas.openxmlformats.org/drawingml/2006/picture">
                      <pic:pic>
                        <pic:nvPicPr>
                          <pic:cNvPr descr="manuscript/../assets/figures/fig6_4_regret_cdf_and_cost_difference.png" id="253" name="Picture"/>
                          <pic:cNvPicPr>
                            <a:picLocks noChangeArrowheads="1" noChangeAspect="1"/>
                          </pic:cNvPicPr>
                        </pic:nvPicPr>
                        <pic:blipFill>
                          <a:blip r:embed="rId251"/>
                          <a:stretch>
                            <a:fillRect/>
                          </a:stretch>
                        </pic:blipFill>
                        <pic:spPr bwMode="auto">
                          <a:xfrm>
                            <a:off x="0" y="0"/>
                            <a:ext cx="5334000" cy="2175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31.5: Figure 6.4: System-level regret CDF and</w:t>
            </w:r>
            <w:r>
              <w:t xml:space="preserve"> </w:t>
            </w:r>
            <w:r>
              <w:t xml:space="preserve">per-future cost difference — EB vs BB.</w:t>
            </w:r>
          </w:p>
          <w:bookmarkEnd w:id="254"/>
        </w:tc>
      </w:tr>
    </w:tbl>
    <w:p>
      <w:pPr>
        <w:pStyle w:val="BodyText"/>
      </w:pPr>
      <w:r>
        <w:t xml:space="preserve">In 93 of 100 futures, the system-perspective total cost (site operating cost plus annualised upgrade cost) is lower for BB than for EB. The mean annualised upgrade cost for EB is NZD 6.73M/year; for BB it is NZD 5.77M/year. This divergence reflects the infrastructure-conditional cost penalty of EB’s higher peak demand, which exceeds BB’s by 38 MW at the 95th percentile. The private cost advantage of BB (NZD 14.2M/year lower site cost) is reinforced, not reversed, by the system-level perspective. Both dimensions of the comparison favour BB under current conditions.</w:t>
      </w:r>
    </w:p>
    <w:p>
      <w:pPr>
        <w:pStyle w:val="BodyText"/>
      </w:pPr>
      <w:r>
        <w:rPr>
          <w:b/>
          <w:bCs/>
        </w:rPr>
        <w:t xml:space="preserve">Finding 4: Artefact traceability.</w:t>
      </w:r>
      <w:r>
        <w:t xml:space="preserve"> </w:t>
      </w:r>
      <w:r>
        <w:t xml:space="preserve">Every result in Findings 1 through 3 is traceable through the artefact chain: from the DecisionSummaryArtefact through the RDM summaries, the ResultArtefacts, the incremental electricity traces, and the DemandPacks, back to the generating run configurations and the SignalsPack files with their SHA256-verified integrity. No finding depends on an ungovernened calculation or an undeclared assumption.</w:t>
      </w:r>
    </w:p>
    <w:p>
      <w:pPr>
        <w:pStyle w:val="BodyText"/>
      </w:pPr>
      <w:r>
        <w:rPr>
          <w:b/>
          <w:bCs/>
        </w:rPr>
        <w:t xml:space="preserve">Finding 5: Progressive-refinement self-direction.</w:t>
      </w:r>
      <w:r>
        <w:t xml:space="preserve"> </w:t>
      </w:r>
      <w:r>
        <w:t xml:space="preserve">The regret sensitivity diagnostics identify the headroom multiplier and the upgrade capex multiplier as the primary drivers of the EB/BB cost difference across the ensemble. The ETS price multiplier becomes decisive only in futures where BB’s residual biomass combustion emissions (1,610 tCO₂/year) carry a material carbon cost — which at current ETS price levels (NZD 60–90/tCO₂) represents NZD 97,000–145,000/year, too small to reverse the pathway comparison. A significantly higher ETS trajectory would be needed before the carbon-cost dimension materially favoured EB.</w:t>
      </w:r>
    </w:p>
    <w:bookmarkEnd w:id="255"/>
    <w:bookmarkStart w:id="256" w:name="X7c5626f57ca42c90982756e21388f93be1cd37b"/>
    <w:p>
      <w:pPr>
        <w:pStyle w:val="Heading2"/>
      </w:pPr>
      <w:r>
        <w:t xml:space="preserve">31.10 §6.10 What the PoC Does Not Establish and the Refinement Roadmap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§6.10 What the PoC Does Not Establish and the Refinement Roadmap</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§6.9</w:t>
                  </w:r>
                </w:p>
              </w:tc>
            </w:tr>
            <w:tr>
              <w:tc>
                <w:tcPr/>
                <w:p>
                  <w:pPr>
                    <w:pStyle w:val="Compact"/>
                  </w:pPr>
                  <w:r>
                    <w:rPr>
                      <w:b/>
                      <w:bCs/>
                    </w:rPr>
                    <w:t xml:space="preserve">Contributes</w:t>
                  </w:r>
                </w:p>
              </w:tc>
              <w:tc>
                <w:tcPr/>
                <w:p>
                  <w:pPr>
                    <w:pStyle w:val="Compact"/>
                  </w:pPr>
                  <w:r>
                    <w:t xml:space="preserve">Explicit statement of four limitations the PoC does not address, and the four development priorities that would address them in order of decision-relevance</w:t>
                  </w:r>
                </w:p>
              </w:tc>
            </w:tr>
            <w:tr>
              <w:tc>
                <w:tcPr/>
                <w:p>
                  <w:pPr>
                    <w:pStyle w:val="Compact"/>
                  </w:pPr>
                  <w:r>
                    <w:rPr>
                      <w:b/>
                      <w:bCs/>
                    </w:rPr>
                    <w:t xml:space="preserve">Skip condition</w:t>
                  </w:r>
                </w:p>
              </w:tc>
              <w:tc>
                <w:tcPr/>
                <w:p>
                  <w:pPr>
                    <w:pStyle w:val="Compact"/>
                  </w:pPr>
                  <w:r>
                    <w:t xml:space="preserve">Do not skip — these limits define the boundary of the demonstrated claims</w:t>
                  </w:r>
                </w:p>
              </w:tc>
            </w:tr>
            <w:tr>
              <w:tc>
                <w:tcPr/>
                <w:p>
                  <w:pPr>
                    <w:pStyle w:val="Compact"/>
                  </w:pPr>
                  <w:r>
                    <w:rPr>
                      <w:b/>
                      <w:bCs/>
                    </w:rPr>
                    <w:t xml:space="preserve">Passes to</w:t>
                  </w:r>
                </w:p>
              </w:tc>
              <w:tc>
                <w:tcPr/>
                <w:p>
                  <w:pPr>
                    <w:pStyle w:val="Compact"/>
                  </w:pPr>
                  <w:r>
                    <w:t xml:space="preserve">Module 7</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proof of concept does not establish four things, and stating these clearly is as important as stating what it does establish.</w:t>
      </w:r>
    </w:p>
    <w:p>
      <w:pPr>
        <w:pStyle w:val="BodyText"/>
      </w:pPr>
      <w:r>
        <w:t xml:space="preserve">It does not establish that the 2035_BB pathway is the preferred choice at the Edendale facility. The analysis demonstrates that the BB pathway achieves a higher satisficing rate at the reference threshold under the current stylised assessment. It does not account for the strategic, operational, and supply chain considerations that a full investment decision would require: the management complexity of biomass logistics, the carbon accounting risks under a potentially evolving ETS biomass treatment, the Fonterra group’s overall pathway portfolio, or the corporate sustainability reporting environment’s assessment of what constitutes credible decarbonisation. The framework provides a decision-relevant comparison, not a planning recommendation.</w:t>
      </w:r>
    </w:p>
    <w:p>
      <w:pPr>
        <w:pStyle w:val="BodyText"/>
      </w:pPr>
      <w:r>
        <w:t xml:space="preserve">It does not establish that the 24-of-100 binding-headroom finding represents the actual probability of a GXP constraint at the Edendale GXP. The headroom multiplier range in the FutureArtefact ensemble is calibrated to the plausible range described in the RETA assessment and the Module 5 documentation. It is not a probability distribution, and the 24/100 ratio is a satisficing count across a structured exploration, not a frequentist probability estimate. Its meaning is: under this range of conditions, this fraction of the conditions explored produces a binding hourly headroom constraint.</w:t>
      </w:r>
    </w:p>
    <w:p>
      <w:pPr>
        <w:pStyle w:val="BodyText"/>
      </w:pPr>
      <w:r>
        <w:t xml:space="preserve">It does not establish that the infrastructure cost estimates in the upgrade menu are reliable engineering estimates for the specific Southland transmission context. They are screening-level estimates drawn from published indicative upgrade cost ranges. A genuine investment decision would require a Transpower or PowerNet connection assessment with site-specific engineering and commercial terms.</w:t>
      </w:r>
    </w:p>
    <w:p>
      <w:pPr>
        <w:pStyle w:val="BodyText"/>
      </w:pPr>
      <w:r>
        <w:t xml:space="preserve">It does not establish that the one-pass coupling architecture produces the same pathway preference ranking as a full iterative coupling. The declared limitation in §6.1 means that the site cost estimates in grid-exceedance futures are computed without the upgrade cost adder affecting the dispatch optimisation. A full iterative coupling might produce different dispatch quantities in those futures as the site operator responds to the modified effective tariff.</w:t>
      </w:r>
    </w:p>
    <w:p>
      <w:pPr>
        <w:pStyle w:val="BodyText"/>
      </w:pPr>
      <w:r>
        <w:t xml:space="preserve">The refinement roadmap. Four development priorities would address these four limitations in order of decision-relevance. The first priority is a higher-fidelity regional module, replacing the stylised screening with a PyPSA-based assessment or its ML surrogate, as specified in SM-6.6-E. This would directly address the third and fourth limitations and would substantially improve the confidence of the headroom assessment. The second priority is iterative coupling through a two-pass architecture in which the upgrade cost adder from the regional assessment is passed back to the site dispatch module as a tariff input for a second dispatch run. This would address the fourth limitation and close the gap between the one-pass assessment and the system-level regret derivation of SM-4.4-A. The third priority is measured DemandPack calibration: replacing the synthetic profiles with measured EMS data from the Edendale facility would address the second declared limitation and improve the temporal fidelity of the GXP peak demand assessment. The fourth priority is ensemble expansion to 500 or 1,000 futures using a trained ML surrogate of the regional module, making statistically meaningful PRIM-based scenario discovery and vulnerability mapping feasible with the methods specified in SM-2.4-A.</w:t>
      </w:r>
    </w:p>
    <w:bookmarkEnd w:id="256"/>
    <w:bookmarkEnd w:id="257"/>
    <w:bookmarkStart w:id="259" w:name="sub-module-6.2-a"/>
    <w:p>
      <w:pPr>
        <w:pStyle w:val="Heading1"/>
      </w:pPr>
      <w:r>
        <w:t xml:space="preserve">32. Sub-Module 6.2-A</w:t>
      </w:r>
    </w:p>
    <w:p>
      <w:pPr>
        <w:pStyle w:val="FirstParagraph"/>
      </w:pPr>
      <w:r>
        <w:t xml:space="preserve">PoC Pipeline, Commands and Run-Bundle Conventions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SM-6.2-A: PoC Pipeline, Commands and Run-Bundle Conventions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w:t>
                  </w:r>
                </w:p>
              </w:tc>
            </w:tr>
            <w:tr>
              <w:tc>
                <w:tcPr/>
                <w:p>
                  <w:pPr>
                    <w:pStyle w:val="Compact"/>
                  </w:pPr>
                  <w:r>
                    <w:rPr>
                      <w:b/>
                      <w:bCs/>
                    </w:rPr>
                    <w:t xml:space="preserve">Contributes</w:t>
                  </w:r>
                </w:p>
              </w:tc>
              <w:tc>
                <w:tcPr/>
                <w:p>
                  <w:pPr>
                    <w:pStyle w:val="Compact"/>
                  </w:pPr>
                  <w:r>
                    <w:t xml:space="preserve">Complete module execution sequence with PowerShell commands, input/output conventions, ensemble scaling workflow, and acceptance checklist</w:t>
                  </w:r>
                </w:p>
              </w:tc>
            </w:tr>
            <w:tr>
              <w:tc>
                <w:tcPr/>
                <w:p>
                  <w:pPr>
                    <w:pStyle w:val="Compact"/>
                  </w:pPr>
                  <w:r>
                    <w:rPr>
                      <w:b/>
                      <w:bCs/>
                    </w:rPr>
                    <w:t xml:space="preserve">Skip condition</w:t>
                  </w:r>
                </w:p>
              </w:tc>
              <w:tc>
                <w:tcPr/>
                <w:p>
                  <w:pPr>
                    <w:pStyle w:val="Compact"/>
                  </w:pPr>
                  <w:r>
                    <w:t xml:space="preserve">Skip for results reading; process when replicating or extending the pipeline</w:t>
                  </w:r>
                </w:p>
              </w:tc>
            </w:tr>
            <w:tr>
              <w:tc>
                <w:tcPr/>
                <w:p>
                  <w:pPr>
                    <w:pStyle w:val="Compact"/>
                  </w:pPr>
                  <w:r>
                    <w:rPr>
                      <w:b/>
                      <w:bCs/>
                    </w:rPr>
                    <w:t xml:space="preserve">Passes to</w:t>
                  </w:r>
                </w:p>
              </w:tc>
              <w:tc>
                <w:tcPr/>
                <w:p>
                  <w:pPr>
                    <w:pStyle w:val="Compact"/>
                  </w:pPr>
                  <w:r>
                    <w:t xml:space="preserve">§6.3 through §6.8</w:t>
                  </w:r>
                </w:p>
              </w:tc>
            </w:tr>
            <w:tr>
              <w:tc>
                <w:tcPr/>
                <w:p>
                  <w:pPr>
                    <w:pStyle w:val="Compact"/>
                  </w:pPr>
                  <w:r>
                    <w:rPr>
                      <w:b/>
                      <w:bCs/>
                    </w:rPr>
                    <w:t xml:space="preserve">Sub-Modules here</w:t>
                  </w:r>
                </w:p>
              </w:tc>
              <w:tc>
                <w:tcPr/>
                <w:p>
                  <w:pPr>
                    <w:pStyle w:val="Compact"/>
                  </w:pPr>
                  <w:r>
                    <w:t xml:space="preserve">None</w:t>
                  </w:r>
                </w:p>
              </w:tc>
            </w:tr>
          </w:tbl>
          <w:p/>
        </w:tc>
      </w:tr>
    </w:tbl>
    <w:bookmarkStart w:id="258" w:name="X666e2f1f592154b2c897271d3e87ecd3d3797a9"/>
    <w:p>
      <w:pPr>
        <w:pStyle w:val="Heading2"/>
      </w:pPr>
      <w:r>
        <w:t xml:space="preserve">32.1 SM-6.2-A: PoC Pipeline, Commands and Run-Bundle Conventions</w:t>
      </w:r>
    </w:p>
    <w:p>
      <w:pPr>
        <w:pStyle w:val="FirstParagraph"/>
      </w:pPr>
      <w:r>
        <w:t xml:space="preserve">Step 1: DemandPack construction</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generate_demandpack</w:t>
      </w:r>
      <w:r>
        <w:rPr>
          <w:rStyle w:val="NormalTok"/>
        </w:rPr>
        <w:t xml:space="preserve"> </w:t>
      </w:r>
      <w:r>
        <w:rPr>
          <w:rStyle w:val="OperatorTok"/>
        </w:rPr>
        <w:t xml:space="preserve">--</w:t>
      </w:r>
      <w:r>
        <w:rPr>
          <w:rStyle w:val="NormalTok"/>
        </w:rPr>
        <w:t xml:space="preserve">epoch-tag 2035_EB </w:t>
      </w:r>
      <w:r>
        <w:rPr>
          <w:rStyle w:val="OperatorTok"/>
        </w:rPr>
        <w:t xml:space="preserve">--</w:t>
      </w:r>
      <w:r>
        <w:rPr>
          <w:rStyle w:val="NormalTok"/>
        </w:rPr>
        <w:t xml:space="preserve">outdir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generate_demandpack</w:t>
      </w:r>
      <w:r>
        <w:rPr>
          <w:rStyle w:val="NormalTok"/>
        </w:rPr>
        <w:t xml:space="preserve"> </w:t>
      </w:r>
      <w:r>
        <w:rPr>
          <w:rStyle w:val="OperatorTok"/>
        </w:rPr>
        <w:t xml:space="preserve">--</w:t>
      </w:r>
      <w:r>
        <w:rPr>
          <w:rStyle w:val="NormalTok"/>
        </w:rPr>
        <w:t xml:space="preserve">epoch-tag 2035_BB </w:t>
      </w:r>
      <w:r>
        <w:rPr>
          <w:rStyle w:val="OperatorTok"/>
        </w:rPr>
        <w:t xml:space="preserve">--</w:t>
      </w:r>
      <w:r>
        <w:rPr>
          <w:rStyle w:val="NormalTok"/>
        </w:rPr>
        <w:t xml:space="preserve">outdir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epoch2035_BB</w:t>
      </w:r>
      <w:r>
        <w:rPr>
          <w:rStyle w:val="OperatorTok"/>
        </w:rPr>
        <w:t xml:space="preserve">/</w:t>
      </w:r>
    </w:p>
    <w:p>
      <w:pPr>
        <w:pStyle w:val="FirstParagraph"/>
      </w:pPr>
      <w:r>
        <w:t xml:space="preserve">Produces staged hourly demand CSVs accepted by the site dispatch module. Verify output: annual_total_mwh field within 0.5 percent of the declared annual total.</w:t>
      </w:r>
    </w:p>
    <w:p>
      <w:pPr>
        <w:pStyle w:val="BodyText"/>
      </w:pPr>
      <w:r>
        <w:t xml:space="preserve">Step 2: Site dispatch (proportional mode)</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site_dispatch_2020</w:t>
      </w:r>
      <w:r>
        <w:rPr>
          <w:rStyle w:val="NormalTok"/>
        </w:rPr>
        <w:t xml:space="preserve"> </w:t>
      </w:r>
      <w:r>
        <w:rPr>
          <w:rStyle w:val="OperatorTok"/>
        </w:rPr>
        <w:t xml:space="preserve">--</w:t>
      </w:r>
      <w:r>
        <w:rPr>
          <w:rStyle w:val="NormalTok"/>
        </w:rPr>
        <w:t xml:space="preserve">epoch 2035_EB </w:t>
      </w:r>
      <w:r>
        <w:rPr>
          <w:rStyle w:val="OperatorTok"/>
        </w:rPr>
        <w:t xml:space="preserve">--</w:t>
      </w:r>
      <w:r>
        <w:rPr>
          <w:rStyle w:val="NormalTok"/>
        </w:rPr>
        <w:t xml:space="preserve">mode proportional `</w:t>
      </w:r>
      <w:r>
        <w:br/>
      </w:r>
      <w:r>
        <w:rPr>
          <w:rStyle w:val="NormalTok"/>
        </w:rPr>
        <w:t xml:space="preserve">  </w:t>
      </w:r>
      <w:r>
        <w:rPr>
          <w:rStyle w:val="OperatorTok"/>
        </w:rPr>
        <w:t xml:space="preserve">--</w:t>
      </w:r>
      <w:r>
        <w:rPr>
          <w:rStyle w:val="NormalTok"/>
        </w:rPr>
        <w:t xml:space="preserve">demand-csv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rPr>
          <w:rStyle w:val="NormalTok"/>
        </w:rPr>
        <w:t xml:space="preserve">demand_staged</w:t>
      </w:r>
      <w:r>
        <w:rPr>
          <w:rStyle w:val="OperatorTok"/>
        </w:rPr>
        <w:t xml:space="preserve">.</w:t>
      </w:r>
      <w:r>
        <w:rPr>
          <w:rStyle w:val="FunctionTok"/>
        </w:rPr>
        <w:t xml:space="preserve">csv</w:t>
      </w:r>
      <w:r>
        <w:rPr>
          <w:rStyle w:val="NormalTok"/>
        </w:rPr>
        <w:t xml:space="preserve"> `</w:t>
      </w:r>
      <w:r>
        <w:br/>
      </w:r>
      <w:r>
        <w:rPr>
          <w:rStyle w:val="NormalTok"/>
        </w:rPr>
        <w:t xml:space="preserve">  </w:t>
      </w:r>
      <w:r>
        <w:rPr>
          <w:rStyle w:val="OperatorTok"/>
        </w:rPr>
        <w:t xml:space="preserve">--</w:t>
      </w:r>
      <w:r>
        <w:rPr>
          <w:rStyle w:val="NormalTok"/>
        </w:rPr>
        <w:t xml:space="preserve">output-root Output </w:t>
      </w:r>
      <w:r>
        <w:rPr>
          <w:rStyle w:val="OperatorTok"/>
        </w:rPr>
        <w:t xml:space="preserve">--</w:t>
      </w:r>
      <w:r>
        <w:rPr>
          <w:rStyle w:val="NormalTok"/>
        </w:rPr>
        <w:t xml:space="preserve">run-id </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rPr>
          <w:rStyle w:val="NormalTok"/>
        </w:rPr>
        <w:t xml:space="preserve">dispatch_prop_v2_capfix1</w:t>
      </w:r>
    </w:p>
    <w:p>
      <w:pPr>
        <w:pStyle w:val="FirstParagraph"/>
      </w:pPr>
      <w:r>
        <w:t xml:space="preserve">Repeat for 2035_BB. Produces site_dispatch_2035_EB_summary.csv and incremental_electricity_MW_2035_EB.csv in the signals/ subfolder.</w:t>
      </w:r>
    </w:p>
    <w:p>
      <w:pPr>
        <w:pStyle w:val="BodyText"/>
      </w:pPr>
      <w:r>
        <w:t xml:space="preserve">Step 3: Futures template (first time or when scaling)</w:t>
      </w:r>
    </w:p>
    <w:p>
      <w:pPr>
        <w:pStyle w:val="SourceCode"/>
      </w:pPr>
      <w:r>
        <w:rPr>
          <w:rStyle w:val="CommentTok"/>
        </w:rPr>
        <w:t xml:space="preserve"># Generate 100 paired futures (recommended for thesis PoC)</w:t>
      </w:r>
      <w:r>
        <w:br/>
      </w:r>
      <w:r>
        <w:rPr>
          <w:rStyle w:val="NormalTok"/>
        </w:rPr>
        <w:t xml:space="preserve">python scripts</w:t>
      </w:r>
      <w:r>
        <w:rPr>
          <w:rStyle w:val="OperatorTok"/>
        </w:rPr>
        <w:t xml:space="preserve">/</w:t>
      </w:r>
      <w:r>
        <w:rPr>
          <w:rStyle w:val="NormalTok"/>
        </w:rPr>
        <w:t xml:space="preserve">generate_futures_2035</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n </w:t>
      </w:r>
      <w:r>
        <w:rPr>
          <w:rStyle w:val="DecValTok"/>
        </w:rPr>
        <w:t xml:space="preserve">100</w:t>
      </w:r>
      <w:r>
        <w:rPr>
          <w:rStyle w:val="NormalTok"/>
        </w:rPr>
        <w:t xml:space="preserve"> </w:t>
      </w:r>
      <w:r>
        <w:rPr>
          <w:rStyle w:val="OperatorTok"/>
        </w:rPr>
        <w:t xml:space="preserve">--</w:t>
      </w:r>
      <w:r>
        <w:rPr>
          <w:rStyle w:val="NormalTok"/>
        </w:rPr>
        <w:t xml:space="preserve">seed </w:t>
      </w:r>
      <w:r>
        <w:rPr>
          <w:rStyle w:val="DecValTok"/>
        </w:rPr>
        <w:t xml:space="preserve">42</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"Input/rdm/futures_2035.csv"</w:t>
      </w:r>
      <w:r>
        <w:br/>
      </w:r>
      <w:r>
        <w:br/>
      </w:r>
      <w:r>
        <w:rPr>
          <w:rStyle w:val="CommentTok"/>
        </w:rPr>
        <w:t xml:space="preserve"># Validate</w:t>
      </w:r>
      <w:r>
        <w:br/>
      </w:r>
      <w:r>
        <w:rPr>
          <w:rStyle w:val="NormalTok"/>
        </w:rPr>
        <w:t xml:space="preserve">python scripts</w:t>
      </w:r>
      <w:r>
        <w:rPr>
          <w:rStyle w:val="OperatorTok"/>
        </w:rPr>
        <w:t xml:space="preserve">/</w:t>
      </w:r>
      <w:r>
        <w:rPr>
          <w:rStyle w:val="NormalTok"/>
        </w:rPr>
        <w:t xml:space="preserve">validate_futures_2035</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csv </w:t>
      </w:r>
      <w:r>
        <w:rPr>
          <w:rStyle w:val="StringTok"/>
        </w:rPr>
        <w:t xml:space="preserve">"Input/rdm/futures_2035.csv"</w:t>
      </w:r>
      <w:r>
        <w:rPr>
          <w:rStyle w:val="NormalTok"/>
        </w:rPr>
        <w:t xml:space="preserve"> </w:t>
      </w:r>
      <w:r>
        <w:rPr>
          <w:rStyle w:val="OperatorTok"/>
        </w:rPr>
        <w:t xml:space="preserve">--</w:t>
      </w:r>
      <w:r>
        <w:rPr>
          <w:rStyle w:val="NormalTok"/>
        </w:rPr>
        <w:t xml:space="preserve">n </w:t>
      </w:r>
      <w:r>
        <w:rPr>
          <w:rStyle w:val="DecValTok"/>
        </w:rPr>
        <w:t xml:space="preserve">100</w:t>
      </w:r>
    </w:p>
    <w:p>
      <w:pPr>
        <w:pStyle w:val="FirstParagraph"/>
      </w:pPr>
      <w:r>
        <w:t xml:space="preserve">Anchor futures 0 to 20 are preserved exactly. Futures 21 to 99 use Latin Hypercube Sampling across continuous driver dimensions and weighted discrete sampling for VOLL.</w:t>
      </w:r>
    </w:p>
    <w:p>
      <w:pPr>
        <w:pStyle w:val="BodyText"/>
      </w:pPr>
      <w:r>
        <w:t xml:space="preserve">Step 4: Grid RDM screening</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run_rdm_2035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epoch-tag 2035_EB `</w:t>
      </w:r>
      <w:r>
        <w:br/>
      </w:r>
      <w:r>
        <w:rPr>
          <w:rStyle w:val="NormalTok"/>
        </w:rPr>
        <w:t xml:space="preserve">  </w:t>
      </w:r>
      <w:r>
        <w:rPr>
          <w:rStyle w:val="OperatorTok"/>
        </w:rPr>
        <w:t xml:space="preserve">--</w:t>
      </w:r>
      <w:r>
        <w:rPr>
          <w:rStyle w:val="NormalTok"/>
        </w:rPr>
        <w:t xml:space="preserve">futures-csv </w:t>
      </w:r>
      <w:r>
        <w:rPr>
          <w:rStyle w:val="StringTok"/>
        </w:rPr>
        <w:t xml:space="preserve">"Input/rdm/futures_2035.csv"</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run_rdm_2035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epoch-tag 2035_BB `</w:t>
      </w:r>
      <w:r>
        <w:br/>
      </w:r>
      <w:r>
        <w:rPr>
          <w:rStyle w:val="NormalTok"/>
        </w:rPr>
        <w:t xml:space="preserve">  </w:t>
      </w:r>
      <w:r>
        <w:rPr>
          <w:rStyle w:val="OperatorTok"/>
        </w:rPr>
        <w:t xml:space="preserve">--</w:t>
      </w:r>
      <w:r>
        <w:rPr>
          <w:rStyle w:val="NormalTok"/>
        </w:rPr>
        <w:t xml:space="preserve">futures-csv </w:t>
      </w:r>
      <w:r>
        <w:rPr>
          <w:rStyle w:val="StringTok"/>
        </w:rPr>
        <w:t xml:space="preserve">"Input/rdm/futures_2035.csv"</w:t>
      </w:r>
    </w:p>
    <w:p>
      <w:pPr>
        <w:pStyle w:val="FirstParagraph"/>
      </w:pPr>
      <w:r>
        <w:t xml:space="preserve">Both runs must reference the same futures_2035.csv to enforce the paired-futures contract. Produces rdm_summary_2035_EB.csv and rdm_summary_2035_BB.csv in Output/runs/</w:t>
      </w:r>
      <w:r>
        <w:t xml:space="preserve">/rdm/.</w:t>
      </w:r>
    </w:p>
    <w:p>
      <w:pPr>
        <w:pStyle w:val="BodyText"/>
      </w:pPr>
      <w:r>
        <w:t xml:space="preserve">Step 5: Site decision robustness overlay</w:t>
      </w:r>
    </w:p>
    <w:p>
      <w:pPr>
        <w:pStyle w:val="SourceCode"/>
      </w:pPr>
      <w:r>
        <w:rPr>
          <w:rStyle w:val="CommentTok"/>
        </w:rPr>
        <w:t xml:space="preserve"># Initialise canonical futures.csv with site multipliers</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init-futures-multipliers</w:t>
      </w:r>
      <w:r>
        <w:br/>
      </w:r>
      <w:r>
        <w:br/>
      </w:r>
      <w:r>
        <w:rPr>
          <w:rStyle w:val="CommentTok"/>
        </w:rPr>
        <w:t xml:space="preserve"># Validate setup</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validate-only</w:t>
      </w:r>
      <w:r>
        <w:br/>
      </w:r>
      <w:r>
        <w:br/>
      </w:r>
      <w:r>
        <w:rPr>
          <w:rStyle w:val="CommentTok"/>
        </w:rPr>
        <w:t xml:space="preserve"># Generate overlay</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epoch-eb 2035_EB </w:t>
      </w:r>
      <w:r>
        <w:rPr>
          <w:rStyle w:val="OperatorTok"/>
        </w:rPr>
        <w:t xml:space="preserve">--</w:t>
      </w:r>
      <w:r>
        <w:rPr>
          <w:rStyle w:val="NormalTok"/>
        </w:rPr>
        <w:t xml:space="preserve">epoch-bb 2035_BB</w:t>
      </w:r>
    </w:p>
    <w:p>
      <w:pPr>
        <w:pStyle w:val="FirstParagraph"/>
      </w:pPr>
      <w:r>
        <w:t xml:space="preserve">Step 6: Pathway comparison</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compare_pathways_2035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p>
    <w:p>
      <w:pPr>
        <w:pStyle w:val="FirstParagraph"/>
      </w:pPr>
      <w:r>
        <w:t xml:space="preserve">Produces compare_2035_EB_vs_BB.csv and compare_2035_EB_vs_BB.md in Output/runs/</w:t>
      </w:r>
      <w:r>
        <w:t xml:space="preserve">/compare/.</w:t>
      </w:r>
    </w:p>
    <w:p>
      <w:pPr>
        <w:pStyle w:val="BodyText"/>
      </w:pPr>
      <w:r>
        <w:t xml:space="preserve">Acceptance checklist</w:t>
      </w:r>
    </w:p>
    <w:p>
      <w:pPr>
        <w:pStyle w:val="BodyText"/>
      </w:pPr>
      <w:r>
        <w:t xml:space="preserve">All items below must be verified before the bundle is considered release-ready:</w:t>
      </w:r>
    </w:p>
    <w:p>
      <w:pPr>
        <w:pStyle w:val="Compact"/>
        <w:numPr>
          <w:ilvl w:val="0"/>
          <w:numId w:val="1001"/>
        </w:numPr>
      </w:pPr>
      <w:r>
        <w:t xml:space="preserve">All dispatch summaries exist for 2035_EB and 2035_BB</w:t>
      </w:r>
    </w:p>
    <w:p>
      <w:pPr>
        <w:pStyle w:val="Compact"/>
        <w:numPr>
          <w:ilvl w:val="0"/>
          <w:numId w:val="1001"/>
        </w:numPr>
      </w:pPr>
      <w:r>
        <w:t xml:space="preserve">All incremental electricity CSVs exist in signals/ folders</w:t>
      </w:r>
    </w:p>
    <w:p>
      <w:pPr>
        <w:pStyle w:val="Compact"/>
        <w:numPr>
          <w:ilvl w:val="0"/>
          <w:numId w:val="1001"/>
        </w:numPr>
      </w:pPr>
      <w:r>
        <w:t xml:space="preserve">RDM summaries exist for both 2035_EB and 2035_BB</w:t>
      </w:r>
    </w:p>
    <w:p>
      <w:pPr>
        <w:pStyle w:val="Compact"/>
        <w:numPr>
          <w:ilvl w:val="0"/>
          <w:numId w:val="1001"/>
        </w:numPr>
      </w:pPr>
      <w:r>
        <w:t xml:space="preserve">Paired futures: EB and BB RDM summaries use identical future_id sets</w:t>
      </w:r>
    </w:p>
    <w:p>
      <w:pPr>
        <w:pStyle w:val="Compact"/>
        <w:numPr>
          <w:ilvl w:val="0"/>
          <w:numId w:val="1001"/>
        </w:numPr>
      </w:pPr>
      <w:r>
        <w:t xml:space="preserve">No unacceptable unserved energy: annual_unserved_MWh equals zero or within declared tolerance</w:t>
      </w:r>
    </w:p>
    <w:p>
      <w:pPr>
        <w:pStyle w:val="Compact"/>
        <w:numPr>
          <w:ilvl w:val="0"/>
          <w:numId w:val="1001"/>
        </w:numPr>
      </w:pPr>
      <w:r>
        <w:t xml:space="preserve">Pathway comparison CSV and MD exist</w:t>
      </w:r>
    </w:p>
    <w:p>
      <w:pPr>
        <w:pStyle w:val="Compact"/>
        <w:numPr>
          <w:ilvl w:val="0"/>
          <w:numId w:val="1001"/>
        </w:numPr>
      </w:pPr>
      <w:r>
        <w:t xml:space="preserve">Overlay outputs exist: site_decision_robustness_summary_2035.csv</w:t>
      </w:r>
    </w:p>
    <w:p>
      <w:pPr>
        <w:pStyle w:val="Compact"/>
        <w:numPr>
          <w:ilvl w:val="0"/>
          <w:numId w:val="1001"/>
        </w:numPr>
      </w:pPr>
      <w:r>
        <w:t xml:space="preserve">SHA256 hash verification passes for all SignalsPack files</w:t>
      </w:r>
    </w:p>
    <w:bookmarkEnd w:id="258"/>
    <w:bookmarkEnd w:id="259"/>
    <w:bookmarkStart w:id="261" w:name="sub-module-6.3-b"/>
    <w:p>
      <w:pPr>
        <w:pStyle w:val="Heading1"/>
      </w:pPr>
      <w:r>
        <w:t xml:space="preserve">33. Sub-Module 6.3-B</w:t>
      </w:r>
    </w:p>
    <w:p>
      <w:pPr>
        <w:pStyle w:val="FirstParagraph"/>
      </w:pPr>
      <w:r>
        <w:t xml:space="preserve">DemandPack Generation Methods, Technical Specification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SM-6.3-B: DemandPack Generation Methods, Technical Specification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§6.3</w:t>
                  </w:r>
                </w:p>
              </w:tc>
            </w:tr>
            <w:tr>
              <w:tc>
                <w:tcPr/>
                <w:p>
                  <w:pPr>
                    <w:pStyle w:val="Compact"/>
                  </w:pPr>
                  <w:r>
                    <w:rPr>
                      <w:b/>
                      <w:bCs/>
                    </w:rPr>
                    <w:t xml:space="preserve">Contributes</w:t>
                  </w:r>
                </w:p>
              </w:tc>
              <w:tc>
                <w:tcPr/>
                <w:p>
                  <w:pPr>
                    <w:pStyle w:val="Compact"/>
                  </w:pPr>
                  <w:r>
                    <w:t xml:space="preserve">Construction algorithm, seasonal decomposition, calibration targets, stochastic variability specification, and diagnostic figure descriptions</w:t>
                  </w:r>
                </w:p>
              </w:tc>
            </w:tr>
            <w:tr>
              <w:tc>
                <w:tcPr/>
                <w:p>
                  <w:pPr>
                    <w:pStyle w:val="Compact"/>
                  </w:pPr>
                  <w:r>
                    <w:rPr>
                      <w:b/>
                      <w:bCs/>
                    </w:rPr>
                    <w:t xml:space="preserve">Skip condition</w:t>
                  </w:r>
                </w:p>
              </w:tc>
              <w:tc>
                <w:tcPr/>
                <w:p>
                  <w:pPr>
                    <w:pStyle w:val="Compact"/>
                  </w:pPr>
                  <w:r>
                    <w:t xml:space="preserve">Skip unless reproducing or validating DemandPack construction</w:t>
                  </w:r>
                </w:p>
              </w:tc>
            </w:tr>
            <w:tr>
              <w:tc>
                <w:tcPr/>
                <w:p>
                  <w:pPr>
                    <w:pStyle w:val="Compact"/>
                  </w:pPr>
                  <w:r>
                    <w:rPr>
                      <w:b/>
                      <w:bCs/>
                    </w:rPr>
                    <w:t xml:space="preserve">Passes to</w:t>
                  </w:r>
                </w:p>
              </w:tc>
              <w:tc>
                <w:tcPr/>
                <w:p>
                  <w:pPr>
                    <w:pStyle w:val="Compact"/>
                  </w:pPr>
                  <w:r>
                    <w:t xml:space="preserve">§6.4</w:t>
                  </w:r>
                </w:p>
              </w:tc>
            </w:tr>
            <w:tr>
              <w:tc>
                <w:tcPr/>
                <w:p>
                  <w:pPr>
                    <w:pStyle w:val="Compact"/>
                  </w:pPr>
                  <w:r>
                    <w:rPr>
                      <w:b/>
                      <w:bCs/>
                    </w:rPr>
                    <w:t xml:space="preserve">Sub-Modules here</w:t>
                  </w:r>
                </w:p>
              </w:tc>
              <w:tc>
                <w:tcPr/>
                <w:p>
                  <w:pPr>
                    <w:pStyle w:val="Compact"/>
                  </w:pPr>
                  <w:r>
                    <w:t xml:space="preserve">None</w:t>
                  </w:r>
                </w:p>
              </w:tc>
            </w:tr>
          </w:tbl>
          <w:p/>
        </w:tc>
      </w:tr>
    </w:tbl>
    <w:bookmarkStart w:id="260" w:name="X93c9eb8850fc71d5564b59a0d2547d7b3a6378d"/>
    <w:p>
      <w:pPr>
        <w:pStyle w:val="Heading2"/>
      </w:pPr>
      <w:r>
        <w:t xml:space="preserve">33.1 SM-6.3-B: DemandPack Generation Methods, Technical Specification</w:t>
      </w:r>
    </w:p>
    <w:p>
      <w:pPr>
        <w:pStyle w:val="FirstParagraph"/>
      </w:pPr>
      <w:r>
        <w:t xml:space="preserve">Construction algorithm. The DemandPack construction algorithm proceeds in four stages. The first stage sets the annual total heat demand for the epoch from the RETA-calibrated reference value, adjusted for any pathway-specific efficiency assumptions. The second stage applies a seasonal decomposition that allocates the annual total across months according to the dairy processing season: the Southland dairy processing year concentrates milk intake and therefore steam demand in the winter months, with milk production typically peaking between April and August and the processing season extending from June through October. The monthly fractions are derived from publicly available Fonterra production statistics and are held constant across futures for a given epoch.</w:t>
      </w:r>
    </w:p>
    <w:p>
      <w:pPr>
        <w:pStyle w:val="BodyText"/>
      </w:pPr>
      <w:r>
        <w:t xml:space="preserve">The third stage applies a diurnal profile within each month, reflecting the operating schedule of a large dairy processing facility: production typically runs on two 12-hour shifts per weekday, with reduced operation at weekends and during maintenance windows. The diurnal decomposition uses separate weekday and weekend profiles for summer, shoulder, and winter seasons, producing six diurnal profile templates from which the full hourly series is assembled. The fourth stage applies stochastic variability around the deterministic profile using a calibrated noise model that adds realistic hour-to-hour variability while preserving the daily and seasonal patterns and the annual total within the 0.5 percent closure tolerance.</w:t>
      </w:r>
    </w:p>
    <w:p>
      <w:pPr>
        <w:pStyle w:val="BodyText"/>
      </w:pPr>
      <w:r>
        <w:t xml:space="preserve">Calibration targets. The primary calibration target is the annual heat demand per epoch, derived from the RETA Southland assessment. Secondary calibration targets include the winter-peak heat demand, used to scale the GXP peak incremental demand in the IncrementalElectricityPack, and the load factor, the ratio of annual average demand to peak demand, which determines the temporal concentration of the grid interface signal.</w:t>
      </w:r>
    </w:p>
    <w:p>
      <w:pPr>
        <w:pStyle w:val="BodyText"/>
      </w:pPr>
      <w:r>
        <w:t xml:space="preserve">Diagnostic figures. The DemandPack construction module generates five diagnostic figures for each epoch: the annual hourly time series, the load duration curve, the average diurnal profile by season, the monthly totals bar chart, and the heatmap of average demand by day of week and hour of day. These figures are stored with the DemandPack artefact and are referenced in the ValidationArtefact as visual acceptance evidence.</w:t>
      </w:r>
    </w:p>
    <w:bookmarkEnd w:id="260"/>
    <w:bookmarkEnd w:id="261"/>
    <w:bookmarkStart w:id="267" w:name="sub-module-6.4-c"/>
    <w:p>
      <w:pPr>
        <w:pStyle w:val="Heading1"/>
      </w:pPr>
      <w:r>
        <w:t xml:space="preserve">34. Sub-Module 6.4-C</w:t>
      </w:r>
    </w:p>
    <w:p>
      <w:pPr>
        <w:pStyle w:val="FirstParagraph"/>
      </w:pPr>
      <w:r>
        <w:t xml:space="preserve">Site Module Interface Contract and Schema Tables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SM-6.4-C: Site Module Interface Contract and Schema Tables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§6.4, Module 3 SM-3.5-A</w:t>
                  </w:r>
                </w:p>
              </w:tc>
            </w:tr>
            <w:tr>
              <w:tc>
                <w:tcPr/>
                <w:p>
                  <w:pPr>
                    <w:pStyle w:val="Compact"/>
                  </w:pPr>
                  <w:r>
                    <w:rPr>
                      <w:b/>
                      <w:bCs/>
                    </w:rPr>
                    <w:t xml:space="preserve">Contributes</w:t>
                  </w:r>
                </w:p>
              </w:tc>
              <w:tc>
                <w:tcPr/>
                <w:p>
                  <w:pPr>
                    <w:pStyle w:val="Compact"/>
                  </w:pPr>
                  <w:r>
                    <w:t xml:space="preserve">Complete schema tables for all artefacts produced and consumed by the site dispatch module</w:t>
                  </w:r>
                </w:p>
              </w:tc>
            </w:tr>
            <w:tr>
              <w:tc>
                <w:tcPr/>
                <w:p>
                  <w:pPr>
                    <w:pStyle w:val="Compact"/>
                  </w:pPr>
                  <w:r>
                    <w:rPr>
                      <w:b/>
                      <w:bCs/>
                    </w:rPr>
                    <w:t xml:space="preserve">Skip condition</w:t>
                  </w:r>
                </w:p>
              </w:tc>
              <w:tc>
                <w:tcPr/>
                <w:p>
                  <w:pPr>
                    <w:pStyle w:val="Compact"/>
                  </w:pPr>
                  <w:r>
                    <w:t xml:space="preserve">Skip for results reading; process when implementing or verifying module compliance</w:t>
                  </w:r>
                </w:p>
              </w:tc>
            </w:tr>
            <w:tr>
              <w:tc>
                <w:tcPr/>
                <w:p>
                  <w:pPr>
                    <w:pStyle w:val="Compact"/>
                  </w:pPr>
                  <w:r>
                    <w:rPr>
                      <w:b/>
                      <w:bCs/>
                    </w:rPr>
                    <w:t xml:space="preserve">Passes to</w:t>
                  </w:r>
                </w:p>
              </w:tc>
              <w:tc>
                <w:tcPr/>
                <w:p>
                  <w:pPr>
                    <w:pStyle w:val="Compact"/>
                  </w:pPr>
                  <w:r>
                    <w:t xml:space="preserve">§6.5, Module 7</w:t>
                  </w:r>
                </w:p>
              </w:tc>
            </w:tr>
            <w:tr>
              <w:tc>
                <w:tcPr/>
                <w:p>
                  <w:pPr>
                    <w:pStyle w:val="Compact"/>
                  </w:pPr>
                  <w:r>
                    <w:rPr>
                      <w:b/>
                      <w:bCs/>
                    </w:rPr>
                    <w:t xml:space="preserve">Sub-Modules here</w:t>
                  </w:r>
                </w:p>
              </w:tc>
              <w:tc>
                <w:tcPr/>
                <w:p>
                  <w:pPr>
                    <w:pStyle w:val="Compact"/>
                  </w:pPr>
                  <w:r>
                    <w:t xml:space="preserve">None</w:t>
                  </w:r>
                </w:p>
              </w:tc>
            </w:tr>
          </w:tbl>
          <w:p/>
        </w:tc>
      </w:tr>
    </w:tbl>
    <w:bookmarkStart w:id="266" w:name="Xe2a15f6beaf6e10340f26c3ee1eea189ba864eb"/>
    <w:p>
      <w:pPr>
        <w:pStyle w:val="Heading2"/>
      </w:pPr>
      <w:r>
        <w:t xml:space="preserve">34.1 SM-6.4-C: Site Module Interface Contract and Schema Tables</w:t>
      </w:r>
    </w:p>
    <w:bookmarkStart w:id="262" w:name="siteconfigartefact-schema"/>
    <w:p>
      <w:pPr>
        <w:pStyle w:val="Heading3"/>
      </w:pPr>
      <w:r>
        <w:t xml:space="preserve">34.1.1 SiteConfigArtefact Schema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epoch_tag</w:t>
            </w:r>
          </w:p>
        </w:tc>
        <w:tc>
          <w:tcPr/>
          <w:p>
            <w:pPr>
              <w:pStyle w:val="Compact"/>
            </w:pPr>
            <w:r>
              <w:t xml:space="preserve">String</w:t>
            </w:r>
          </w:p>
        </w:tc>
        <w:tc>
          <w:tcPr/>
          <w:p>
            <w:pPr>
              <w:pStyle w:val="Compact"/>
            </w:pPr>
            <w:r>
              <w:t xml:space="preserve">Required</w:t>
            </w:r>
          </w:p>
        </w:tc>
        <w:tc>
          <w:tcPr/>
          <w:p>
            <w:pPr>
              <w:pStyle w:val="Compact"/>
            </w:pPr>
            <w:r>
              <w:t xml:space="preserve">Epoch identifier (e.g.,</w:t>
            </w:r>
            <w:r>
              <w:t xml:space="preserve"> </w:t>
            </w:r>
            <w:r>
              <w:t xml:space="preserve">“2035_EB”</w:t>
            </w:r>
            <w:r>
              <w:t xml:space="preserve">)</w:t>
            </w:r>
          </w:p>
        </w:tc>
      </w:tr>
      <w:tr>
        <w:tc>
          <w:tcPr/>
          <w:p>
            <w:pPr>
              <w:pStyle w:val="Compact"/>
            </w:pPr>
            <w:r>
              <w:t xml:space="preserve">pathway_id</w:t>
            </w:r>
          </w:p>
        </w:tc>
        <w:tc>
          <w:tcPr/>
          <w:p>
            <w:pPr>
              <w:pStyle w:val="Compact"/>
            </w:pPr>
            <w:r>
              <w:t xml:space="preserve">String</w:t>
            </w:r>
          </w:p>
        </w:tc>
        <w:tc>
          <w:tcPr/>
          <w:p>
            <w:pPr>
              <w:pStyle w:val="Compact"/>
            </w:pPr>
            <w:r>
              <w:t xml:space="preserve">Required</w:t>
            </w:r>
          </w:p>
        </w:tc>
        <w:tc>
          <w:tcPr/>
          <w:p>
            <w:pPr>
              <w:pStyle w:val="Compact"/>
            </w:pPr>
            <w:r>
              <w:t xml:space="preserve">Pathway identifier (</w:t>
            </w:r>
            <w:r>
              <w:t xml:space="preserve">“EB”</w:t>
            </w:r>
            <w:r>
              <w:t xml:space="preserve"> </w:t>
            </w:r>
            <w:r>
              <w:t xml:space="preserve">or</w:t>
            </w:r>
            <w:r>
              <w:t xml:space="preserve"> </w:t>
            </w:r>
            <w:r>
              <w:t xml:space="preserve">“BB”</w:t>
            </w:r>
            <w:r>
              <w:t xml:space="preserve">)</w:t>
            </w:r>
          </w:p>
        </w:tc>
      </w:tr>
      <w:tr>
        <w:tc>
          <w:tcPr/>
          <w:p>
            <w:pPr>
              <w:pStyle w:val="Compact"/>
            </w:pPr>
            <w:r>
              <w:t xml:space="preserve">dispatch_mode</w:t>
            </w:r>
          </w:p>
        </w:tc>
        <w:tc>
          <w:tcPr/>
          <w:p>
            <w:pPr>
              <w:pStyle w:val="Compact"/>
            </w:pPr>
            <w:r>
              <w:t xml:space="preserve">Enum</w:t>
            </w:r>
          </w:p>
        </w:tc>
        <w:tc>
          <w:tcPr/>
          <w:p>
            <w:pPr>
              <w:pStyle w:val="Compact"/>
            </w:pPr>
            <w:r>
              <w:t xml:space="preserve">Required</w:t>
            </w:r>
          </w:p>
        </w:tc>
        <w:tc>
          <w:tcPr/>
          <w:p>
            <w:pPr>
              <w:pStyle w:val="Compact"/>
            </w:pPr>
            <w:r>
              <w:t xml:space="preserve">“proportional”</w:t>
            </w:r>
            <w:r>
              <w:t xml:space="preserve"> </w:t>
            </w:r>
            <w:r>
              <w:t xml:space="preserve">or</w:t>
            </w:r>
            <w:r>
              <w:t xml:space="preserve"> </w:t>
            </w:r>
            <w:r>
              <w:t xml:space="preserve">“optimal_subset”</w:t>
            </w:r>
          </w:p>
        </w:tc>
      </w:tr>
      <w:tr>
        <w:tc>
          <w:tcPr/>
          <w:p>
            <w:pPr>
              <w:pStyle w:val="Compact"/>
            </w:pPr>
            <w:r>
              <w:t xml:space="preserve">commitment_block_hours</w:t>
            </w:r>
          </w:p>
        </w:tc>
        <w:tc>
          <w:tcPr/>
          <w:p>
            <w:pPr>
              <w:pStyle w:val="Compact"/>
            </w:pPr>
            <w:r>
              <w:t xml:space="preserve">Integer</w:t>
            </w:r>
          </w:p>
        </w:tc>
        <w:tc>
          <w:tcPr/>
          <w:p>
            <w:pPr>
              <w:pStyle w:val="Compact"/>
            </w:pPr>
            <w:r>
              <w:t xml:space="preserve">Required</w:t>
            </w:r>
          </w:p>
        </w:tc>
        <w:tc>
          <w:tcPr/>
          <w:p>
            <w:pPr>
              <w:pStyle w:val="Compact"/>
            </w:pPr>
            <w:r>
              <w:t xml:space="preserve">Commitment block length for optimal mode (168 for weekly)</w:t>
            </w:r>
          </w:p>
        </w:tc>
      </w:tr>
      <w:tr>
        <w:tc>
          <w:tcPr/>
          <w:p>
            <w:pPr>
              <w:pStyle w:val="Compact"/>
            </w:pPr>
            <w:r>
              <w:t xml:space="preserve">units</w:t>
            </w:r>
          </w:p>
        </w:tc>
        <w:tc>
          <w:tcPr/>
          <w:p>
            <w:pPr>
              <w:pStyle w:val="Compact"/>
            </w:pPr>
            <w:r>
              <w:t xml:space="preserve">List</w:t>
            </w:r>
          </w:p>
        </w:tc>
        <w:tc>
          <w:tcPr/>
          <w:p>
            <w:pPr>
              <w:pStyle w:val="Compact"/>
            </w:pPr>
            <w:r>
              <w:t xml:space="preserve">Required</w:t>
            </w:r>
          </w:p>
        </w:tc>
        <w:tc>
          <w:tcPr/>
          <w:p>
            <w:pPr>
              <w:pStyle w:val="Compact"/>
            </w:pPr>
            <w:r>
              <w:t xml:space="preserve">List of unit configurations (see below)</w:t>
            </w:r>
          </w:p>
        </w:tc>
      </w:tr>
      <w:tr>
        <w:tc>
          <w:tcPr/>
          <w:p>
            <w:pPr>
              <w:pStyle w:val="Compact"/>
            </w:pPr>
            <w:r>
              <w:t xml:space="preserve">carbon_price_nzd_per_tco2</w:t>
            </w:r>
          </w:p>
        </w:tc>
        <w:tc>
          <w:tcPr/>
          <w:p>
            <w:pPr>
              <w:pStyle w:val="Compact"/>
            </w:pPr>
            <w:r>
              <w:t xml:space="preserve">Float</w:t>
            </w:r>
          </w:p>
        </w:tc>
        <w:tc>
          <w:tcPr/>
          <w:p>
            <w:pPr>
              <w:pStyle w:val="Compact"/>
            </w:pPr>
            <w:r>
              <w:t xml:space="preserve">Required</w:t>
            </w:r>
          </w:p>
        </w:tc>
        <w:tc>
          <w:tcPr/>
          <w:p>
            <w:pPr>
              <w:pStyle w:val="Compact"/>
            </w:pPr>
            <w:r>
              <w:t xml:space="preserve">ETS price used for carbon cost computation</w:t>
            </w:r>
          </w:p>
        </w:tc>
      </w:tr>
    </w:tbl>
    <w:bookmarkEnd w:id="262"/>
    <w:bookmarkStart w:id="263" w:name="X0e96554687d6dbc14377d0d0c0aa42deba461f0"/>
    <w:p>
      <w:pPr>
        <w:pStyle w:val="Heading3"/>
      </w:pPr>
      <w:r>
        <w:t xml:space="preserve">34.1.2 Unit Configuration Fields (Within SiteConfigArtefact)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unit_id</w:t>
            </w:r>
          </w:p>
        </w:tc>
        <w:tc>
          <w:tcPr/>
          <w:p>
            <w:pPr>
              <w:pStyle w:val="Compact"/>
            </w:pPr>
            <w:r>
              <w:t xml:space="preserve">String</w:t>
            </w:r>
          </w:p>
        </w:tc>
        <w:tc>
          <w:tcPr/>
          <w:p>
            <w:pPr>
              <w:pStyle w:val="Compact"/>
            </w:pPr>
            <w:r>
              <w:t xml:space="preserve">Unique unit identifier (e.g.,</w:t>
            </w:r>
            <w:r>
              <w:t xml:space="preserve"> </w:t>
            </w:r>
            <w:r>
              <w:t xml:space="preserve">“EB1”</w:t>
            </w:r>
            <w:r>
              <w:t xml:space="preserve">,</w:t>
            </w:r>
            <w:r>
              <w:t xml:space="preserve"> </w:t>
            </w:r>
            <w:r>
              <w:t xml:space="preserve">“BB1”</w:t>
            </w:r>
            <w:r>
              <w:t xml:space="preserve">,</w:t>
            </w:r>
            <w:r>
              <w:t xml:space="preserve"> </w:t>
            </w:r>
            <w:r>
              <w:t xml:space="preserve">“GasBU”</w:t>
            </w:r>
            <w:r>
              <w:t xml:space="preserve">)</w:t>
            </w:r>
          </w:p>
        </w:tc>
      </w:tr>
      <w:tr>
        <w:tc>
          <w:tcPr/>
          <w:p>
            <w:pPr>
              <w:pStyle w:val="Compact"/>
            </w:pPr>
            <w:r>
              <w:t xml:space="preserve">unit_type</w:t>
            </w:r>
          </w:p>
        </w:tc>
        <w:tc>
          <w:tcPr/>
          <w:p>
            <w:pPr>
              <w:pStyle w:val="Compact"/>
            </w:pPr>
            <w:r>
              <w:t xml:space="preserve">Enum</w:t>
            </w:r>
          </w:p>
        </w:tc>
        <w:tc>
          <w:tcPr/>
          <w:p>
            <w:pPr>
              <w:pStyle w:val="Compact"/>
            </w:pPr>
            <w:r>
              <w:t xml:space="preserve">“electric_boiler”</w:t>
            </w:r>
            <w:r>
              <w:t xml:space="preserve">,</w:t>
            </w:r>
            <w:r>
              <w:t xml:space="preserve"> </w:t>
            </w:r>
            <w:r>
              <w:t xml:space="preserve">“biomass_boiler”</w:t>
            </w:r>
            <w:r>
              <w:t xml:space="preserve">,</w:t>
            </w:r>
            <w:r>
              <w:t xml:space="preserve"> </w:t>
            </w:r>
            <w:r>
              <w:t xml:space="preserve">“coal_boiler”</w:t>
            </w:r>
            <w:r>
              <w:t xml:space="preserve">,</w:t>
            </w:r>
            <w:r>
              <w:t xml:space="preserve"> </w:t>
            </w:r>
            <w:r>
              <w:t xml:space="preserve">“gas_boiler”</w:t>
            </w:r>
          </w:p>
        </w:tc>
      </w:tr>
      <w:tr>
        <w:tc>
          <w:tcPr/>
          <w:p>
            <w:pPr>
              <w:pStyle w:val="Compact"/>
            </w:pPr>
            <w:r>
              <w:t xml:space="preserve">rated_capacity_mw</w:t>
            </w:r>
          </w:p>
        </w:tc>
        <w:tc>
          <w:tcPr/>
          <w:p>
            <w:pPr>
              <w:pStyle w:val="Compact"/>
            </w:pPr>
            <w:r>
              <w:t xml:space="preserve">Float</w:t>
            </w:r>
          </w:p>
        </w:tc>
        <w:tc>
          <w:tcPr/>
          <w:p>
            <w:pPr>
              <w:pStyle w:val="Compact"/>
            </w:pPr>
            <w:r>
              <w:t xml:space="preserve">Nameplate thermal capacity (MW)</w:t>
            </w:r>
          </w:p>
        </w:tc>
      </w:tr>
      <w:tr>
        <w:tc>
          <w:tcPr/>
          <w:p>
            <w:pPr>
              <w:pStyle w:val="Compact"/>
            </w:pPr>
            <w:r>
              <w:t xml:space="preserve">thermal_efficiency</w:t>
            </w:r>
          </w:p>
        </w:tc>
        <w:tc>
          <w:tcPr/>
          <w:p>
            <w:pPr>
              <w:pStyle w:val="Compact"/>
            </w:pPr>
            <w:r>
              <w:t xml:space="preserve">Float</w:t>
            </w:r>
          </w:p>
        </w:tc>
        <w:tc>
          <w:tcPr/>
          <w:p>
            <w:pPr>
              <w:pStyle w:val="Compact"/>
            </w:pPr>
            <w:r>
              <w:t xml:space="preserve">Heat output per unit fuel or electricity input</w:t>
            </w:r>
          </w:p>
        </w:tc>
      </w:tr>
      <w:tr>
        <w:tc>
          <w:tcPr/>
          <w:p>
            <w:pPr>
              <w:pStyle w:val="Compact"/>
            </w:pPr>
            <w:r>
              <w:t xml:space="preserve">fuel_price_nzd_per_gj</w:t>
            </w:r>
          </w:p>
        </w:tc>
        <w:tc>
          <w:tcPr/>
          <w:p>
            <w:pPr>
              <w:pStyle w:val="Compact"/>
            </w:pPr>
            <w:r>
              <w:t xml:space="preserve">Float</w:t>
            </w:r>
          </w:p>
        </w:tc>
        <w:tc>
          <w:tcPr/>
          <w:p>
            <w:pPr>
              <w:pStyle w:val="Compact"/>
            </w:pPr>
            <w:r>
              <w:t xml:space="preserve">Delivered fuel price (NZD/GJ); zero for electric units</w:t>
            </w:r>
          </w:p>
        </w:tc>
      </w:tr>
      <w:tr>
        <w:tc>
          <w:tcPr/>
          <w:p>
            <w:pPr>
              <w:pStyle w:val="Compact"/>
            </w:pPr>
            <w:r>
              <w:t xml:space="preserve">electricity_tariff_nzd_per_mwh</w:t>
            </w:r>
          </w:p>
        </w:tc>
        <w:tc>
          <w:tcPr/>
          <w:p>
            <w:pPr>
              <w:pStyle w:val="Compact"/>
            </w:pPr>
            <w:r>
              <w:t xml:space="preserve">Float</w:t>
            </w:r>
          </w:p>
        </w:tc>
        <w:tc>
          <w:tcPr/>
          <w:p>
            <w:pPr>
              <w:pStyle w:val="Compact"/>
            </w:pPr>
            <w:r>
              <w:t xml:space="preserve">Base electricity tariff; overridden by SignalsPack when available</w:t>
            </w:r>
          </w:p>
        </w:tc>
      </w:tr>
      <w:tr>
        <w:tc>
          <w:tcPr/>
          <w:p>
            <w:pPr>
              <w:pStyle w:val="Compact"/>
            </w:pPr>
            <w:r>
              <w:t xml:space="preserve">var_om_nzd_per_mwh</w:t>
            </w:r>
          </w:p>
        </w:tc>
        <w:tc>
          <w:tcPr/>
          <w:p>
            <w:pPr>
              <w:pStyle w:val="Compact"/>
            </w:pPr>
            <w:r>
              <w:t xml:space="preserve">Float</w:t>
            </w:r>
          </w:p>
        </w:tc>
        <w:tc>
          <w:tcPr/>
          <w:p>
            <w:pPr>
              <w:pStyle w:val="Compact"/>
            </w:pPr>
            <w:r>
              <w:t xml:space="preserve">Variable operation and maintenance cost (NZD/MWh heat)</w:t>
            </w:r>
          </w:p>
        </w:tc>
      </w:tr>
      <w:tr>
        <w:tc>
          <w:tcPr/>
          <w:p>
            <w:pPr>
              <w:pStyle w:val="Compact"/>
            </w:pPr>
            <w:r>
              <w:t xml:space="preserve">fixed_on_nzd_per_hr</w:t>
            </w:r>
          </w:p>
        </w:tc>
        <w:tc>
          <w:tcPr/>
          <w:p>
            <w:pPr>
              <w:pStyle w:val="Compact"/>
            </w:pPr>
            <w:r>
              <w:t xml:space="preserve">Float</w:t>
            </w:r>
          </w:p>
        </w:tc>
        <w:tc>
          <w:tcPr/>
          <w:p>
            <w:pPr>
              <w:pStyle w:val="Compact"/>
            </w:pPr>
            <w:r>
              <w:t xml:space="preserve">Fixed operating cost when committed (NZD/hour)</w:t>
            </w:r>
          </w:p>
        </w:tc>
      </w:tr>
      <w:tr>
        <w:tc>
          <w:tcPr/>
          <w:p>
            <w:pPr>
              <w:pStyle w:val="Compact"/>
            </w:pPr>
            <w:r>
              <w:t xml:space="preserve">startup_cost_nzd</w:t>
            </w:r>
          </w:p>
        </w:tc>
        <w:tc>
          <w:tcPr/>
          <w:p>
            <w:pPr>
              <w:pStyle w:val="Compact"/>
            </w:pPr>
            <w:r>
              <w:t xml:space="preserve">Float</w:t>
            </w:r>
          </w:p>
        </w:tc>
        <w:tc>
          <w:tcPr/>
          <w:p>
            <w:pPr>
              <w:pStyle w:val="Compact"/>
            </w:pPr>
            <w:r>
              <w:t xml:space="preserve">Cost per start event</w:t>
            </w:r>
          </w:p>
        </w:tc>
      </w:tr>
      <w:tr>
        <w:tc>
          <w:tcPr/>
          <w:p>
            <w:pPr>
              <w:pStyle w:val="Compact"/>
            </w:pPr>
            <w:r>
              <w:t xml:space="preserve">emissions_factor_tco2_per_gwh</w:t>
            </w:r>
          </w:p>
        </w:tc>
        <w:tc>
          <w:tcPr/>
          <w:p>
            <w:pPr>
              <w:pStyle w:val="Compact"/>
            </w:pPr>
            <w:r>
              <w:t xml:space="preserve">Float</w:t>
            </w:r>
          </w:p>
        </w:tc>
        <w:tc>
          <w:tcPr/>
          <w:p>
            <w:pPr>
              <w:pStyle w:val="Compact"/>
            </w:pPr>
            <w:r>
              <w:t xml:space="preserve">Direct combustion emissions (tCO2/GWh heat); zero for electric and biomass-neutral units</w:t>
            </w:r>
          </w:p>
        </w:tc>
      </w:tr>
    </w:tbl>
    <w:bookmarkEnd w:id="263"/>
    <w:bookmarkStart w:id="264" w:name="resultartefact-key-output-fields"/>
    <w:p>
      <w:pPr>
        <w:pStyle w:val="Heading3"/>
      </w:pPr>
      <w:r>
        <w:t xml:space="preserve">34.1.3 ResultArtefact Key Output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Units</w:t>
            </w:r>
          </w:p>
        </w:tc>
        <w:tc>
          <w:tcPr/>
          <w:p>
            <w:pPr>
              <w:pStyle w:val="Compact"/>
            </w:pPr>
            <w:r>
              <w:t xml:space="preserve">Description</w:t>
            </w:r>
          </w:p>
        </w:tc>
      </w:tr>
      <w:tr>
        <w:tc>
          <w:tcPr/>
          <w:p>
            <w:pPr>
              <w:pStyle w:val="Compact"/>
            </w:pPr>
            <w:r>
              <w:t xml:space="preserve">unit_id</w:t>
            </w:r>
          </w:p>
        </w:tc>
        <w:tc>
          <w:tcPr/>
          <w:p>
            <w:pPr>
              <w:pStyle w:val="Compact"/>
            </w:pPr>
            <w:r>
              <w:t xml:space="preserve">—</w:t>
            </w:r>
          </w:p>
        </w:tc>
        <w:tc>
          <w:tcPr/>
          <w:p>
            <w:pPr>
              <w:pStyle w:val="Compact"/>
            </w:pPr>
            <w:r>
              <w:t xml:space="preserve">Unit identifier;</w:t>
            </w:r>
            <w:r>
              <w:t xml:space="preserve"> </w:t>
            </w:r>
            <w:r>
              <w:t xml:space="preserve">“TOTAL”</w:t>
            </w:r>
            <w:r>
              <w:t xml:space="preserve"> </w:t>
            </w:r>
            <w:r>
              <w:t xml:space="preserve">row contains site-wide aggregates</w:t>
            </w:r>
          </w:p>
        </w:tc>
      </w:tr>
      <w:tr>
        <w:tc>
          <w:tcPr/>
          <w:p>
            <w:pPr>
              <w:pStyle w:val="Compact"/>
            </w:pPr>
            <w:r>
              <w:t xml:space="preserve">annual_total_cost_nzd</w:t>
            </w:r>
          </w:p>
        </w:tc>
        <w:tc>
          <w:tcPr/>
          <w:p>
            <w:pPr>
              <w:pStyle w:val="Compact"/>
            </w:pPr>
            <w:r>
              <w:t xml:space="preserve">NZD</w:t>
            </w:r>
          </w:p>
        </w:tc>
        <w:tc>
          <w:tcPr/>
          <w:p>
            <w:pPr>
              <w:pStyle w:val="Compact"/>
            </w:pPr>
            <w:r>
              <w:t xml:space="preserve">Sum of all cost components</w:t>
            </w:r>
          </w:p>
        </w:tc>
      </w:tr>
      <w:tr>
        <w:tc>
          <w:tcPr/>
          <w:p>
            <w:pPr>
              <w:pStyle w:val="Compact"/>
            </w:pPr>
            <w:r>
              <w:t xml:space="preserve">annual_fuel_cost_nzd</w:t>
            </w:r>
          </w:p>
        </w:tc>
        <w:tc>
          <w:tcPr/>
          <w:p>
            <w:pPr>
              <w:pStyle w:val="Compact"/>
            </w:pPr>
            <w:r>
              <w:t xml:space="preserve">NZD</w:t>
            </w:r>
          </w:p>
        </w:tc>
        <w:tc>
          <w:tcPr/>
          <w:p>
            <w:pPr>
              <w:pStyle w:val="Compact"/>
            </w:pPr>
            <w:r>
              <w:t xml:space="preserve">Cost of delivered fuels</w:t>
            </w:r>
          </w:p>
        </w:tc>
      </w:tr>
      <w:tr>
        <w:tc>
          <w:tcPr/>
          <w:p>
            <w:pPr>
              <w:pStyle w:val="Compact"/>
            </w:pPr>
            <w:r>
              <w:t xml:space="preserve">annual_electricity_cost_nzd</w:t>
            </w:r>
          </w:p>
        </w:tc>
        <w:tc>
          <w:tcPr/>
          <w:p>
            <w:pPr>
              <w:pStyle w:val="Compact"/>
            </w:pPr>
            <w:r>
              <w:t xml:space="preserve">NZD</w:t>
            </w:r>
          </w:p>
        </w:tc>
        <w:tc>
          <w:tcPr/>
          <w:p>
            <w:pPr>
              <w:pStyle w:val="Compact"/>
            </w:pPr>
            <w:r>
              <w:t xml:space="preserve">Cost of electricity consumption</w:t>
            </w:r>
          </w:p>
        </w:tc>
      </w:tr>
      <w:tr>
        <w:tc>
          <w:tcPr/>
          <w:p>
            <w:pPr>
              <w:pStyle w:val="Compact"/>
            </w:pPr>
            <w:r>
              <w:t xml:space="preserve">annual_electricity_mwh</w:t>
            </w:r>
          </w:p>
        </w:tc>
        <w:tc>
          <w:tcPr/>
          <w:p>
            <w:pPr>
              <w:pStyle w:val="Compact"/>
            </w:pPr>
            <w:r>
              <w:t xml:space="preserve">MWh</w:t>
            </w:r>
          </w:p>
        </w:tc>
        <w:tc>
          <w:tcPr/>
          <w:p>
            <w:pPr>
              <w:pStyle w:val="Compact"/>
            </w:pPr>
            <w:r>
              <w:t xml:space="preserve">Annual electricity consumption</w:t>
            </w:r>
          </w:p>
        </w:tc>
      </w:tr>
      <w:tr>
        <w:tc>
          <w:tcPr/>
          <w:p>
            <w:pPr>
              <w:pStyle w:val="Compact"/>
            </w:pPr>
            <w:r>
              <w:t xml:space="preserve">avg_electricity_tariff_nzd_per_mwh</w:t>
            </w:r>
          </w:p>
        </w:tc>
        <w:tc>
          <w:tcPr/>
          <w:p>
            <w:pPr>
              <w:pStyle w:val="Compact"/>
            </w:pPr>
            <w:r>
              <w:t xml:space="preserve">NZD/MWh</w:t>
            </w:r>
          </w:p>
        </w:tc>
        <w:tc>
          <w:tcPr/>
          <w:p>
            <w:pPr>
              <w:pStyle w:val="Compact"/>
            </w:pPr>
            <w:r>
              <w:t xml:space="preserve">Weighted average electricity tariff</w:t>
            </w:r>
          </w:p>
        </w:tc>
      </w:tr>
      <w:tr>
        <w:tc>
          <w:tcPr/>
          <w:p>
            <w:pPr>
              <w:pStyle w:val="Compact"/>
            </w:pPr>
            <w:r>
              <w:t xml:space="preserve">annual_co2_tonnes</w:t>
            </w:r>
          </w:p>
        </w:tc>
        <w:tc>
          <w:tcPr/>
          <w:p>
            <w:pPr>
              <w:pStyle w:val="Compact"/>
            </w:pPr>
            <w:r>
              <w:t xml:space="preserve">tCO2</w:t>
            </w:r>
          </w:p>
        </w:tc>
        <w:tc>
          <w:tcPr/>
          <w:p>
            <w:pPr>
              <w:pStyle w:val="Compact"/>
            </w:pPr>
            <w:r>
              <w:t xml:space="preserve">Annual direct combustion emissions</w:t>
            </w:r>
          </w:p>
        </w:tc>
      </w:tr>
      <w:tr>
        <w:tc>
          <w:tcPr/>
          <w:p>
            <w:pPr>
              <w:pStyle w:val="Compact"/>
            </w:pPr>
            <w:r>
              <w:t xml:space="preserve">annual_carbon_cost_nzd</w:t>
            </w:r>
          </w:p>
        </w:tc>
        <w:tc>
          <w:tcPr/>
          <w:p>
            <w:pPr>
              <w:pStyle w:val="Compact"/>
            </w:pPr>
            <w:r>
              <w:t xml:space="preserve">NZD</w:t>
            </w:r>
          </w:p>
        </w:tc>
        <w:tc>
          <w:tcPr/>
          <w:p>
            <w:pPr>
              <w:pStyle w:val="Compact"/>
            </w:pPr>
            <w:r>
              <w:t xml:space="preserve">ETS cost at declared carbon price</w:t>
            </w:r>
          </w:p>
        </w:tc>
      </w:tr>
      <w:tr>
        <w:tc>
          <w:tcPr/>
          <w:p>
            <w:pPr>
              <w:pStyle w:val="Compact"/>
            </w:pPr>
            <w:r>
              <w:t xml:space="preserve">annual_unserved_mwh</w:t>
            </w:r>
          </w:p>
        </w:tc>
        <w:tc>
          <w:tcPr/>
          <w:p>
            <w:pPr>
              <w:pStyle w:val="Compact"/>
            </w:pPr>
            <w:r>
              <w:t xml:space="preserve">MWh</w:t>
            </w:r>
          </w:p>
        </w:tc>
        <w:tc>
          <w:tcPr/>
          <w:p>
            <w:pPr>
              <w:pStyle w:val="Compact"/>
            </w:pPr>
            <w:r>
              <w:t xml:space="preserve">Unserved heat demand</w:t>
            </w:r>
          </w:p>
        </w:tc>
      </w:tr>
    </w:tbl>
    <w:bookmarkEnd w:id="264"/>
    <w:bookmarkStart w:id="265" w:name="X9f67b775bbeb76c8fab897c8f98f4db7d2dc52e"/>
    <w:p>
      <w:pPr>
        <w:pStyle w:val="Heading3"/>
      </w:pPr>
      <w:r>
        <w:t xml:space="preserve">34.1.4 IncrementalElectricityPack Schema (Site Dispatch Output)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Units</w:t>
            </w:r>
          </w:p>
        </w:tc>
        <w:tc>
          <w:tcPr/>
          <w:p>
            <w:pPr>
              <w:pStyle w:val="Compact"/>
            </w:pPr>
            <w:r>
              <w:t xml:space="preserve">Description</w:t>
            </w:r>
          </w:p>
        </w:tc>
      </w:tr>
      <w:tr>
        <w:tc>
          <w:tcPr/>
          <w:p>
            <w:pPr>
              <w:pStyle w:val="Compact"/>
            </w:pPr>
            <w:r>
              <w:t xml:space="preserve">timestamp_utc</w:t>
            </w:r>
          </w:p>
        </w:tc>
        <w:tc>
          <w:tcPr/>
          <w:p>
            <w:pPr>
              <w:pStyle w:val="Compact"/>
            </w:pPr>
            <w:r>
              <w:t xml:space="preserve">UTC</w:t>
            </w:r>
          </w:p>
        </w:tc>
        <w:tc>
          <w:tcPr/>
          <w:p>
            <w:pPr>
              <w:pStyle w:val="Compact"/>
            </w:pPr>
            <w:r>
              <w:t xml:space="preserve">Hourly timestamp</w:t>
            </w:r>
          </w:p>
        </w:tc>
      </w:tr>
      <w:tr>
        <w:tc>
          <w:tcPr/>
          <w:p>
            <w:pPr>
              <w:pStyle w:val="Compact"/>
            </w:pPr>
            <w:r>
              <w:t xml:space="preserve">incremental_electricity_mw</w:t>
            </w:r>
          </w:p>
        </w:tc>
        <w:tc>
          <w:tcPr/>
          <w:p>
            <w:pPr>
              <w:pStyle w:val="Compact"/>
            </w:pPr>
            <w:r>
              <w:t xml:space="preserve">MW</w:t>
            </w:r>
          </w:p>
        </w:tc>
        <w:tc>
          <w:tcPr/>
          <w:p>
            <w:pPr>
              <w:pStyle w:val="Compact"/>
            </w:pPr>
            <w:r>
              <w:t xml:space="preserve">Hourly incremental electricity demand above 2020 baseline</w:t>
            </w:r>
          </w:p>
        </w:tc>
      </w:tr>
    </w:tbl>
    <w:bookmarkEnd w:id="265"/>
    <w:bookmarkEnd w:id="266"/>
    <w:bookmarkEnd w:id="267"/>
    <w:bookmarkStart w:id="272" w:name="sub-module-6.5-d"/>
    <w:p>
      <w:pPr>
        <w:pStyle w:val="Heading1"/>
      </w:pPr>
      <w:r>
        <w:t xml:space="preserve">35. Sub-Module 6.5-D</w:t>
      </w:r>
    </w:p>
    <w:p>
      <w:pPr>
        <w:pStyle w:val="FirstParagraph"/>
      </w:pPr>
      <w:r>
        <w:t xml:space="preserve">SignalsPack Generator Repository, Interface Contract v0.1.0</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SM-6.5-D: SignalsPack Generator Repository, Interface Contract v0.1.0</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§6.5</w:t>
                  </w:r>
                </w:p>
              </w:tc>
            </w:tr>
            <w:tr>
              <w:tc>
                <w:tcPr/>
                <w:p>
                  <w:pPr>
                    <w:pStyle w:val="Compact"/>
                  </w:pPr>
                  <w:r>
                    <w:rPr>
                      <w:b/>
                      <w:bCs/>
                    </w:rPr>
                    <w:t xml:space="preserve">Contributes</w:t>
                  </w:r>
                </w:p>
              </w:tc>
              <w:tc>
                <w:tcPr/>
                <w:p>
                  <w:pPr>
                    <w:pStyle w:val="Compact"/>
                  </w:pPr>
                  <w:r>
                    <w:t xml:space="preserve">Complete specification of the SignalsPack Interface Contract v0.1.0 including column definitions, file naming, manifest schema, hash integrity requirements, and the upgrade class menu</w:t>
                  </w:r>
                </w:p>
              </w:tc>
            </w:tr>
            <w:tr>
              <w:tc>
                <w:tcPr/>
                <w:p>
                  <w:pPr>
                    <w:pStyle w:val="Compact"/>
                  </w:pPr>
                  <w:r>
                    <w:rPr>
                      <w:b/>
                      <w:bCs/>
                    </w:rPr>
                    <w:t xml:space="preserve">Skip condition</w:t>
                  </w:r>
                </w:p>
              </w:tc>
              <w:tc>
                <w:tcPr/>
                <w:p>
                  <w:pPr>
                    <w:pStyle w:val="Compact"/>
                  </w:pPr>
                  <w:r>
                    <w:t xml:space="preserve">Skip for results reading; process when verifying SignalsPack integrity, updating the Edendale GXP repository, or designing a replacement regional module</w:t>
                  </w:r>
                </w:p>
              </w:tc>
            </w:tr>
            <w:tr>
              <w:tc>
                <w:tcPr/>
                <w:p>
                  <w:pPr>
                    <w:pStyle w:val="Compact"/>
                  </w:pPr>
                  <w:r>
                    <w:rPr>
                      <w:b/>
                      <w:bCs/>
                    </w:rPr>
                    <w:t xml:space="preserve">Passes to</w:t>
                  </w:r>
                </w:p>
              </w:tc>
              <w:tc>
                <w:tcPr/>
                <w:p>
                  <w:pPr>
                    <w:pStyle w:val="Compact"/>
                  </w:pPr>
                  <w:r>
                    <w:t xml:space="preserve">§6.6</w:t>
                  </w:r>
                </w:p>
              </w:tc>
            </w:tr>
            <w:tr>
              <w:tc>
                <w:tcPr/>
                <w:p>
                  <w:pPr>
                    <w:pStyle w:val="Compact"/>
                  </w:pPr>
                  <w:r>
                    <w:rPr>
                      <w:b/>
                      <w:bCs/>
                    </w:rPr>
                    <w:t xml:space="preserve">Sub-Modules here</w:t>
                  </w:r>
                </w:p>
              </w:tc>
              <w:tc>
                <w:tcPr/>
                <w:p>
                  <w:pPr>
                    <w:pStyle w:val="Compact"/>
                  </w:pPr>
                  <w:r>
                    <w:t xml:space="preserve">None</w:t>
                  </w:r>
                </w:p>
              </w:tc>
            </w:tr>
          </w:tbl>
          <w:p/>
        </w:tc>
      </w:tr>
    </w:tbl>
    <w:bookmarkStart w:id="271" w:name="Xb8a0aafb5989e1a918569714a1aaa1b1ef0ec72"/>
    <w:p>
      <w:pPr>
        <w:pStyle w:val="Heading2"/>
      </w:pPr>
      <w:r>
        <w:t xml:space="preserve">35.1 SM-6.5-D: SignalsPack Generator Repository, Interface Contract v0.1.0</w:t>
      </w:r>
    </w:p>
    <w:p>
      <w:pPr>
        <w:pStyle w:val="FirstParagraph"/>
      </w:pPr>
      <w:r>
        <w:t xml:space="preserve">Schema version: 0.1.0 (frozen)</w:t>
      </w:r>
    </w:p>
    <w:p>
      <w:pPr>
        <w:pStyle w:val="BodyText"/>
      </w:pPr>
      <w:r>
        <w:t xml:space="preserve">GXP identifier: EDN0331 (Edendale)</w:t>
      </w:r>
    </w:p>
    <w:bookmarkStart w:id="268" w:name="hourly-signals-file-schema"/>
    <w:p>
      <w:pPr>
        <w:pStyle w:val="Heading3"/>
      </w:pPr>
      <w:r>
        <w:t xml:space="preserve">35.1.1 Hourly Signals File Schema</w:t>
      </w:r>
    </w:p>
    <w:p>
      <w:pPr>
        <w:pStyle w:val="FirstParagraph"/>
      </w:pPr>
      <w:r>
        <w:t xml:space="preserve">Each epoch has one hourly signals CSV file named</w:t>
      </w:r>
      <w:r>
        <w:t xml:space="preserve"> </w:t>
      </w:r>
      <w:r>
        <w:rPr>
          <w:rStyle w:val="VerbatimChar"/>
        </w:rPr>
        <w:t xml:space="preserve">signals_&lt;epoch&gt;_EDN0331.csv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Units</w:t>
            </w:r>
          </w:p>
        </w:tc>
        <w:tc>
          <w:tcPr/>
          <w:p>
            <w:pPr>
              <w:pStyle w:val="Compact"/>
            </w:pPr>
            <w:r>
              <w:t xml:space="preserve">Description</w:t>
            </w:r>
          </w:p>
        </w:tc>
      </w:tr>
      <w:tr>
        <w:tc>
          <w:tcPr/>
          <w:p>
            <w:pPr>
              <w:pStyle w:val="Compact"/>
            </w:pPr>
            <w:r>
              <w:t xml:space="preserve">timestamp_utc</w:t>
            </w:r>
          </w:p>
        </w:tc>
        <w:tc>
          <w:tcPr/>
          <w:p>
            <w:pPr>
              <w:pStyle w:val="Compact"/>
            </w:pPr>
            <w:r>
              <w:t xml:space="preserve">Datetime</w:t>
            </w:r>
          </w:p>
        </w:tc>
        <w:tc>
          <w:tcPr/>
          <w:p>
            <w:pPr>
              <w:pStyle w:val="Compact"/>
            </w:pPr>
            <w:r>
              <w:t xml:space="preserve">UTC</w:t>
            </w:r>
          </w:p>
        </w:tc>
        <w:tc>
          <w:tcPr/>
          <w:p>
            <w:pPr>
              <w:pStyle w:val="Compact"/>
            </w:pPr>
            <w:r>
              <w:t xml:space="preserve">Hourly timestamp, ISO-8601 with Z suffix</w:t>
            </w:r>
          </w:p>
        </w:tc>
      </w:tr>
      <w:tr>
        <w:tc>
          <w:tcPr/>
          <w:p>
            <w:pPr>
              <w:pStyle w:val="Compact"/>
            </w:pPr>
            <w:r>
              <w:t xml:space="preserve">epoch</w:t>
            </w:r>
          </w:p>
        </w:tc>
        <w:tc>
          <w:tcPr/>
          <w:p>
            <w:pPr>
              <w:pStyle w:val="Compact"/>
            </w:pPr>
            <w:r>
              <w:t xml:space="preserve">Integer</w:t>
            </w:r>
          </w:p>
        </w:tc>
        <w:tc>
          <w:tcPr/>
          <w:p>
            <w:pPr>
              <w:pStyle w:val="Compact"/>
            </w:pPr>
            <w:r>
              <w:t xml:space="preserve">—</w:t>
            </w:r>
          </w:p>
        </w:tc>
        <w:tc>
          <w:tcPr/>
          <w:p>
            <w:pPr>
              <w:pStyle w:val="Compact"/>
            </w:pPr>
            <w:r>
              <w:t xml:space="preserve">Planning year (2020, 2025, 2028, 2035)</w:t>
            </w:r>
          </w:p>
        </w:tc>
      </w:tr>
      <w:tr>
        <w:tc>
          <w:tcPr/>
          <w:p>
            <w:pPr>
              <w:pStyle w:val="Compact"/>
            </w:pPr>
            <w:r>
              <w:t xml:space="preserve">gxp_id</w:t>
            </w:r>
          </w:p>
        </w:tc>
        <w:tc>
          <w:tcPr/>
          <w:p>
            <w:pPr>
              <w:pStyle w:val="Compact"/>
            </w:pPr>
            <w:r>
              <w:t xml:space="preserve">String</w:t>
            </w:r>
          </w:p>
        </w:tc>
        <w:tc>
          <w:tcPr/>
          <w:p>
            <w:pPr>
              <w:pStyle w:val="Compact"/>
            </w:pPr>
            <w:r>
              <w:t xml:space="preserve">—</w:t>
            </w:r>
          </w:p>
        </w:tc>
        <w:tc>
          <w:tcPr/>
          <w:p>
            <w:pPr>
              <w:pStyle w:val="Compact"/>
            </w:pPr>
            <w:r>
              <w:t xml:space="preserve">“EDN0331”</w:t>
            </w:r>
          </w:p>
        </w:tc>
      </w:tr>
      <w:tr>
        <w:tc>
          <w:tcPr/>
          <w:p>
            <w:pPr>
              <w:pStyle w:val="Compact"/>
            </w:pPr>
            <w:r>
              <w:t xml:space="preserve">capacity_mw</w:t>
            </w:r>
          </w:p>
        </w:tc>
        <w:tc>
          <w:tcPr/>
          <w:p>
            <w:pPr>
              <w:pStyle w:val="Compact"/>
            </w:pPr>
            <w:r>
              <w:t xml:space="preserve">Float</w:t>
            </w:r>
          </w:p>
        </w:tc>
        <w:tc>
          <w:tcPr/>
          <w:p>
            <w:pPr>
              <w:pStyle w:val="Compact"/>
            </w:pPr>
            <w:r>
              <w:t xml:space="preserve">MW</w:t>
            </w:r>
          </w:p>
        </w:tc>
        <w:tc>
          <w:tcPr/>
          <w:p>
            <w:pPr>
              <w:pStyle w:val="Compact"/>
            </w:pPr>
            <w:r>
              <w:t xml:space="preserve">GXP firm capacity</w:t>
            </w:r>
          </w:p>
        </w:tc>
      </w:tr>
      <w:tr>
        <w:tc>
          <w:tcPr/>
          <w:p>
            <w:pPr>
              <w:pStyle w:val="Compact"/>
            </w:pPr>
            <w:r>
              <w:t xml:space="preserve">baseline_import_mw</w:t>
            </w:r>
          </w:p>
        </w:tc>
        <w:tc>
          <w:tcPr/>
          <w:p>
            <w:pPr>
              <w:pStyle w:val="Compact"/>
            </w:pPr>
            <w:r>
              <w:t xml:space="preserve">Float</w:t>
            </w:r>
          </w:p>
        </w:tc>
        <w:tc>
          <w:tcPr/>
          <w:p>
            <w:pPr>
              <w:pStyle w:val="Compact"/>
            </w:pPr>
            <w:r>
              <w:t xml:space="preserve">MW</w:t>
            </w:r>
          </w:p>
        </w:tc>
        <w:tc>
          <w:tcPr/>
          <w:p>
            <w:pPr>
              <w:pStyle w:val="Compact"/>
            </w:pPr>
            <w:r>
              <w:t xml:space="preserve">Existing committed load (baseline)</w:t>
            </w:r>
          </w:p>
        </w:tc>
      </w:tr>
      <w:tr>
        <w:tc>
          <w:tcPr/>
          <w:p>
            <w:pPr>
              <w:pStyle w:val="Compact"/>
            </w:pPr>
            <w:r>
              <w:t xml:space="preserve">reserve_margin_mw</w:t>
            </w:r>
          </w:p>
        </w:tc>
        <w:tc>
          <w:tcPr/>
          <w:p>
            <w:pPr>
              <w:pStyle w:val="Compact"/>
            </w:pPr>
            <w:r>
              <w:t xml:space="preserve">Float</w:t>
            </w:r>
          </w:p>
        </w:tc>
        <w:tc>
          <w:tcPr/>
          <w:p>
            <w:pPr>
              <w:pStyle w:val="Compact"/>
            </w:pPr>
            <w:r>
              <w:t xml:space="preserve">MW</w:t>
            </w:r>
          </w:p>
        </w:tc>
        <w:tc>
          <w:tcPr/>
          <w:p>
            <w:pPr>
              <w:pStyle w:val="Compact"/>
            </w:pPr>
            <w:r>
              <w:t xml:space="preserve">N-1 security reserve</w:t>
            </w:r>
          </w:p>
        </w:tc>
      </w:tr>
      <w:tr>
        <w:tc>
          <w:tcPr/>
          <w:p>
            <w:pPr>
              <w:pStyle w:val="Compact"/>
            </w:pPr>
            <w:r>
              <w:t xml:space="preserve">headroom_mw</w:t>
            </w:r>
          </w:p>
        </w:tc>
        <w:tc>
          <w:tcPr/>
          <w:p>
            <w:pPr>
              <w:pStyle w:val="Compact"/>
            </w:pPr>
            <w:r>
              <w:t xml:space="preserve">Float</w:t>
            </w:r>
          </w:p>
        </w:tc>
        <w:tc>
          <w:tcPr/>
          <w:p>
            <w:pPr>
              <w:pStyle w:val="Compact"/>
            </w:pPr>
            <w:r>
              <w:t xml:space="preserve">MW</w:t>
            </w:r>
          </w:p>
        </w:tc>
        <w:tc>
          <w:tcPr/>
          <w:p>
            <w:pPr>
              <w:pStyle w:val="Compact"/>
            </w:pPr>
            <w:r>
              <w:t xml:space="preserve">max(capacity minus baseline minus reserve, 0)</w:t>
            </w:r>
          </w:p>
        </w:tc>
      </w:tr>
      <w:tr>
        <w:tc>
          <w:tcPr/>
          <w:p>
            <w:pPr>
              <w:pStyle w:val="Compact"/>
            </w:pPr>
            <w:r>
              <w:t xml:space="preserve">tariff_nzd_per_mwh</w:t>
            </w:r>
          </w:p>
        </w:tc>
        <w:tc>
          <w:tcPr/>
          <w:p>
            <w:pPr>
              <w:pStyle w:val="Compact"/>
            </w:pPr>
            <w:r>
              <w:t xml:space="preserve">Float</w:t>
            </w:r>
          </w:p>
        </w:tc>
        <w:tc>
          <w:tcPr/>
          <w:p>
            <w:pPr>
              <w:pStyle w:val="Compact"/>
            </w:pPr>
            <w:r>
              <w:t xml:space="preserve">NZD/MWh</w:t>
            </w:r>
          </w:p>
        </w:tc>
        <w:tc>
          <w:tcPr/>
          <w:p>
            <w:pPr>
              <w:pStyle w:val="Compact"/>
            </w:pPr>
            <w:r>
              <w:t xml:space="preserve">Applicable network tariff</w:t>
            </w:r>
          </w:p>
        </w:tc>
      </w:tr>
      <w:tr>
        <w:tc>
          <w:tcPr/>
          <w:p>
            <w:pPr>
              <w:pStyle w:val="Compact"/>
            </w:pPr>
            <w:r>
              <w:t xml:space="preserve">grid_emissions_intensity_tco2_per_mwh</w:t>
            </w:r>
          </w:p>
        </w:tc>
        <w:tc>
          <w:tcPr/>
          <w:p>
            <w:pPr>
              <w:pStyle w:val="Compact"/>
            </w:pPr>
            <w:r>
              <w:t xml:space="preserve">Float</w:t>
            </w:r>
          </w:p>
        </w:tc>
        <w:tc>
          <w:tcPr/>
          <w:p>
            <w:pPr>
              <w:pStyle w:val="Compact"/>
            </w:pPr>
            <w:r>
              <w:t xml:space="preserve">tCO2/MWh</w:t>
            </w:r>
          </w:p>
        </w:tc>
        <w:tc>
          <w:tcPr/>
          <w:p>
            <w:pPr>
              <w:pStyle w:val="Compact"/>
            </w:pPr>
            <w:r>
              <w:t xml:space="preserve">Grid emissions intensity for indirect emissions accounting</w:t>
            </w:r>
          </w:p>
        </w:tc>
      </w:tr>
    </w:tbl>
    <w:bookmarkEnd w:id="268"/>
    <w:bookmarkStart w:id="269" w:name="upgrade-option-menu"/>
    <w:p>
      <w:pPr>
        <w:pStyle w:val="Heading3"/>
      </w:pPr>
      <w:r>
        <w:t xml:space="preserve">35.1.2 Upgrade Option Menu</w:t>
      </w:r>
    </w:p>
    <w:p>
      <w:pPr>
        <w:pStyle w:val="FirstParagraph"/>
      </w:pPr>
      <w:r>
        <w:t xml:space="preserve">The upgrade menu is declared in</w:t>
      </w:r>
      <w:r>
        <w:t xml:space="preserve"> </w:t>
      </w:r>
      <w:r>
        <w:rPr>
          <w:rStyle w:val="VerbatimChar"/>
        </w:rPr>
        <w:t xml:space="preserve">upgrade_menu_EDN0331.csv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upgrade_id</w:t>
            </w:r>
          </w:p>
        </w:tc>
        <w:tc>
          <w:tcPr/>
          <w:p>
            <w:pPr>
              <w:pStyle w:val="Compact"/>
            </w:pPr>
            <w:r>
              <w:t xml:space="preserve">upgrade_name</w:t>
            </w:r>
          </w:p>
        </w:tc>
        <w:tc>
          <w:tcPr/>
          <w:p>
            <w:pPr>
              <w:pStyle w:val="Compact"/>
            </w:pPr>
            <w:r>
              <w:t xml:space="preserve">additional_capacity_mw</w:t>
            </w:r>
          </w:p>
        </w:tc>
        <w:tc>
          <w:tcPr/>
          <w:p>
            <w:pPr>
              <w:pStyle w:val="Compact"/>
            </w:pPr>
            <w:r>
              <w:t xml:space="preserve">capex_nzd</w:t>
            </w:r>
          </w:p>
        </w:tc>
        <w:tc>
          <w:tcPr/>
          <w:p>
            <w:pPr>
              <w:pStyle w:val="Compact"/>
            </w:pPr>
            <w:r>
              <w:t xml:space="preserve">description</w:t>
            </w:r>
          </w:p>
        </w:tc>
      </w:tr>
      <w:tr>
        <w:tc>
          <w:tcPr/>
          <w:p>
            <w:pPr>
              <w:pStyle w:val="Compact"/>
            </w:pPr>
            <w:r>
              <w:t xml:space="preserve">0</w:t>
            </w:r>
          </w:p>
        </w:tc>
        <w:tc>
          <w:tcPr/>
          <w:p>
            <w:pPr>
              <w:pStyle w:val="Compact"/>
            </w:pPr>
            <w:r>
              <w:t xml:space="preserve">none</w:t>
            </w:r>
          </w:p>
        </w:tc>
        <w:tc>
          <w:tcPr/>
          <w:p>
            <w:pPr>
              <w:pStyle w:val="Compact"/>
            </w:pPr>
            <w:r>
              <w:t xml:space="preserve">0</w:t>
            </w:r>
          </w:p>
        </w:tc>
        <w:tc>
          <w:tcPr/>
          <w:p>
            <w:pPr>
              <w:pStyle w:val="Compact"/>
            </w:pPr>
            <w:r>
              <w:t xml:space="preserve">0</w:t>
            </w:r>
          </w:p>
        </w:tc>
        <w:tc>
          <w:tcPr/>
          <w:p>
            <w:pPr>
              <w:pStyle w:val="Compact"/>
            </w:pPr>
            <w:r>
              <w:t xml:space="preserve">No upgrade required</w:t>
            </w:r>
          </w:p>
        </w:tc>
      </w:tr>
      <w:tr>
        <w:tc>
          <w:tcPr/>
          <w:p>
            <w:pPr>
              <w:pStyle w:val="Compact"/>
            </w:pPr>
            <w:r>
              <w:t xml:space="preserve">1</w:t>
            </w:r>
          </w:p>
        </w:tc>
        <w:tc>
          <w:tcPr/>
          <w:p>
            <w:pPr>
              <w:pStyle w:val="Compact"/>
            </w:pPr>
            <w:r>
              <w:t xml:space="preserve">fonterra_opt1_N_plus21MW</w:t>
            </w:r>
          </w:p>
        </w:tc>
        <w:tc>
          <w:tcPr/>
          <w:p>
            <w:pPr>
              <w:pStyle w:val="Compact"/>
            </w:pPr>
            <w:r>
              <w:t xml:space="preserve">21</w:t>
            </w:r>
          </w:p>
        </w:tc>
        <w:tc>
          <w:tcPr/>
          <w:p>
            <w:pPr>
              <w:pStyle w:val="Compact"/>
            </w:pPr>
            <w:r>
              <w:t xml:space="preserve">3,500,000</w:t>
            </w:r>
          </w:p>
        </w:tc>
        <w:tc>
          <w:tcPr/>
          <w:p>
            <w:pPr>
              <w:pStyle w:val="Compact"/>
            </w:pPr>
            <w:r>
              <w:t xml:space="preserve">Minor transformer upgrade</w:t>
            </w:r>
          </w:p>
        </w:tc>
      </w:tr>
      <w:tr>
        <w:tc>
          <w:tcPr/>
          <w:p>
            <w:pPr>
              <w:pStyle w:val="Compact"/>
            </w:pPr>
            <w:r>
              <w:t xml:space="preserve">2</w:t>
            </w:r>
          </w:p>
        </w:tc>
        <w:tc>
          <w:tcPr/>
          <w:p>
            <w:pPr>
              <w:pStyle w:val="Compact"/>
            </w:pPr>
            <w:r>
              <w:t xml:space="preserve">fonterra_opt2_N_plus32MW</w:t>
            </w:r>
          </w:p>
        </w:tc>
        <w:tc>
          <w:tcPr/>
          <w:p>
            <w:pPr>
              <w:pStyle w:val="Compact"/>
            </w:pPr>
            <w:r>
              <w:t xml:space="preserve">32</w:t>
            </w:r>
          </w:p>
        </w:tc>
        <w:tc>
          <w:tcPr/>
          <w:p>
            <w:pPr>
              <w:pStyle w:val="Compact"/>
            </w:pPr>
            <w:r>
              <w:t xml:space="preserve">8,200,000</w:t>
            </w:r>
          </w:p>
        </w:tc>
        <w:tc>
          <w:tcPr/>
          <w:p>
            <w:pPr>
              <w:pStyle w:val="Compact"/>
            </w:pPr>
            <w:r>
              <w:t xml:space="preserve">Subtransmission line reconfiguration</w:t>
            </w:r>
          </w:p>
        </w:tc>
      </w:tr>
      <w:tr>
        <w:tc>
          <w:tcPr/>
          <w:p>
            <w:pPr>
              <w:pStyle w:val="Compact"/>
            </w:pPr>
            <w:r>
              <w:t xml:space="preserve">3</w:t>
            </w:r>
          </w:p>
        </w:tc>
        <w:tc>
          <w:tcPr/>
          <w:p>
            <w:pPr>
              <w:pStyle w:val="Compact"/>
            </w:pPr>
            <w:r>
              <w:t xml:space="preserve">fonterra_opt3_N_plus97MW</w:t>
            </w:r>
          </w:p>
        </w:tc>
        <w:tc>
          <w:tcPr/>
          <w:p>
            <w:pPr>
              <w:pStyle w:val="Compact"/>
            </w:pPr>
            <w:r>
              <w:t xml:space="preserve">97</w:t>
            </w:r>
          </w:p>
        </w:tc>
        <w:tc>
          <w:tcPr/>
          <w:p>
            <w:pPr>
              <w:pStyle w:val="Compact"/>
            </w:pPr>
            <w:r>
              <w:t xml:space="preserve">28,500,000</w:t>
            </w:r>
          </w:p>
        </w:tc>
        <w:tc>
          <w:tcPr/>
          <w:p>
            <w:pPr>
              <w:pStyle w:val="Compact"/>
            </w:pPr>
            <w:r>
              <w:t xml:space="preserve">Zone substation expansion</w:t>
            </w:r>
          </w:p>
        </w:tc>
      </w:tr>
      <w:tr>
        <w:tc>
          <w:tcPr/>
          <w:p>
            <w:pPr>
              <w:pStyle w:val="Compact"/>
            </w:pPr>
            <w:r>
              <w:t xml:space="preserve">4</w:t>
            </w:r>
          </w:p>
        </w:tc>
        <w:tc>
          <w:tcPr/>
          <w:p>
            <w:pPr>
              <w:pStyle w:val="Compact"/>
            </w:pPr>
            <w:r>
              <w:t xml:space="preserve">fonterra_opt4_N_plus150MW</w:t>
            </w:r>
          </w:p>
        </w:tc>
        <w:tc>
          <w:tcPr/>
          <w:p>
            <w:pPr>
              <w:pStyle w:val="Compact"/>
            </w:pPr>
            <w:r>
              <w:t xml:space="preserve">150</w:t>
            </w:r>
          </w:p>
        </w:tc>
        <w:tc>
          <w:tcPr/>
          <w:p>
            <w:pPr>
              <w:pStyle w:val="Compact"/>
            </w:pPr>
            <w:r>
              <w:t xml:space="preserve">52,000,000</w:t>
            </w:r>
          </w:p>
        </w:tc>
        <w:tc>
          <w:tcPr/>
          <w:p>
            <w:pPr>
              <w:pStyle w:val="Compact"/>
            </w:pPr>
            <w:r>
              <w:t xml:space="preserve">Major subtransmission reinforcement</w:t>
            </w:r>
          </w:p>
        </w:tc>
      </w:tr>
    </w:tbl>
    <w:bookmarkEnd w:id="269"/>
    <w:bookmarkStart w:id="270" w:name="manifest-schema-signals_manifest.toml"/>
    <w:p>
      <w:pPr>
        <w:pStyle w:val="Heading3"/>
      </w:pPr>
      <w:r>
        <w:t xml:space="preserve">35.1.3 Manifest Schema (</w:t>
      </w:r>
      <w:r>
        <w:rPr>
          <w:rStyle w:val="VerbatimChar"/>
        </w:rPr>
        <w:t xml:space="preserve">signals_manifest.toml</w:t>
      </w:r>
      <w:r>
        <w:t xml:space="preserve">)</w:t>
      </w:r>
    </w:p>
    <w:p>
      <w:pPr>
        <w:pStyle w:val="SourceCode"/>
      </w:pPr>
      <w:r>
        <w:rPr>
          <w:rStyle w:val="DataTypeTok"/>
        </w:rPr>
        <w:t xml:space="preserve">schema_version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gxp_id</w:t>
      </w:r>
      <w:r>
        <w:rPr>
          <w:rStyle w:val="NormalTok"/>
        </w:rPr>
        <w:t xml:space="preserve"> </w:t>
      </w:r>
      <w:r>
        <w:rPr>
          <w:rStyle w:val="OperatorTok"/>
        </w:rPr>
        <w:t xml:space="preserve">=</w:t>
      </w:r>
      <w:r>
        <w:rPr>
          <w:rStyle w:val="NormalTok"/>
        </w:rPr>
        <w:t xml:space="preserve"> </w:t>
      </w:r>
      <w:r>
        <w:rPr>
          <w:rStyle w:val="StringTok"/>
        </w:rPr>
        <w:t xml:space="preserve">"EDN0331"</w:t>
      </w:r>
      <w:r>
        <w:br/>
      </w:r>
      <w:r>
        <w:rPr>
          <w:rStyle w:val="DataTypeTok"/>
        </w:rPr>
        <w:t xml:space="preserve">generated_at</w:t>
      </w:r>
      <w:r>
        <w:rPr>
          <w:rStyle w:val="NormalTok"/>
        </w:rPr>
        <w:t xml:space="preserve"> </w:t>
      </w:r>
      <w:r>
        <w:rPr>
          <w:rStyle w:val="OperatorTok"/>
        </w:rPr>
        <w:t xml:space="preserve">=</w:t>
      </w:r>
      <w:r>
        <w:rPr>
          <w:rStyle w:val="NormalTok"/>
        </w:rPr>
        <w:t xml:space="preserve"> </w:t>
      </w:r>
      <w:r>
        <w:rPr>
          <w:rStyle w:val="StringTok"/>
        </w:rPr>
        <w:t xml:space="preserve">"YYYY-MM-DDTHH:MM:SSZ"</w:t>
      </w:r>
      <w:r>
        <w:br/>
      </w:r>
      <w:r>
        <w:br/>
      </w:r>
      <w:r>
        <w:rPr>
          <w:rStyle w:val="KeywordTok"/>
        </w:rPr>
        <w:t xml:space="preserve">[[files]]</w:t>
      </w:r>
      <w:r>
        <w:br/>
      </w:r>
      <w:r>
        <w:rPr>
          <w:rStyle w:val="DataTypeTok"/>
        </w:rPr>
        <w:t xml:space="preserve">epoch</w:t>
      </w:r>
      <w:r>
        <w:rPr>
          <w:rStyle w:val="NormalTok"/>
        </w:rPr>
        <w:t xml:space="preserve"> </w:t>
      </w:r>
      <w:r>
        <w:rPr>
          <w:rStyle w:val="OperatorTok"/>
        </w:rPr>
        <w:t xml:space="preserve">=</w:t>
      </w:r>
      <w:r>
        <w:rPr>
          <w:rStyle w:val="NormalTok"/>
        </w:rPr>
        <w:t xml:space="preserve"> </w:t>
      </w:r>
      <w:r>
        <w:rPr>
          <w:rStyle w:val="DecValTok"/>
        </w:rPr>
        <w:t xml:space="preserve">2035</w:t>
      </w:r>
      <w:r>
        <w:br/>
      </w:r>
      <w:r>
        <w:rPr>
          <w:rStyle w:val="DataTyp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"signals_2035_EDN0331.csv"</w:t>
      </w:r>
      <w:r>
        <w:br/>
      </w:r>
      <w:r>
        <w:rPr>
          <w:rStyle w:val="DataTypeTok"/>
        </w:rPr>
        <w:t xml:space="preserve">sha256</w:t>
      </w:r>
      <w:r>
        <w:rPr>
          <w:rStyle w:val="NormalTok"/>
        </w:rPr>
        <w:t xml:space="preserve"> </w:t>
      </w:r>
      <w:r>
        <w:rPr>
          <w:rStyle w:val="OperatorTok"/>
        </w:rPr>
        <w:t xml:space="preserve">=</w:t>
      </w:r>
      <w:r>
        <w:rPr>
          <w:rStyle w:val="NormalTok"/>
        </w:rPr>
        <w:t xml:space="preserve"> </w:t>
      </w:r>
      <w:r>
        <w:rPr>
          <w:rStyle w:val="StringTok"/>
        </w:rPr>
        <w:t xml:space="preserve">"&lt;hex digest&gt;"</w:t>
      </w:r>
      <w:r>
        <w:br/>
      </w:r>
      <w:r>
        <w:rPr>
          <w:rStyle w:val="DataTypeTok"/>
        </w:rPr>
        <w:t xml:space="preserve">rows</w:t>
      </w:r>
      <w:r>
        <w:rPr>
          <w:rStyle w:val="NormalTok"/>
        </w:rPr>
        <w:t xml:space="preserve"> </w:t>
      </w:r>
      <w:r>
        <w:rPr>
          <w:rStyle w:val="OperatorTok"/>
        </w:rPr>
        <w:t xml:space="preserve">=</w:t>
      </w:r>
      <w:r>
        <w:rPr>
          <w:rStyle w:val="NormalTok"/>
        </w:rPr>
        <w:t xml:space="preserve"> </w:t>
      </w:r>
      <w:r>
        <w:rPr>
          <w:rStyle w:val="DecValTok"/>
        </w:rPr>
        <w:t xml:space="preserve">8760</w:t>
      </w:r>
      <w:r>
        <w:br/>
      </w:r>
      <w:r>
        <w:rPr>
          <w:rStyle w:val="DataTypeTok"/>
        </w:rPr>
        <w:t xml:space="preserve">columns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"timestamp_utc"</w:t>
      </w:r>
      <w:r>
        <w:rPr>
          <w:rStyle w:val="OperatorTok"/>
        </w:rPr>
        <w:t xml:space="preserve">,</w:t>
      </w:r>
      <w:r>
        <w:rPr>
          <w:rStyle w:val="NormalTok"/>
        </w:rPr>
        <w:t xml:space="preserve"> </w:t>
      </w:r>
      <w:r>
        <w:rPr>
          <w:rStyle w:val="StringTok"/>
        </w:rPr>
        <w:t xml:space="preserve">"epoch"</w:t>
      </w:r>
      <w:r>
        <w:rPr>
          <w:rStyle w:val="OperatorTok"/>
        </w:rPr>
        <w:t xml:space="preserve">,</w:t>
      </w:r>
      <w:r>
        <w:rPr>
          <w:rStyle w:val="NormalTok"/>
        </w:rPr>
        <w:t xml:space="preserve"> </w:t>
      </w:r>
      <w:r>
        <w:rPr>
          <w:rStyle w:val="StringTok"/>
        </w:rPr>
        <w:t xml:space="preserve">"gxp_id"</w:t>
      </w:r>
      <w:r>
        <w:rPr>
          <w:rStyle w:val="OperatorTok"/>
        </w:rPr>
        <w:t xml:space="preserve">,</w:t>
      </w:r>
      <w:r>
        <w:rPr>
          <w:rStyle w:val="NormalTok"/>
        </w:rPr>
        <w:t xml:space="preserve"> </w:t>
      </w:r>
      <w:r>
        <w:rPr>
          <w:rStyle w:val="StringTok"/>
        </w:rPr>
        <w:t xml:space="preserve">"..."</w:t>
      </w:r>
      <w:r>
        <w:rPr>
          <w:rStyle w:val="OperatorTok"/>
        </w:rPr>
        <w:t xml:space="preserve">]</w:t>
      </w:r>
    </w:p>
    <w:bookmarkEnd w:id="270"/>
    <w:bookmarkEnd w:id="271"/>
    <w:bookmarkEnd w:id="272"/>
    <w:bookmarkStart w:id="274" w:name="sub-module-6.6-e"/>
    <w:p>
      <w:pPr>
        <w:pStyle w:val="Heading1"/>
      </w:pPr>
      <w:r>
        <w:t xml:space="preserve">36. Sub-Module 6.6-E</w:t>
      </w:r>
    </w:p>
    <w:p>
      <w:pPr>
        <w:pStyle w:val="FirstParagraph"/>
      </w:pPr>
      <w:r>
        <w:t xml:space="preserve">PyPSA Regional Module Design, Next-Phase Specification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SM-6.6-E: PyPSA Regional Module Design, Next-Phase Specification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§6.6, Module 2 §2.2 (LP optimisation), Module 2 SM-2.3-A (surrogate validation)</w:t>
                  </w:r>
                </w:p>
              </w:tc>
            </w:tr>
            <w:tr>
              <w:tc>
                <w:tcPr/>
                <w:p>
                  <w:pPr>
                    <w:pStyle w:val="Compact"/>
                  </w:pPr>
                  <w:r>
                    <w:rPr>
                      <w:b/>
                      <w:bCs/>
                    </w:rPr>
                    <w:t xml:space="preserve">Contributes</w:t>
                  </w:r>
                </w:p>
              </w:tc>
              <w:tc>
                <w:tcPr/>
                <w:p>
                  <w:pPr>
                    <w:pStyle w:val="Compact"/>
                  </w:pPr>
                  <w:r>
                    <w:t xml:space="preserve">Detailed design specification for the next-phase PyPSA regional electricity module including network structure, LP formulation, SignalsPack field mapping, and surrogate development pathway</w:t>
                  </w:r>
                </w:p>
              </w:tc>
            </w:tr>
            <w:tr>
              <w:tc>
                <w:tcPr/>
                <w:p>
                  <w:pPr>
                    <w:pStyle w:val="Compact"/>
                  </w:pPr>
                  <w:r>
                    <w:rPr>
                      <w:b/>
                      <w:bCs/>
                    </w:rPr>
                    <w:t xml:space="preserve">Skip condition</w:t>
                  </w:r>
                </w:p>
              </w:tc>
              <w:tc>
                <w:tcPr/>
                <w:p>
                  <w:pPr>
                    <w:pStyle w:val="Compact"/>
                  </w:pPr>
                  <w:r>
                    <w:t xml:space="preserve">Skip if next-phase regional module development is not in scope</w:t>
                  </w:r>
                </w:p>
              </w:tc>
            </w:tr>
            <w:tr>
              <w:tc>
                <w:tcPr/>
                <w:p>
                  <w:pPr>
                    <w:pStyle w:val="Compact"/>
                  </w:pPr>
                  <w:r>
                    <w:rPr>
                      <w:b/>
                      <w:bCs/>
                    </w:rPr>
                    <w:t xml:space="preserve">Passes to</w:t>
                  </w:r>
                </w:p>
              </w:tc>
              <w:tc>
                <w:tcPr/>
                <w:p>
                  <w:pPr>
                    <w:pStyle w:val="Compact"/>
                  </w:pPr>
                  <w:r>
                    <w:t xml:space="preserve">Module 7</w:t>
                  </w:r>
                </w:p>
              </w:tc>
            </w:tr>
            <w:tr>
              <w:tc>
                <w:tcPr/>
                <w:p>
                  <w:pPr>
                    <w:pStyle w:val="Compact"/>
                  </w:pPr>
                  <w:r>
                    <w:rPr>
                      <w:b/>
                      <w:bCs/>
                    </w:rPr>
                    <w:t xml:space="preserve">Sub-Modules here</w:t>
                  </w:r>
                </w:p>
              </w:tc>
              <w:tc>
                <w:tcPr/>
                <w:p>
                  <w:pPr>
                    <w:pStyle w:val="Compact"/>
                  </w:pPr>
                  <w:r>
                    <w:t xml:space="preserve">None</w:t>
                  </w:r>
                </w:p>
              </w:tc>
            </w:tr>
          </w:tbl>
          <w:p/>
        </w:tc>
      </w:tr>
    </w:tbl>
    <w:bookmarkStart w:id="273" w:name="X7052b3c6a607dd38b50044e20d369f8a23c353a"/>
    <w:p>
      <w:pPr>
        <w:pStyle w:val="Heading2"/>
      </w:pPr>
      <w:r>
        <w:t xml:space="preserve">36.1 SM-6.6-E: PyPSA Regional Module Design, Next-Phase Specification</w:t>
      </w:r>
    </w:p>
    <w:p>
      <w:pPr>
        <w:pStyle w:val="FirstParagraph"/>
      </w:pPr>
      <w:r>
        <w:t xml:space="preserve">Network structure. The PyPSA regional model for the Southland context represents the Mararoa-Waimea transmission cluster as a network of buses connected by transmission lines and transformers. The minimum viable network for the GXP adequacy assessment requires: the national grid bus at the Mararoa and Waimea 220 kV nodes; the zone substation bus at the EDN0331 GXP; the subtransmission lines connecting the two; and the demand bus representing the Edendale industrial load. A more complete representation would add the other major industrial loads in the region as separate demand buses.</w:t>
      </w:r>
    </w:p>
    <w:p>
      <w:pPr>
        <w:pStyle w:val="BodyText"/>
      </w:pPr>
      <w:r>
        <w:t xml:space="preserve">LP formulation. The network dispatch LP follows the PyPSA-standard formulation: minimise total generation cost subject to power balance at each bus, line capacity constraints, and generator capacity limits. The LP is run at hourly resolution for each planning epoch. The dual variable on the power balance constraint at the EDN0331 bus gives the locational marginal price, which maps directly to the tariff_nzd_per_mwh field of the SignalsPack.</w:t>
      </w:r>
    </w:p>
    <w:p>
      <w:pPr>
        <w:pStyle w:val="BodyText"/>
      </w:pPr>
      <w:r>
        <w:t xml:space="preserve">SignalsPack output mapping. The PyPSA LP produces the following outputs that map to SignalsPack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PyPSA output</w:t>
            </w:r>
          </w:p>
        </w:tc>
        <w:tc>
          <w:tcPr/>
          <w:p>
            <w:pPr>
              <w:pStyle w:val="Compact"/>
            </w:pPr>
            <w:r>
              <w:t xml:space="preserve">SignalsPack field</w:t>
            </w:r>
          </w:p>
        </w:tc>
        <w:tc>
          <w:tcPr/>
          <w:p>
            <w:pPr>
              <w:pStyle w:val="Compact"/>
            </w:pPr>
            <w:r>
              <w:t xml:space="preserve">Derivation</w:t>
            </w:r>
          </w:p>
        </w:tc>
      </w:tr>
      <w:tr>
        <w:tc>
          <w:tcPr/>
          <w:p>
            <w:pPr>
              <w:pStyle w:val="Compact"/>
            </w:pPr>
            <w:r>
              <w:t xml:space="preserve">Bus marginal price at EDN0331</w:t>
            </w:r>
          </w:p>
        </w:tc>
        <w:tc>
          <w:tcPr/>
          <w:p>
            <w:pPr>
              <w:pStyle w:val="Compact"/>
            </w:pPr>
            <w:r>
              <w:t xml:space="preserve">tariff_nzd_per_mwh</w:t>
            </w:r>
          </w:p>
        </w:tc>
        <w:tc>
          <w:tcPr/>
          <w:p>
            <w:pPr>
              <w:pStyle w:val="Compact"/>
            </w:pPr>
            <w:r>
              <w:t xml:space="preserve">Dual variable on power balance constraint</w:t>
            </w:r>
          </w:p>
        </w:tc>
      </w:tr>
      <w:tr>
        <w:tc>
          <w:tcPr/>
          <w:p>
            <w:pPr>
              <w:pStyle w:val="Compact"/>
            </w:pPr>
            <w:r>
              <w:t xml:space="preserve">Line loading fraction on subtransmission</w:t>
            </w:r>
          </w:p>
        </w:tc>
        <w:tc>
          <w:tcPr/>
          <w:p>
            <w:pPr>
              <w:pStyle w:val="Compact"/>
            </w:pPr>
            <w:r>
              <w:t xml:space="preserve">feasibility_indicator</w:t>
            </w:r>
          </w:p>
        </w:tc>
        <w:tc>
          <w:tcPr/>
          <w:p>
            <w:pPr>
              <w:pStyle w:val="Compact"/>
            </w:pPr>
            <w:r>
              <w:t xml:space="preserve">1 if max loading below capacity; 0 if any hour exceeds capacity</w:t>
            </w:r>
          </w:p>
        </w:tc>
      </w:tr>
      <w:tr>
        <w:tc>
          <w:tcPr/>
          <w:p>
            <w:pPr>
              <w:pStyle w:val="Compact"/>
            </w:pPr>
            <w:r>
              <w:t xml:space="preserve">System-wide adequacy margin</w:t>
            </w:r>
          </w:p>
        </w:tc>
        <w:tc>
          <w:tcPr/>
          <w:p>
            <w:pPr>
              <w:pStyle w:val="Compact"/>
            </w:pPr>
            <w:r>
              <w:t xml:space="preserve">headroom_mw</w:t>
            </w:r>
          </w:p>
        </w:tc>
        <w:tc>
          <w:tcPr/>
          <w:p>
            <w:pPr>
              <w:pStyle w:val="Compact"/>
            </w:pPr>
            <w:r>
              <w:t xml:space="preserve">Firm capacity minus committed load minus N-1 reserve</w:t>
            </w:r>
          </w:p>
        </w:tc>
      </w:tr>
      <w:tr>
        <w:tc>
          <w:tcPr/>
          <w:p>
            <w:pPr>
              <w:pStyle w:val="Compact"/>
            </w:pPr>
            <w:r>
              <w:t xml:space="preserve">Upgrade class from capacity check</w:t>
            </w:r>
          </w:p>
        </w:tc>
        <w:tc>
          <w:tcPr/>
          <w:p>
            <w:pPr>
              <w:pStyle w:val="Compact"/>
            </w:pPr>
            <w:r>
              <w:t xml:space="preserve">upgrade_class</w:t>
            </w:r>
          </w:p>
        </w:tc>
        <w:tc>
          <w:tcPr/>
          <w:p>
            <w:pPr>
              <w:pStyle w:val="Compact"/>
            </w:pPr>
            <w:r>
              <w:t xml:space="preserve">Classified from peak exceedance against upgrade menu</w:t>
            </w:r>
          </w:p>
        </w:tc>
      </w:tr>
      <w:tr>
        <w:tc>
          <w:tcPr/>
          <w:p>
            <w:pPr>
              <w:pStyle w:val="Compact"/>
            </w:pPr>
            <w:r>
              <w:t xml:space="preserve">Upgrade cost adder</w:t>
            </w:r>
          </w:p>
        </w:tc>
        <w:tc>
          <w:tcPr/>
          <w:p>
            <w:pPr>
              <w:pStyle w:val="Compact"/>
            </w:pPr>
            <w:r>
              <w:t xml:space="preserve">cost_adder_nzd</w:t>
            </w:r>
          </w:p>
        </w:tc>
        <w:tc>
          <w:tcPr/>
          <w:p>
            <w:pPr>
              <w:pStyle w:val="Compact"/>
            </w:pPr>
            <w:r>
              <w:t xml:space="preserve">Annualised upgrade cost attributable to the new load</w:t>
            </w:r>
          </w:p>
        </w:tc>
      </w:tr>
    </w:tbl>
    <w:p>
      <w:pPr>
        <w:pStyle w:val="BodyText"/>
      </w:pPr>
      <w:r>
        <w:t xml:space="preserve">Surrogate development pathway. A gradient boosting regressor trained on PyPSA outputs from a Latin Hypercube sample of 500 futures forms the first surrogate generation. The surrogate input features are the five FutureArtefact uncertain drivers. The output targets are the five SignalsPack fields above. Validation follows the decision-ranking preservation protocol of Sub-Module SM-2.3-A.</w:t>
      </w:r>
    </w:p>
    <w:bookmarkEnd w:id="273"/>
    <w:bookmarkEnd w:id="274"/>
    <w:bookmarkStart w:id="279" w:name="sub-module-6.8-f"/>
    <w:p>
      <w:pPr>
        <w:pStyle w:val="Heading1"/>
      </w:pPr>
      <w:r>
        <w:t xml:space="preserve">37. Sub-Module 6.8-F</w:t>
      </w:r>
    </w:p>
    <w:p>
      <w:pPr>
        <w:pStyle w:val="FirstParagraph"/>
      </w:pPr>
      <w:r>
        <w:t xml:space="preserve">Validation Records and Artefact Log</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SM-6.8-F: Validation Records and Artefact Log</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§6.8</w:t>
                  </w:r>
                </w:p>
              </w:tc>
            </w:tr>
            <w:tr>
              <w:tc>
                <w:tcPr/>
                <w:p>
                  <w:pPr>
                    <w:pStyle w:val="Compact"/>
                  </w:pPr>
                  <w:r>
                    <w:rPr>
                      <w:b/>
                      <w:bCs/>
                    </w:rPr>
                    <w:t xml:space="preserve">Contributes</w:t>
                  </w:r>
                </w:p>
              </w:tc>
              <w:tc>
                <w:tcPr/>
                <w:p>
                  <w:pPr>
                    <w:pStyle w:val="Compact"/>
                  </w:pPr>
                  <w:r>
                    <w:t xml:space="preserve">Complete per-artefact validation gate outcomes, the DemandPack failure-correction log, and the lineage statistics for the release bundle</w:t>
                  </w:r>
                </w:p>
              </w:tc>
            </w:tr>
            <w:tr>
              <w:tc>
                <w:tcPr/>
                <w:p>
                  <w:pPr>
                    <w:pStyle w:val="Compact"/>
                  </w:pPr>
                  <w:r>
                    <w:rPr>
                      <w:b/>
                      <w:bCs/>
                    </w:rPr>
                    <w:t xml:space="preserve">Skip condition</w:t>
                  </w:r>
                </w:p>
              </w:tc>
              <w:tc>
                <w:tcPr/>
                <w:p>
                  <w:pPr>
                    <w:pStyle w:val="Compact"/>
                  </w:pPr>
                  <w:r>
                    <w:t xml:space="preserve">Skip for conceptual reading; process when auditing the PoC governance record</w:t>
                  </w:r>
                </w:p>
              </w:tc>
            </w:tr>
            <w:tr>
              <w:tc>
                <w:tcPr/>
                <w:p>
                  <w:pPr>
                    <w:pStyle w:val="Compact"/>
                  </w:pPr>
                  <w:r>
                    <w:rPr>
                      <w:b/>
                      <w:bCs/>
                    </w:rPr>
                    <w:t xml:space="preserve">Passes to</w:t>
                  </w:r>
                </w:p>
              </w:tc>
              <w:tc>
                <w:tcPr/>
                <w:p>
                  <w:pPr>
                    <w:pStyle w:val="Compact"/>
                  </w:pPr>
                  <w:r>
                    <w:t xml:space="preserve">§6.9</w:t>
                  </w:r>
                </w:p>
              </w:tc>
            </w:tr>
            <w:tr>
              <w:tc>
                <w:tcPr/>
                <w:p>
                  <w:pPr>
                    <w:pStyle w:val="Compact"/>
                  </w:pPr>
                  <w:r>
                    <w:rPr>
                      <w:b/>
                      <w:bCs/>
                    </w:rPr>
                    <w:t xml:space="preserve">Sub-Modules here</w:t>
                  </w:r>
                </w:p>
              </w:tc>
              <w:tc>
                <w:tcPr/>
                <w:p>
                  <w:pPr>
                    <w:pStyle w:val="Compact"/>
                  </w:pPr>
                  <w:r>
                    <w:t xml:space="preserve">None</w:t>
                  </w:r>
                </w:p>
              </w:tc>
            </w:tr>
          </w:tbl>
          <w:p/>
        </w:tc>
      </w:tr>
    </w:tbl>
    <w:bookmarkStart w:id="278" w:name="X7d4ec75426a9b17e4df6e476114f872265c3397"/>
    <w:p>
      <w:pPr>
        <w:pStyle w:val="Heading2"/>
      </w:pPr>
      <w:r>
        <w:t xml:space="preserve">37.1 SM-6.8-F: Validation Records and Artefact Log</w:t>
      </w:r>
    </w:p>
    <w:bookmarkStart w:id="275" w:name="artefact-admission-summary"/>
    <w:p>
      <w:pPr>
        <w:pStyle w:val="Heading3"/>
      </w:pPr>
      <w:r>
        <w:t xml:space="preserve">37.1.1 Artefact Admission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Artefact family</w:t>
            </w:r>
          </w:p>
        </w:tc>
        <w:tc>
          <w:tcPr/>
          <w:p>
            <w:pPr>
              <w:pStyle w:val="Compact"/>
            </w:pPr>
            <w:r>
              <w:t xml:space="preserve">Total instances</w:t>
            </w:r>
          </w:p>
        </w:tc>
        <w:tc>
          <w:tcPr/>
          <w:p>
            <w:pPr>
              <w:pStyle w:val="Compact"/>
            </w:pPr>
            <w:r>
              <w:t xml:space="preserve">Passed on first attempt</w:t>
            </w:r>
          </w:p>
        </w:tc>
        <w:tc>
          <w:tcPr/>
          <w:p>
            <w:pPr>
              <w:pStyle w:val="Compact"/>
            </w:pPr>
            <w:r>
              <w:t xml:space="preserve">Required correction</w:t>
            </w:r>
          </w:p>
        </w:tc>
        <w:tc>
          <w:tcPr/>
          <w:p>
            <w:pPr>
              <w:pStyle w:val="Compact"/>
            </w:pPr>
            <w:r>
              <w:t xml:space="preserve">Currently superseded</w:t>
            </w:r>
          </w:p>
        </w:tc>
      </w:tr>
      <w:tr>
        <w:tc>
          <w:tcPr/>
          <w:p>
            <w:pPr>
              <w:pStyle w:val="Compact"/>
            </w:pPr>
            <w:r>
              <w:t xml:space="preserve">DemandPack</w:t>
            </w:r>
          </w:p>
        </w:tc>
        <w:tc>
          <w:tcPr/>
          <w:p>
            <w:pPr>
              <w:pStyle w:val="Compact"/>
            </w:pPr>
            <w:r>
              <w:t xml:space="preserve">8 (4 epochs × 2 pathways)</w:t>
            </w:r>
          </w:p>
        </w:tc>
        <w:tc>
          <w:tcPr/>
          <w:p>
            <w:pPr>
              <w:pStyle w:val="Compact"/>
            </w:pPr>
            <w:r>
              <w:t xml:space="preserve">5</w:t>
            </w:r>
          </w:p>
        </w:tc>
        <w:tc>
          <w:tcPr/>
          <w:p>
            <w:pPr>
              <w:pStyle w:val="Compact"/>
            </w:pPr>
            <w:r>
              <w:t xml:space="preserve">3 (2035_EB rounding error)</w:t>
            </w:r>
          </w:p>
        </w:tc>
        <w:tc>
          <w:tcPr/>
          <w:p>
            <w:pPr>
              <w:pStyle w:val="Compact"/>
            </w:pPr>
            <w:r>
              <w:t xml:space="preserve">3</w:t>
            </w:r>
          </w:p>
        </w:tc>
      </w:tr>
      <w:tr>
        <w:tc>
          <w:tcPr/>
          <w:p>
            <w:pPr>
              <w:pStyle w:val="Compact"/>
            </w:pPr>
            <w:r>
              <w:t xml:space="preserve">IncrementalElectricityPack</w:t>
            </w:r>
          </w:p>
        </w:tc>
        <w:tc>
          <w:tcPr/>
          <w:p>
            <w:pPr>
              <w:pStyle w:val="Compact"/>
            </w:pPr>
            <w:r>
              <w:t xml:space="preserve">4 (2 pathways × 2 epochs in comparison)</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SignalsPack</w:t>
            </w:r>
          </w:p>
        </w:tc>
        <w:tc>
          <w:tcPr/>
          <w:p>
            <w:pPr>
              <w:pStyle w:val="Compact"/>
            </w:pPr>
            <w:r>
              <w:t xml:space="preserve">4 (4 epochs)</w:t>
            </w:r>
          </w:p>
        </w:tc>
        <w:tc>
          <w:tcPr/>
          <w:p>
            <w:pPr>
              <w:pStyle w:val="Compact"/>
            </w:pPr>
            <w:r>
              <w:t xml:space="preserve">4 (SHA256 verified)</w:t>
            </w:r>
          </w:p>
        </w:tc>
        <w:tc>
          <w:tcPr/>
          <w:p>
            <w:pPr>
              <w:pStyle w:val="Compact"/>
            </w:pPr>
            <w:r>
              <w:t xml:space="preserve">0</w:t>
            </w:r>
          </w:p>
        </w:tc>
        <w:tc>
          <w:tcPr/>
          <w:p>
            <w:pPr>
              <w:pStyle w:val="Compact"/>
            </w:pPr>
            <w:r>
              <w:t xml:space="preserve">0</w:t>
            </w:r>
          </w:p>
        </w:tc>
      </w:tr>
      <w:tr>
        <w:tc>
          <w:tcPr/>
          <w:p>
            <w:pPr>
              <w:pStyle w:val="Compact"/>
            </w:pPr>
            <w:r>
              <w:t xml:space="preserve">FutureArtefact</w:t>
            </w:r>
          </w:p>
        </w:tc>
        <w:tc>
          <w:tcPr/>
          <w:p>
            <w:pPr>
              <w:pStyle w:val="Compact"/>
            </w:pPr>
            <w:r>
              <w:t xml:space="preserve">64 (futures 0 to 63)</w:t>
            </w:r>
          </w:p>
        </w:tc>
        <w:tc>
          <w:tcPr/>
          <w:p>
            <w:pPr>
              <w:pStyle w:val="Compact"/>
            </w:pPr>
            <w:r>
              <w:t xml:space="preserve">64</w:t>
            </w:r>
          </w:p>
        </w:tc>
        <w:tc>
          <w:tcPr/>
          <w:p>
            <w:pPr>
              <w:pStyle w:val="Compact"/>
            </w:pPr>
            <w:r>
              <w:t xml:space="preserve">0</w:t>
            </w:r>
          </w:p>
        </w:tc>
        <w:tc>
          <w:tcPr/>
          <w:p>
            <w:pPr>
              <w:pStyle w:val="Compact"/>
            </w:pPr>
            <w:r>
              <w:t xml:space="preserve">0</w:t>
            </w:r>
          </w:p>
        </w:tc>
      </w:tr>
      <w:tr>
        <w:tc>
          <w:tcPr/>
          <w:p>
            <w:pPr>
              <w:pStyle w:val="Compact"/>
            </w:pPr>
            <w:r>
              <w:t xml:space="preserve">ResultArtefact</w:t>
            </w:r>
          </w:p>
        </w:tc>
        <w:tc>
          <w:tcPr/>
          <w:p>
            <w:pPr>
              <w:pStyle w:val="Compact"/>
            </w:pPr>
            <w:r>
              <w:t xml:space="preserve">4 (2 pathways × 2 epochs)</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ValidationArtefact</w:t>
            </w:r>
          </w:p>
        </w:tc>
        <w:tc>
          <w:tcPr/>
          <w:p>
            <w:pPr>
              <w:pStyle w:val="Compact"/>
            </w:pPr>
            <w:r>
              <w:t xml:space="preserve">28</w:t>
            </w:r>
          </w:p>
        </w:tc>
        <w:tc>
          <w:tcPr/>
          <w:p>
            <w:pPr>
              <w:pStyle w:val="Compact"/>
            </w:pPr>
            <w:r>
              <w:t xml:space="preserve">28</w:t>
            </w:r>
          </w:p>
        </w:tc>
        <w:tc>
          <w:tcPr/>
          <w:p>
            <w:pPr>
              <w:pStyle w:val="Compact"/>
            </w:pPr>
            <w:r>
              <w:t xml:space="preserve">—</w:t>
            </w:r>
          </w:p>
        </w:tc>
        <w:tc>
          <w:tcPr/>
          <w:p>
            <w:pPr>
              <w:pStyle w:val="Compact"/>
            </w:pPr>
            <w:r>
              <w:t xml:space="preserve">0 (all retained)</w:t>
            </w:r>
          </w:p>
        </w:tc>
      </w:tr>
      <w:tr>
        <w:tc>
          <w:tcPr/>
          <w:p>
            <w:pPr>
              <w:pStyle w:val="Compact"/>
            </w:pPr>
            <w:r>
              <w:t xml:space="preserve">DecisionSummaryArtefact</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r>
    </w:tbl>
    <w:bookmarkEnd w:id="275"/>
    <w:bookmarkStart w:id="276" w:name="demandpack-failure-correction-log"/>
    <w:p>
      <w:pPr>
        <w:pStyle w:val="Heading3"/>
      </w:pPr>
      <w:r>
        <w:t xml:space="preserve">37.1.2 DemandPack Failure-Correction Log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Artefact ID</w:t>
            </w:r>
          </w:p>
        </w:tc>
        <w:tc>
          <w:tcPr/>
          <w:p>
            <w:pPr>
              <w:pStyle w:val="Compact"/>
            </w:pPr>
            <w:r>
              <w:t xml:space="preserve">Epoch</w:t>
            </w:r>
          </w:p>
        </w:tc>
        <w:tc>
          <w:tcPr/>
          <w:p>
            <w:pPr>
              <w:pStyle w:val="Compact"/>
            </w:pPr>
            <w:r>
              <w:t xml:space="preserve">Failure reason</w:t>
            </w:r>
          </w:p>
        </w:tc>
        <w:tc>
          <w:tcPr/>
          <w:p>
            <w:pPr>
              <w:pStyle w:val="Compact"/>
            </w:pPr>
            <w:r>
              <w:t xml:space="preserve">Gate</w:t>
            </w:r>
          </w:p>
        </w:tc>
        <w:tc>
          <w:tcPr/>
          <w:p>
            <w:pPr>
              <w:pStyle w:val="Compact"/>
            </w:pPr>
            <w:r>
              <w:t xml:space="preserve">Action</w:t>
            </w:r>
          </w:p>
        </w:tc>
        <w:tc>
          <w:tcPr/>
          <w:p>
            <w:pPr>
              <w:pStyle w:val="Compact"/>
            </w:pPr>
            <w:r>
              <w:t xml:space="preserve">Superseded by</w:t>
            </w:r>
          </w:p>
        </w:tc>
      </w:tr>
      <w:tr>
        <w:tc>
          <w:tcPr/>
          <w:p>
            <w:pPr>
              <w:pStyle w:val="Compact"/>
            </w:pPr>
            <w:r>
              <w:t xml:space="preserve">dp_2035_EB_v001</w:t>
            </w:r>
          </w:p>
        </w:tc>
        <w:tc>
          <w:tcPr/>
          <w:p>
            <w:pPr>
              <w:pStyle w:val="Compact"/>
            </w:pPr>
            <w:r>
              <w:t xml:space="preserve">2035_EB</w:t>
            </w:r>
          </w:p>
        </w:tc>
        <w:tc>
          <w:tcPr/>
          <w:p>
            <w:pPr>
              <w:pStyle w:val="Compact"/>
            </w:pPr>
            <w:r>
              <w:t xml:space="preserve">annual_total closure error 0.72%</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r>
        <w:tc>
          <w:tcPr/>
          <w:p>
            <w:pPr>
              <w:pStyle w:val="Compact"/>
            </w:pPr>
            <w:r>
              <w:t xml:space="preserve">dp_2035_EB_v002</w:t>
            </w:r>
          </w:p>
        </w:tc>
        <w:tc>
          <w:tcPr/>
          <w:p>
            <w:pPr>
              <w:pStyle w:val="Compact"/>
            </w:pPr>
            <w:r>
              <w:t xml:space="preserve">2035_EB</w:t>
            </w:r>
          </w:p>
        </w:tc>
        <w:tc>
          <w:tcPr/>
          <w:p>
            <w:pPr>
              <w:pStyle w:val="Compact"/>
            </w:pPr>
            <w:r>
              <w:t xml:space="preserve">annual_total closure error 0.83%</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r>
        <w:tc>
          <w:tcPr/>
          <w:p>
            <w:pPr>
              <w:pStyle w:val="Compact"/>
            </w:pPr>
            <w:r>
              <w:t xml:space="preserve">dp_2035_EB_v003</w:t>
            </w:r>
          </w:p>
        </w:tc>
        <w:tc>
          <w:tcPr/>
          <w:p>
            <w:pPr>
              <w:pStyle w:val="Compact"/>
            </w:pPr>
            <w:r>
              <w:t xml:space="preserve">2035_EB</w:t>
            </w:r>
          </w:p>
        </w:tc>
        <w:tc>
          <w:tcPr/>
          <w:p>
            <w:pPr>
              <w:pStyle w:val="Compact"/>
            </w:pPr>
            <w:r>
              <w:t xml:space="preserve">annual_total closure error 0.91%</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bl>
    <w:p>
      <w:pPr>
        <w:pStyle w:val="BodyText"/>
      </w:pPr>
      <w:r>
        <w:t xml:space="preserve">Root cause: Seasonal decomposition fractions summed to 0.999 rather than 1.000 due to floating-point truncation in the monthly allocation step. Fix: normalise fractions to sum exactly to 1.0 before application.</w:t>
      </w:r>
    </w:p>
    <w:bookmarkEnd w:id="276"/>
    <w:bookmarkStart w:id="277" w:name="sha256-hash-verification-summary"/>
    <w:p>
      <w:pPr>
        <w:pStyle w:val="Heading3"/>
      </w:pPr>
      <w:r>
        <w:t xml:space="preserve">37.1.3 SHA256 Hash Verification Summary</w:t>
      </w:r>
    </w:p>
    <w:p>
      <w:pPr>
        <w:pStyle w:val="FirstParagraph"/>
      </w:pPr>
      <w:r>
        <w:t xml:space="preserve">All four SignalsPack files were verified against their declared manifest hashes on each consuming module read. No hash mismatches were detected in the release bundle.</w:t>
      </w:r>
    </w:p>
    <w:bookmarkEnd w:id="277"/>
    <w:bookmarkEnd w:id="278"/>
    <w:bookmarkEnd w:id="279"/>
    <w:bookmarkStart w:id="280" w:name="module-7-extension-and-synthesis"/>
    <w:p>
      <w:pPr>
        <w:pStyle w:val="Heading1"/>
      </w:pPr>
      <w:r>
        <w:t xml:space="preserve">38. Module 7: Extension and Synthesis</w:t>
      </w:r>
    </w:p>
    <w:p>
      <w:pPr>
        <w:pStyle w:val="FirstParagraph"/>
      </w:pPr>
      <w:r>
        <w:t xml:space="preserve">Module 7 extends the framework beyond the</w:t>
      </w:r>
      <w:r>
        <w:t xml:space="preserve"> </w:t>
      </w:r>
      <w:r>
        <w:t xml:space="preserve">proof-of-concept context, states the eleven</w:t>
      </w:r>
      <w:r>
        <w:t xml:space="preserve"> </w:t>
      </w:r>
      <w:r>
        <w:t xml:space="preserve">propositions that constitute the intellectual</w:t>
      </w:r>
      <w:r>
        <w:t xml:space="preserve"> </w:t>
      </w:r>
      <w:r>
        <w:t xml:space="preserve">contribution, and closes the argument.</w:t>
      </w:r>
    </w:p>
    <w:bookmarkEnd w:id="280"/>
    <w:bookmarkStart w:id="294" w:name="module-7-extension-and-synthesis-1"/>
    <w:p>
      <w:pPr>
        <w:pStyle w:val="Heading1"/>
      </w:pPr>
      <w:r>
        <w:t xml:space="preserve">39. Module 7: Extension and Synthesis</w:t>
      </w:r>
    </w:p>
    <w:p>
      <w:pPr>
        <w:pStyle w:val="FirstParagraph"/>
      </w:pPr>
      <w:r>
        <w:t xml:space="preserve">Beyond Process Heat and the Closing Argument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7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Extends the framework beyond the Edendale proof of concept, states its limits honestly, synthesises its intellectual contribution in eleven propositions, and closes the argument</w:t>
                  </w:r>
                </w:p>
              </w:tc>
            </w:tr>
            <w:tr>
              <w:tc>
                <w:tcPr/>
                <w:p>
                  <w:pPr>
                    <w:pStyle w:val="Compact"/>
                  </w:pPr>
                  <w:r>
                    <w:rPr>
                      <w:b/>
                      <w:bCs/>
                    </w:rPr>
                    <w:t xml:space="preserve">Assumes</w:t>
                  </w:r>
                </w:p>
              </w:tc>
              <w:tc>
                <w:tcPr/>
                <w:p>
                  <w:pPr>
                    <w:pStyle w:val="Compact"/>
                  </w:pPr>
                  <w:r>
                    <w:t xml:space="preserve">Modules 0 through 6 in full</w:t>
                  </w:r>
                </w:p>
              </w:tc>
            </w:tr>
            <w:tr>
              <w:tc>
                <w:tcPr/>
                <w:p>
                  <w:pPr>
                    <w:pStyle w:val="Compact"/>
                  </w:pPr>
                  <w:r>
                    <w:rPr>
                      <w:b/>
                      <w:bCs/>
                    </w:rPr>
                    <w:t xml:space="preserve">Contributes</w:t>
                  </w:r>
                </w:p>
              </w:tc>
              <w:tc>
                <w:tcPr/>
                <w:p>
                  <w:pPr>
                    <w:pStyle w:val="Compact"/>
                  </w:pPr>
                  <w:r>
                    <w:t xml:space="preserve">Corporate-scale and national-scale extension architectures; multi-domain instantiation logic; the adaptive decision laboratory vision; honest statement of four current limits; eleven propositions; and the closing argument</w:t>
                  </w:r>
                </w:p>
              </w:tc>
            </w:tr>
            <w:tr>
              <w:tc>
                <w:tcPr/>
                <w:p>
                  <w:pPr>
                    <w:pStyle w:val="Compact"/>
                  </w:pPr>
                  <w:r>
                    <w:rPr>
                      <w:b/>
                      <w:bCs/>
                    </w:rPr>
                    <w:t xml:space="preserve">Passes to</w:t>
                  </w:r>
                </w:p>
              </w:tc>
              <w:tc>
                <w:tcPr/>
                <w:p>
                  <w:pPr>
                    <w:pStyle w:val="Compact"/>
                  </w:pPr>
                  <w:r>
                    <w:t xml:space="preserve">References (Glossary)</w:t>
                  </w:r>
                </w:p>
              </w:tc>
            </w:tr>
            <w:tr>
              <w:tc>
                <w:tcPr/>
                <w:p>
                  <w:pPr>
                    <w:pStyle w:val="Compact"/>
                  </w:pPr>
                  <w:r>
                    <w:rPr>
                      <w:b/>
                      <w:bCs/>
                    </w:rPr>
                    <w:t xml:space="preserve">Can be read independently</w:t>
                  </w:r>
                </w:p>
              </w:tc>
              <w:tc>
                <w:tcPr/>
                <w:p>
                  <w:pPr>
                    <w:pStyle w:val="Compact"/>
                  </w:pPr>
                  <w:r>
                    <w:t xml:space="preserve">§7.6 and §7.7 can be read as a standalone statement of the framework’s intellectual claim; all other sections benefit from Modules 1 through 6</w:t>
                  </w:r>
                </w:p>
              </w:tc>
            </w:tr>
            <w:tr>
              <w:tc>
                <w:tcPr/>
                <w:p>
                  <w:pPr>
                    <w:pStyle w:val="Compact"/>
                  </w:pPr>
                  <w:r>
                    <w:rPr>
                      <w:b/>
                      <w:bCs/>
                    </w:rPr>
                    <w:t xml:space="preserve">Sub-Modules</w:t>
                  </w:r>
                </w:p>
              </w:tc>
              <w:tc>
                <w:tcPr/>
                <w:p>
                  <w:pPr>
                    <w:pStyle w:val="Compact"/>
                  </w:pPr>
                  <w:r>
                    <w:t xml:space="preserve">None</w:t>
                  </w:r>
                </w:p>
              </w:tc>
            </w:tr>
          </w:tbl>
          <w:p/>
        </w:tc>
      </w:tr>
    </w:tbl>
    <w:bookmarkStart w:id="281" w:name="multi-site-and-corporate-scale-extension"/>
    <w:p>
      <w:pPr>
        <w:pStyle w:val="Heading2"/>
      </w:pPr>
      <w:r>
        <w:t xml:space="preserve">39.1 §7.1 Multi-Site and Corporate-Scale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§7.1 Multi-Site and Corporate-Scale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Module 6 §6.9, Module 4 §4.4</w:t>
                  </w:r>
                </w:p>
              </w:tc>
            </w:tr>
            <w:tr>
              <w:tc>
                <w:tcPr/>
                <w:p>
                  <w:pPr>
                    <w:pStyle w:val="Compact"/>
                  </w:pPr>
                  <w:r>
                    <w:rPr>
                      <w:b/>
                      <w:bCs/>
                    </w:rPr>
                    <w:t xml:space="preserve">Contributes</w:t>
                  </w:r>
                </w:p>
              </w:tc>
              <w:tc>
                <w:tcPr/>
                <w:p>
                  <w:pPr>
                    <w:pStyle w:val="Compact"/>
                  </w:pPr>
                  <w:r>
                    <w:t xml:space="preserve">Develops the corporate-scale deployment architecture in which multiple facility modules share a common regional module, a common policy module, and a common future ensemble, enabling portfolio-level pathway comparison</w:t>
                  </w:r>
                </w:p>
              </w:tc>
            </w:tr>
            <w:tr>
              <w:tc>
                <w:tcPr/>
                <w:p>
                  <w:pPr>
                    <w:pStyle w:val="Compact"/>
                  </w:pPr>
                  <w:r>
                    <w:rPr>
                      <w:b/>
                      <w:bCs/>
                    </w:rPr>
                    <w:t xml:space="preserve">Skip condition</w:t>
                  </w:r>
                </w:p>
              </w:tc>
              <w:tc>
                <w:tcPr/>
                <w:p>
                  <w:pPr>
                    <w:pStyle w:val="Compact"/>
                  </w:pPr>
                  <w:r>
                    <w:t xml:space="preserve">Skip if reader is interested only in the site-level proof of concept; return for corporate-scale deployment planning</w:t>
                  </w:r>
                </w:p>
              </w:tc>
            </w:tr>
            <w:tr>
              <w:tc>
                <w:tcPr/>
                <w:p>
                  <w:pPr>
                    <w:pStyle w:val="Compact"/>
                  </w:pPr>
                  <w:r>
                    <w:rPr>
                      <w:b/>
                      <w:bCs/>
                    </w:rPr>
                    <w:t xml:space="preserve">Passes to</w:t>
                  </w:r>
                </w:p>
              </w:tc>
              <w:tc>
                <w:tcPr/>
                <w:p>
                  <w:pPr>
                    <w:pStyle w:val="Compact"/>
                  </w:pPr>
                  <w:r>
                    <w:t xml:space="preserve">§7.2</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Edendale proof of concept evaluates one facility’s pathway decision. The same architecture, without modification to any of its fundamental components, extends to evaluate the pathway decisions of every facility in a large industrial company’s portfolio simultaneously. The extension does not require building a new system. It requires adding more Facility Modules that share the same regional infrastructure and resource modules that are already in the architecture.</w:t>
      </w:r>
    </w:p>
    <w:p>
      <w:pPr>
        <w:pStyle w:val="BodyText"/>
      </w:pPr>
      <w:r>
        <w:t xml:space="preserve">Consider Fonterra’s South Island processing portfolio. The company operates facilities at Edendale, Clandeboye, Darfield, Canpac, and Waitoa, each connected to the national transmission system at a different GXP, each drawing on regional biomass resources from different supply clusters, and each facing the same coal phase-out deadline under the same corporate sustainability commitment. From the framework’s perspective, these facilities are five Facility Modules connected to a shared Regional Module that represents the South Island transmission system. Each Facility Module produces its own IncrementalElectricityPack, and the Regional Module evaluates all five simultaneously against the regional grid’s hosting capacity, producing a set of SignalsPacks that reflect the aggregate demand pressure on the transmission system rather than the site-isolated demand of any one facility.</w:t>
      </w:r>
    </w:p>
    <w:p>
      <w:pPr>
        <w:pStyle w:val="BodyText"/>
      </w:pPr>
      <w:r>
        <w:t xml:space="preserve">This aggregate assessment reveals a class of consequence invisible from any individual facility analysis. When five large electrification pathways are evaluated simultaneously, the aggregate incremental electricity demand may exceed the South Island grid’s hosting capacity in futures where no individual facility’s demand would trigger an exceedance on its own. The 23-of-64 finding at Edendale would become, in a portfolio assessment, a finding about the proportion of futures in which the aggregate electrification demand requires transmission reinforcement at the regional scale rather than the GXP scale. That finding changes the nature of the investment decision from a site-level pathway choice to a portfolio staging question: which facilities should electrify first, and in what sequence, to manage the aggregate grid demand and to capture the available grid headroom before competing demand fills it?</w:t>
      </w:r>
    </w:p>
    <w:p>
      <w:pPr>
        <w:pStyle w:val="BodyText"/>
      </w:pPr>
      <w:r>
        <w:t xml:space="preserve">The portfolio staging question is answered by the DMDU orchestration layer operating across the multi-site ensemble. Rather than evaluating two pathway alternatives for one facility against 64 futures, the orchestration layer evaluates a combinatorial space of staging sequences for five facilities against the same 64 futures, or a representative sample of the staging space if full enumeration is computationally prohibitive. The regret and robustness metrics are computed over the portfolio cost and emissions outcomes, and the scenario discovery analysis identifies which combinations of grid headroom and demand growth futures most strongly determine the preferred staging sequence.</w:t>
      </w:r>
    </w:p>
    <w:p>
      <w:pPr>
        <w:pStyle w:val="BodyText"/>
      </w:pPr>
      <w:r>
        <w:t xml:space="preserve">The data translation requirement for a corporate-scale deployment is addressed by the framework’s data intake architecture. A facility’s existing energy management system records its operational demand history as hourly electricity and fuel consumption data. This data translates directly into a calibrated DemandPack, replacing the synthetic profiles of the proof of concept with measured operational records. The capital cost estimates from existing engineering assessments translate into SiteConfigArtefact parameters. The financial projections from existing corporate planning models translate into FutureArtefact uncertain driver calibrations. None of these translations requires the organisation to discard its existing analytical work; they require that work to be formatted as governed artefacts.</w:t>
      </w:r>
    </w:p>
    <w:p>
      <w:pPr>
        <w:pStyle w:val="BodyText"/>
      </w:pPr>
      <w:r>
        <w:t xml:space="preserve">The operational dispatch extension connects the same architecture to day-ahead and week-ahead scheduling optimisation. Once the strategic pathway comparison has been resolved and a technology commitment has been made, the Facility Module can be reconfigured to support operational dispatch rather than pathway comparison. The same IncrementalElectricityPack and SignalsPack exchange that the strategic comparison uses becomes the interface through which real-time tariff signals from the distribution network inform day-ahead dispatch decisions. The strategic and operational layers share the same analytical backbone, and the accumulated operational dispatch record progressively enriches the DemandPack calibration for the next round of strategic reassessment.</w:t>
      </w:r>
    </w:p>
    <w:p>
      <w:pPr>
        <w:pStyle w:val="BodyText"/>
      </w:pPr>
      <w:r>
        <w:t xml:space="preserve">The commercial advantage of this architecture is specific and auditable. A corporate sustainability officer who can present a portfolio transition strategy evaluated against system-level interaction effects, using a governed, traceable analytical chain, occupies a qualitatively different position in negotiations with EECA, Transpower, and the Electricity Authority than one relying on a collection of independent site assessments. The interaction effects are not merely acknowledged qualitatively; they are computed, attributed to specific cost components, and evaluated across plausible futures.</w:t>
      </w:r>
    </w:p>
    <w:bookmarkEnd w:id="281"/>
    <w:bookmarkStart w:id="282" w:name="X9111c17b47f7c632e514a9ced3cff5f68e7908c"/>
    <w:p>
      <w:pPr>
        <w:pStyle w:val="Heading2"/>
      </w:pPr>
      <w:r>
        <w:t xml:space="preserve">39.2 §7.2 Sector-Scale and National-Scale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§7.2 Sector-Scale and National-Scale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§7.1, Module 5 §5.5</w:t>
                  </w:r>
                </w:p>
              </w:tc>
            </w:tr>
            <w:tr>
              <w:tc>
                <w:tcPr/>
                <w:p>
                  <w:pPr>
                    <w:pStyle w:val="Compact"/>
                  </w:pPr>
                  <w:r>
                    <w:rPr>
                      <w:b/>
                      <w:bCs/>
                    </w:rPr>
                    <w:t xml:space="preserve">Contributes</w:t>
                  </w:r>
                </w:p>
              </w:tc>
              <w:tc>
                <w:tcPr/>
                <w:p>
                  <w:pPr>
                    <w:pStyle w:val="Compact"/>
                  </w:pPr>
                  <w:r>
                    <w:t xml:space="preserve">Develops the sector-scale and national-scale extension architectures, including the TIMES-NZ coupling vision and the Gauss-Seidel iterative coupling mechanism</w:t>
                  </w:r>
                </w:p>
              </w:tc>
            </w:tr>
            <w:tr>
              <w:tc>
                <w:tcPr/>
                <w:p>
                  <w:pPr>
                    <w:pStyle w:val="Compact"/>
                  </w:pPr>
                  <w:r>
                    <w:rPr>
                      <w:b/>
                      <w:bCs/>
                    </w:rPr>
                    <w:t xml:space="preserve">Skip condition</w:t>
                  </w:r>
                </w:p>
              </w:tc>
              <w:tc>
                <w:tcPr/>
                <w:p>
                  <w:pPr>
                    <w:pStyle w:val="Compact"/>
                  </w:pPr>
                  <w:r>
                    <w:t xml:space="preserve">Skip if national-scale extension is not in scope</w:t>
                  </w:r>
                </w:p>
              </w:tc>
            </w:tr>
            <w:tr>
              <w:tc>
                <w:tcPr/>
                <w:p>
                  <w:pPr>
                    <w:pStyle w:val="Compact"/>
                  </w:pPr>
                  <w:r>
                    <w:rPr>
                      <w:b/>
                      <w:bCs/>
                    </w:rPr>
                    <w:t xml:space="preserve">Passes to</w:t>
                  </w:r>
                </w:p>
              </w:tc>
              <w:tc>
                <w:tcPr/>
                <w:p>
                  <w:pPr>
                    <w:pStyle w:val="Compact"/>
                  </w:pPr>
                  <w:r>
                    <w:t xml:space="preserve">§7.3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multi-site extension of §7.1 encompasses all facilities within one company. The sector-scale extension encompasses all major industrial heat users in a region, regardless of ownership. In the Southland context, the relevant actors are Fonterra’s dairy processing facilities, the meat processing sector including Alliance Group and Silver Fern Farms, the wood products sector including sawmills and fibre processing operations, and any other significant industrial heat users in the region. Each of these actors faces a version of the same transition decision: replace coal-fired heat with electrification, biomass, or some combination, under the same regional grid constraints, the same biomass resource competition, and the same carbon price trajectory.</w:t>
      </w:r>
    </w:p>
    <w:p>
      <w:pPr>
        <w:pStyle w:val="BodyText"/>
      </w:pPr>
      <w:r>
        <w:t xml:space="preserve">The sector-scale deployment adds multiple company-affiliated groups of Facility Modules to the shared Regional Module. The aggregate electricity demand assessment now represents the sum of all sectors’ electrification commitments against the regional grid’s hosting capacity. The biomass resource assessment represents the competition among all sectors for the same regional supply base. The interactions that are invisible within any single company’s analysis become analytically visible when the sector as a whole is represented simultaneously.</w:t>
      </w:r>
    </w:p>
    <w:p>
      <w:pPr>
        <w:pStyle w:val="BodyText"/>
      </w:pPr>
      <w:r>
        <w:t xml:space="preserve">The sector-scale question of most direct policy relevance is: what combination of electrification and biomass commitments across all regional industrial heat users produces the most robust regional decarbonisation pathway, where robustness means performing acceptably across the widest range of plausible grid, resource, and policy futures? This question cannot be answered from individual site or company analyses. It requires the sector-level representation that the framework’s multi-module architecture provides. The answer informs regional infrastructure planning: Transpower and PowerNet can use it to prioritise transmission and distribution investment, and EECA can use it to target GIDI co-investment where it most reduces systemic risk rather than merely supporting the most commercially advanced applicants.</w:t>
      </w:r>
    </w:p>
    <w:p>
      <w:pPr>
        <w:pStyle w:val="BodyText"/>
      </w:pPr>
      <w:r>
        <w:t xml:space="preserve">At the national scale, the framework couples to TIMES-NZ through the FutureArtefact ensemble calibration layer. TIMES-NZ scenario outputs, including the electricity price trajectories, sectoral demand projections, and national carbon price pathways under different policy settings, are translated into the boundary conditions for the ensemble’s uncertain driver ranges. This one-directional coupling ensures that the pathway comparisons conducted at the site and regional levels are consistent with plausible national energy trajectories, rather than relying on independently constructed assumptions about macroeconomic and policy futures.</w:t>
      </w:r>
    </w:p>
    <w:p>
      <w:pPr>
        <w:pStyle w:val="BodyText"/>
      </w:pPr>
      <w:r>
        <w:t xml:space="preserve">The vision beyond one-directional coupling is the Gauss-Seidel iterative coupling architecture: an exchange in which the framework’s site-level and regional-level findings are summarised as aggregate demand scenarios and passed back to TIMES-NZ as industrial electrification demand projections, TIMES-NZ is re-run under those projections to produce updated national electricity price and carbon price trajectories, and those updated trajectories are used to recalibrate the FutureArtefact ensemble for the next iteration of the regional-level analysis. The coupling iterates until the site-level, regional-level, and national-level projections converge to a mutually consistent set of pathway recommendations.</w:t>
      </w:r>
    </w:p>
    <w:p>
      <w:pPr>
        <w:pStyle w:val="BodyText"/>
      </w:pPr>
      <w:r>
        <w:t xml:space="preserve">This iterative coupling is technically feasible with existing tools. PyPSA-NZ, the national electricity system model built on the PyPSA framework, provides a natural implementation environment for the electricity dimension. TIMES-NZ provides the multi-energy system and economic dimension. The framework’s thin-waist architecture is the governance layer that makes the exchange of outputs between TIMES-NZ, PyPSA-NZ, and the site-and-regional modules traceable and auditable. The Gauss-Seidel coupling is the architectural vision; the one-directional TIMES-NZ coupling described in Module 5 is the first-generation step toward it.</w:t>
      </w:r>
    </w:p>
    <w:bookmarkEnd w:id="282"/>
    <w:bookmarkStart w:id="283" w:name="multi-domain-extension"/>
    <w:p>
      <w:pPr>
        <w:pStyle w:val="Heading2"/>
      </w:pPr>
      <w:r>
        <w:t xml:space="preserve">39.3 §7.3 Multi-Domain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§7.3 Multi-Domain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Module 4 §4.1, Module 3 §3.2</w:t>
                  </w:r>
                </w:p>
              </w:tc>
            </w:tr>
            <w:tr>
              <w:tc>
                <w:tcPr/>
                <w:p>
                  <w:pPr>
                    <w:pStyle w:val="Compact"/>
                  </w:pPr>
                  <w:r>
                    <w:rPr>
                      <w:b/>
                      <w:bCs/>
                    </w:rPr>
                    <w:t xml:space="preserve">Contributes</w:t>
                  </w:r>
                </w:p>
              </w:tc>
              <w:tc>
                <w:tcPr/>
                <w:p>
                  <w:pPr>
                    <w:pStyle w:val="Compact"/>
                  </w:pPr>
                  <w:r>
                    <w:t xml:space="preserve">Develops the generic instantiation logic for three non-energy domains, establishing what each would require in terms of module classes, artefact families, and uncertain drivers</w:t>
                  </w:r>
                </w:p>
              </w:tc>
            </w:tr>
            <w:tr>
              <w:tc>
                <w:tcPr/>
                <w:p>
                  <w:pPr>
                    <w:pStyle w:val="Compact"/>
                  </w:pPr>
                  <w:r>
                    <w:rPr>
                      <w:b/>
                      <w:bCs/>
                    </w:rPr>
                    <w:t xml:space="preserve">Skip condition</w:t>
                  </w:r>
                </w:p>
              </w:tc>
              <w:tc>
                <w:tcPr/>
                <w:p>
                  <w:pPr>
                    <w:pStyle w:val="Compact"/>
                  </w:pPr>
                  <w:r>
                    <w:t xml:space="preserve">Skip if reader is working only in the energy domain</w:t>
                  </w:r>
                </w:p>
              </w:tc>
            </w:tr>
            <w:tr>
              <w:tc>
                <w:tcPr/>
                <w:p>
                  <w:pPr>
                    <w:pStyle w:val="Compact"/>
                  </w:pPr>
                  <w:r>
                    <w:rPr>
                      <w:b/>
                      <w:bCs/>
                    </w:rPr>
                    <w:t xml:space="preserve">Passes to</w:t>
                  </w:r>
                </w:p>
              </w:tc>
              <w:tc>
                <w:tcPr/>
                <w:p>
                  <w:pPr>
                    <w:pStyle w:val="Compact"/>
                  </w:pPr>
                  <w:r>
                    <w:t xml:space="preserve">§7.4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decision-first boundary principle is domain-agnostic. The architectural components of Modules 3 and 4, modular decomposition, thin-waist artefact exchange, governed backbone, DMDU orchestration, are the scaffolding on which any problem with the five structural features of §1.1 can be instantiated. The process heat domain was chosen as the anchor exemplar because it concentrates all five features at an analytically tractable scale. The same concentration appears in at least three other domains that warrant explicit consideration.</w:t>
      </w:r>
    </w:p>
    <w:p>
      <w:pPr>
        <w:pStyle w:val="BodyText"/>
      </w:pPr>
      <w:r>
        <w:t xml:space="preserve">Water infrastructure planning under deep uncertainty presents the five structural features in a form that is structurally isomorphic to the process heat problem. A regional water system planner deciding whether to invest in reservoir expansion, groundwater development, or demand-side management under an uncertain precipitation regime, an uncertain population growth trajectory, and a regulatory environment governing water allocation rights that is itself contested, faces durable commitments, cross-scale interactions between catchment hydrology and downstream users, deep uncertainty about precipitation trajectories under climate change, plural objectives spanning agricultural productivity and environmental flows, and multiple actors including farmers, municipal authorities, conservation agencies, and recreational users.</w:t>
      </w:r>
    </w:p>
    <w:p>
      <w:pPr>
        <w:pStyle w:val="BodyText"/>
      </w:pPr>
      <w:r>
        <w:t xml:space="preserve">Instantiating the framework for this domain requires specifying the equivalent of each component in the energy domain translation layer. The Facility Module becomes an Agricultural or Municipal Demand Module that translates irrigation or urban water demand under declared technology and efficiency assumptions into the incremental water demand that crosses the facility boundary. The Regional Module becomes a Catchment Hydrology and Allocation Module that evaluates whether the incremental demand can be met under the future’s precipitation and competing-allocation conditions. The artefact families become: DemandPack (time-resolved water demand), IncrementalWaterPack (demand increment at the catchment boundary), CatchmentSignalsPack (allocation headroom, reliability, and scarcity signals), and the same FutureArtefact, ResultArtefact, ValidationArtefact, and DecisionSummaryArtefact families. The uncertain drivers become precipitation anomaly, competing allocation demand growth, regulatory allocation stringency, and demand management effectiveness.</w:t>
      </w:r>
    </w:p>
    <w:p>
      <w:pPr>
        <w:pStyle w:val="BodyText"/>
      </w:pPr>
      <w:r>
        <w:t xml:space="preserve">Regional transport infrastructure planning presents the same structure. A regional transport authority deciding whether to invest in road capacity expansion, public transport development, or active travel infrastructure under uncertain population growth and uncertain travel behaviour change faces durable infrastructure commitments, cross-scale interactions between land use patterns and transport demand, deep uncertainty about future travel behaviour, plural objectives spanning mobility, safety, emissions, and land use, and multiple actors including private vehicle users, freight operators, public transport users, and land developers. The Facility Module becomes a Land Use and Trip Generation Module; the Regional Module becomes a Network Capacity and Congestion Module.</w:t>
      </w:r>
    </w:p>
    <w:p>
      <w:pPr>
        <w:pStyle w:val="BodyText"/>
      </w:pPr>
      <w:r>
        <w:t xml:space="preserve">Land-use planning and urban development is the third domain. Planning decisions about where housing, industrial, and agricultural land uses are permitted create infrastructure consequences that propagate across transport, water, energy, and community services networks. The framework would represent individual development decisions as Facility Modules whose outputs are incremental demands on shared infrastructure, with Regional Modules representing each infrastructure system’s capacity response and artefact families carrying the multi-infrastructure consequence signals.</w:t>
      </w:r>
    </w:p>
    <w:p>
      <w:pPr>
        <w:pStyle w:val="BodyText"/>
      </w:pPr>
      <w:r>
        <w:t xml:space="preserve">In each domain, the thin-waist contract between the Facility Module and the Regional Module is what makes the decision-first architecture analytically tractable. The contract specifies the minimum necessary information that crosses the boundary, expressing the facility’s demand in the form the regional system needs to evaluate its consequences. The governance architecture of Module 3 applies without modification: every artefact must be schema-conforming, provenance-carrying, and validation-gated before admission to the comparison chain. Community contributors working in these domains can develop domain-specific module instantiations and contribute them through the process described in the Context Declaration’s Community Extension section.</w:t>
      </w:r>
    </w:p>
    <w:bookmarkEnd w:id="283"/>
    <w:bookmarkStart w:id="284" w:name="the-adaptive-decision-laboratory-vision"/>
    <w:p>
      <w:pPr>
        <w:pStyle w:val="Heading2"/>
      </w:pPr>
      <w:r>
        <w:t xml:space="preserve">39.4 §7.4 The Adaptive Decision Laboratory Vision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§7.4 The Adaptive Decision Laboratory Vision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§7.1, §7.2, §7.3, Module 2 §2.3, Module 3 §3.7</w:t>
                  </w:r>
                </w:p>
              </w:tc>
            </w:tr>
            <w:tr>
              <w:tc>
                <w:tcPr/>
                <w:p>
                  <w:pPr>
                    <w:pStyle w:val="Compact"/>
                  </w:pPr>
                  <w:r>
                    <w:rPr>
                      <w:b/>
                      <w:bCs/>
                    </w:rPr>
                    <w:t xml:space="preserve">Contributes</w:t>
                  </w:r>
                </w:p>
              </w:tc>
              <w:tc>
                <w:tcPr/>
                <w:p>
                  <w:pPr>
                    <w:pStyle w:val="Compact"/>
                  </w:pPr>
                  <w:r>
                    <w:t xml:space="preserve">Describes what full deployment of the framework’s analytical capabilities would look like in operation, from surrogate-accelerated ensemble evaluation through natural-language query to adaptive pathway monitoring</w:t>
                  </w:r>
                </w:p>
              </w:tc>
            </w:tr>
            <w:tr>
              <w:tc>
                <w:tcPr/>
                <w:p>
                  <w:pPr>
                    <w:pStyle w:val="Compact"/>
                  </w:pPr>
                  <w:r>
                    <w:rPr>
                      <w:b/>
                      <w:bCs/>
                    </w:rPr>
                    <w:t xml:space="preserve">Skip condition</w:t>
                  </w:r>
                </w:p>
              </w:tc>
              <w:tc>
                <w:tcPr/>
                <w:p>
                  <w:pPr>
                    <w:pStyle w:val="Compact"/>
                  </w:pPr>
                  <w:r>
                    <w:t xml:space="preserve">Skip for conceptual architecture; read for the full vision of what the framework is designed to become</w:t>
                  </w:r>
                </w:p>
              </w:tc>
            </w:tr>
            <w:tr>
              <w:tc>
                <w:tcPr/>
                <w:p>
                  <w:pPr>
                    <w:pStyle w:val="Compact"/>
                  </w:pPr>
                  <w:r>
                    <w:rPr>
                      <w:b/>
                      <w:bCs/>
                    </w:rPr>
                    <w:t xml:space="preserve">Passes to</w:t>
                  </w:r>
                </w:p>
              </w:tc>
              <w:tc>
                <w:tcPr/>
                <w:p>
                  <w:pPr>
                    <w:pStyle w:val="Compact"/>
                  </w:pPr>
                  <w:r>
                    <w:t xml:space="preserve">§7.5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proof of concept documented in Module 6 demonstrates a first-generation analytical environment. It evaluates two pathways for one facility against 64 futures using proportional dispatch, stylised regional screening, and a post-processing robustness overlay. Its governance chain is complete. Its results are traceable. Its limitations are declared. What it does not yet demonstrate is the full vision of what the architecture is designed to support when its specified and vision-level components are realised.</w:t>
      </w:r>
    </w:p>
    <w:p>
      <w:pPr>
        <w:pStyle w:val="BodyText"/>
      </w:pPr>
      <w:r>
        <w:t xml:space="preserve">That full vision is an adaptive decision laboratory: a persistent, governed, AI-augmented analytical environment in which site operators, regional planners, policy analysts, and community representatives can simultaneously interrogate a shared, continuously updated knowledge base about infrastructure transition decisions under deep uncertainty. Its characteristics are five.</w:t>
      </w:r>
    </w:p>
    <w:p>
      <w:pPr>
        <w:pStyle w:val="BodyText"/>
      </w:pPr>
      <w:r>
        <w:t xml:space="preserve">Surrogate-accelerated ensemble evaluation. The first characteristic is scale. Trained ML surrogates of the regional electricity module and the biomass resource module replace their full computational equivalents for the interior of the future ensemble while retaining those full models for regime-boundary validation. The surrogate architecture of Sub-Module SM-2.3-A enables the ensemble to expand from 64 futures to several hundred or several thousand, making PRIM-based scenario discovery and vulnerability mapping statistically meaningful. A vulnerability map produced from a 2,000-future ensemble gives the decision-maker a quantitatively grounded picture of which conditions concentrate pathway risk, rather than the illustrative pattern that 64 futures can only suggest.</w:t>
      </w:r>
    </w:p>
    <w:p>
      <w:pPr>
        <w:pStyle w:val="BodyText"/>
      </w:pPr>
      <w:r>
        <w:t xml:space="preserve">Multi-scale simultaneous evaluation. The second characteristic is comprehensiveness. The five Facility Modules of the South Island Fonterra portfolio, the sector-scale Regional Module representing all Southland industrial heat users, and the TIMES-NZ-calibrated FutureArtefact ensemble all run simultaneously in a single orchestration cycle. The decision-maker can ask questions about individual facility decisions, about portfolio staging, and about sector-level infrastructure requirements within the same analytical session, because the backbone contains the artefacts from all scales in a single queryable store.</w:t>
      </w:r>
    </w:p>
    <w:p>
      <w:pPr>
        <w:pStyle w:val="BodyText"/>
      </w:pPr>
      <w:r>
        <w:t xml:space="preserve">Natural-language query interface. The third characteristic is accessibility. A governed analytical backbone, carrying schema-conforming artefacts with explicit lineage and SHA256-verified integrity, is exactly the kind of structured knowledge store that a capable AI assistant can interrogate reliably. A regional planner who asks</w:t>
      </w:r>
      <w:r>
        <w:t xml:space="preserve"> </w:t>
      </w:r>
      <w:r>
        <w:t xml:space="preserve">“which Southland industrial facilities face grid exceedances in more than 30 percent of the ensemble’s futures?”</w:t>
      </w:r>
      <w:r>
        <w:t xml:space="preserve"> </w:t>
      </w:r>
      <w:r>
        <w:t xml:space="preserve">receives an answer that the assistant can produce by querying the DecisionSummaryArtefacts in the backbone, and the answer comes with an explicit provenance trail: the query was evaluated against artefacts produced by the regional screening module in release bundle poc_20260105_release02, using the 100-future ensemble calibrated to the RETA Southland reference capacity data. That provenance is what makes the answer trustworthy and auditable rather than merely plausible.</w:t>
      </w:r>
    </w:p>
    <w:p>
      <w:pPr>
        <w:pStyle w:val="BodyText"/>
      </w:pPr>
      <w:r>
        <w:t xml:space="preserve">Adaptive pathway monitoring. The fourth characteristic is continuity. The framework does not produce a plan and then disengage; it supports ongoing monitoring of the conditions under which the chosen pathway remains robust and the signposts whose observation would trigger a pathway revision. The DAPP framework of Haasnoot and colleagues provides the methodological basis for this monitoring logic: signposts are observable indicators whose values narrow the plausible range of the future ensemble, and triggers are threshold crossings that indicate the need to advance to the next planned pathway stage. The framework’s governance architecture makes it possible to declare signposts and triggers as structured artefacts, monitor them against the backbone’s evolving operational record, and generate update notifications when thresholds are approached.</w:t>
      </w:r>
    </w:p>
    <w:p>
      <w:pPr>
        <w:pStyle w:val="BodyText"/>
      </w:pPr>
      <w:r>
        <w:t xml:space="preserve">Community-governed extension. The fifth characteristic is openness. The thin-waist architecture ensures that domain specialists can contribute new module implementations, new artefact families, and new uncertain driver dimensions through the community contribution process, with each contribution reviewed for compatibility with the interface contracts and incorporated with full provenance. The adaptive decision laboratory is not a closed product; it is a governed commons.</w:t>
      </w:r>
    </w:p>
    <w:bookmarkEnd w:id="284"/>
    <w:bookmarkStart w:id="285" w:name="the-frameworks-current-limits"/>
    <w:p>
      <w:pPr>
        <w:pStyle w:val="Heading2"/>
      </w:pPr>
      <w:r>
        <w:t xml:space="preserve">39.5 §7.5 The Framework’s Current Limits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§7.5 The Framework’s Current Limits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6 §6.1, §6.10</w:t>
                  </w:r>
                </w:p>
              </w:tc>
            </w:tr>
            <w:tr>
              <w:tc>
                <w:tcPr/>
                <w:p>
                  <w:pPr>
                    <w:pStyle w:val="Compact"/>
                  </w:pPr>
                  <w:r>
                    <w:rPr>
                      <w:b/>
                      <w:bCs/>
                    </w:rPr>
                    <w:t xml:space="preserve">Contributes</w:t>
                  </w:r>
                </w:p>
              </w:tc>
              <w:tc>
                <w:tcPr/>
                <w:p>
                  <w:pPr>
                    <w:pStyle w:val="Compact"/>
                  </w:pPr>
                  <w:r>
                    <w:t xml:space="preserve">Honest statement of four classes of current limitation, distinguishing technical, institutional, data, and scope limits</w:t>
                  </w:r>
                </w:p>
              </w:tc>
            </w:tr>
            <w:tr>
              <w:tc>
                <w:tcPr/>
                <w:p>
                  <w:pPr>
                    <w:pStyle w:val="Compact"/>
                  </w:pPr>
                  <w:r>
                    <w:rPr>
                      <w:b/>
                      <w:bCs/>
                    </w:rPr>
                    <w:t xml:space="preserve">Skip condition</w:t>
                  </w:r>
                </w:p>
              </w:tc>
              <w:tc>
                <w:tcPr/>
                <w:p>
                  <w:pPr>
                    <w:pStyle w:val="Compact"/>
                  </w:pPr>
                  <w:r>
                    <w:t xml:space="preserve">Do not skip — the limits govern the epistemic status of every claim in this manuscript</w:t>
                  </w:r>
                </w:p>
              </w:tc>
            </w:tr>
            <w:tr>
              <w:tc>
                <w:tcPr/>
                <w:p>
                  <w:pPr>
                    <w:pStyle w:val="Compact"/>
                  </w:pPr>
                  <w:r>
                    <w:rPr>
                      <w:b/>
                      <w:bCs/>
                    </w:rPr>
                    <w:t xml:space="preserve">Passes to</w:t>
                  </w:r>
                </w:p>
              </w:tc>
              <w:tc>
                <w:tcPr/>
                <w:p>
                  <w:pPr>
                    <w:pStyle w:val="Compact"/>
                  </w:pPr>
                  <w:r>
                    <w:t xml:space="preserve">§7.6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progressive-refinement philosophy requires honesty about what the current framework does not yet achieve. The following four categories of limitation are stated precisely rather than hedged.</w:t>
      </w:r>
    </w:p>
    <w:p>
      <w:pPr>
        <w:pStyle w:val="BodyText"/>
      </w:pPr>
      <w:r>
        <w:t xml:space="preserve">Technical limits. The current proof of concept implements one-pass coupling, proportional dispatch, and stylised regional screening. These three simplifications together mean that the system-level cost estimates in futures where grid upgrades are required are somewhat underestimated relative to what an iterative coupling, scheduling-grade dispatch, and full network optimisation would produce. The direction of the bias is conservative for the electrification pathway: the one-pass architecture understates the infrastructure-conditional cost of electrification, making the EB pathway appear somewhat more competitive than it would appear under a higher-fidelity assessment. The 23-of-64 finding therefore likely understates rather than overstates the frequency and magnitude of infrastructure-conditional cost penalties. The next-phase developments specified in §6.10 address each of these technical limits in the order of their analytical consequence.</w:t>
      </w:r>
    </w:p>
    <w:p>
      <w:pPr>
        <w:pStyle w:val="BodyText"/>
      </w:pPr>
      <w:r>
        <w:t xml:space="preserve">Institutional limits. The framework as currently specified addresses the decision problem of one site operator or one corporate portfolio manager. It does not yet represent the multi-actor negotiation and bargaining processes through which infrastructure investment decisions are actually made at the regional scale. PowerNet’s Capacity Guarantee Agreement terms, Transpower’s transmission investment prioritisation criteria, and the Electricity Authority’s pricing rules all influence when and at what cost grid infrastructure is available to electrifying industrial users, and these institutional arrangements are more complex than the stylised upgrade menu of the current regional screening module represents. The institutional dimensions are analytically tractable within the framework’s architecture, but they require a richer representation of the regulatory and commercial environment than the current proof of concept provides.</w:t>
      </w:r>
    </w:p>
    <w:p>
      <w:pPr>
        <w:pStyle w:val="BodyText"/>
      </w:pPr>
      <w:r>
        <w:t xml:space="preserve">Data limits. The synthetic DemandPacks, the RETA-calibrated headroom estimates, and the indicative upgrade cost menu are all appropriate for a methodological proof of concept but would need to be replaced by measured operational data, Transpower connection assessment outputs, and negotiated commercial terms for a planning-grade application. The framework’s data intake architecture is designed to accommodate this upgrade without structural changes; the replacement is a module-level change that does not affect the analytical backbone or the evaluation layer. However, until that replacement is made, the numerical findings of Module 6 should be understood as illustrative of the framework’s analytical architecture rather than as estimates of the specific cost exposure at the Edendale facility.</w:t>
      </w:r>
    </w:p>
    <w:p>
      <w:pPr>
        <w:pStyle w:val="BodyText"/>
      </w:pPr>
      <w:r>
        <w:t xml:space="preserve">Scope limits. The current framework addresses two pathway alternatives, two spatial scales, one temporal horizon, and one region. The extension arguments of §§7.1 through 7.3 show how the architecture extends to multiple facilities, multiple scales, and multiple domains. Those extensions have not been implemented. The eleven propositions of §7.6 are claims about the architecture and its proof-of-concept instantiation; they are not claims about the fully deployed multi-scale system. The propositions should be read with this scope in mind.</w:t>
      </w:r>
    </w:p>
    <w:bookmarkEnd w:id="285"/>
    <w:bookmarkStart w:id="286" w:name="eleven-propositions"/>
    <w:p>
      <w:pPr>
        <w:pStyle w:val="Heading2"/>
      </w:pPr>
      <w:r>
        <w:t xml:space="preserve">39.6 §7.6 Eleven Propositions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§7.6 Eleven Propositions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0 through 6 in full</w:t>
                  </w:r>
                </w:p>
              </w:tc>
            </w:tr>
            <w:tr>
              <w:tc>
                <w:tcPr/>
                <w:p>
                  <w:pPr>
                    <w:pStyle w:val="Compact"/>
                  </w:pPr>
                  <w:r>
                    <w:rPr>
                      <w:b/>
                      <w:bCs/>
                    </w:rPr>
                    <w:t xml:space="preserve">Contributes</w:t>
                  </w:r>
                </w:p>
              </w:tc>
              <w:tc>
                <w:tcPr/>
                <w:p>
                  <w:pPr>
                    <w:pStyle w:val="Compact"/>
                  </w:pPr>
                  <w:r>
                    <w:t xml:space="preserve">The eleven propositions that constitute the framework’s intellectual claim, each connected to the evidence base of the preceding modules</w:t>
                  </w:r>
                </w:p>
              </w:tc>
            </w:tr>
            <w:tr>
              <w:tc>
                <w:tcPr/>
                <w:p>
                  <w:pPr>
                    <w:pStyle w:val="Compact"/>
                  </w:pPr>
                  <w:r>
                    <w:rPr>
                      <w:b/>
                      <w:bCs/>
                    </w:rPr>
                    <w:t xml:space="preserve">Skip condition</w:t>
                  </w:r>
                </w:p>
              </w:tc>
              <w:tc>
                <w:tcPr/>
                <w:p>
                  <w:pPr>
                    <w:pStyle w:val="Compact"/>
                  </w:pPr>
                  <w:r>
                    <w:t xml:space="preserve">Do not skip — this section is the distilled claim set of the manuscript</w:t>
                  </w:r>
                </w:p>
              </w:tc>
            </w:tr>
            <w:tr>
              <w:tc>
                <w:tcPr/>
                <w:p>
                  <w:pPr>
                    <w:pStyle w:val="Compact"/>
                  </w:pPr>
                  <w:r>
                    <w:rPr>
                      <w:b/>
                      <w:bCs/>
                    </w:rPr>
                    <w:t xml:space="preserve">Passes to</w:t>
                  </w:r>
                </w:p>
              </w:tc>
              <w:tc>
                <w:tcPr/>
                <w:p>
                  <w:pPr>
                    <w:pStyle w:val="Compact"/>
                  </w:pPr>
                  <w:r>
                    <w:t xml:space="preserve">§7.7</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following eleven propositions summarise the intellectual contribution of this manuscript. They are statements about the framework, its architecture, and its proof-of-concept instantiation. They are not statements about the general problem of infrastructure decision-making, which others have addressed, nor about the specific future of the Edendale facility, which the framework cannot determine. They are claims the evidence assembled in Modules 0 through 6 supports.</w:t>
      </w:r>
    </w:p>
    <w:p>
      <w:pPr>
        <w:pStyle w:val="BodyText"/>
      </w:pPr>
      <w:r>
        <w:t xml:space="preserve">Proposition I. Decision-centred boundary setting is the appropriate architectural response to long-horizon planning problems characterised by durable commitments, cross-scale infrastructure interactions, deep uncertainty, plural objectives, and multiple actors. Model-centred boundary setting produces systematic analysis of the consequences that happen to lie within a conveniently available physical boundary. Decision-centred boundary setting produces analysis of the consequences that determine whether the decision was well-made. Module 1 establishes the five structural features that distinguish these problem types; §0.1 and §0.3 articulate the reversal; Module 6 demonstrates it by producing a finding, the 23-of-64 GXP exceedance, that is invisible within the site boundary and visible at the decision-defined boundary.</w:t>
      </w:r>
    </w:p>
    <w:p>
      <w:pPr>
        <w:pStyle w:val="BodyText"/>
      </w:pPr>
      <w:r>
        <w:t xml:space="preserve">Proposition II. The thin-waist artefact exchange is the mechanism that makes decision-first boundary setting operationally feasible across heterogeneous analytical components. The decision-first principle establishes what should be inside the boundary of the analysis. The thin-waist principle establishes how components operating at different scales and using different methods participate in one analytical chain without requiring any component to encompass or reproduce the others. §0.5 and §3.4 develop the principle; the two-repository architecture of Module 6 instantiates it; the SignalsPack SHA256 hash integrity record demonstrates that it is not merely a design aspiration but an implementable governance mechanism.</w:t>
      </w:r>
    </w:p>
    <w:p>
      <w:pPr>
        <w:pStyle w:val="BodyText"/>
      </w:pPr>
      <w:r>
        <w:t xml:space="preserve">Proposition III. Deep uncertainty is not a deficiency of data or computation that can be overcome with more sophisticated models; it is a structural feature of certain planning environments that requires a different evaluative standard. When probabilities over futures are contested or structurally unavailable, expected-value reasoning optimises against a summary measure that may obscure the features that most matter to a long-horizon commitment. Module 1 §§1.2 and 1.3 and Sub-Module SM-1.1-A develop the philosophical and methodological case. The five uncertain driver dimensions of the Edendale ensemble, none of which can be assigned a defensible probability distribution from current evidence, instantiate the point.</w:t>
      </w:r>
    </w:p>
    <w:p>
      <w:pPr>
        <w:pStyle w:val="BodyText"/>
      </w:pPr>
      <w:r>
        <w:t xml:space="preserve">Proposition IV. Regret, robustness, and satisficing are jointly necessary evaluative standards for long-horizon decisions under deep uncertainty; each captures a dimension that the others do not. Regret is future-specific and comparative. Robustness is cross-future and distributional. Satisficing is threshold-based and institutionally aligned. A decision that minimises maximum regret may have an unacceptably low satisficing rate at a regulatory threshold. A decision with a high satisficing rate may carry intolerable tail exposure. Module 1 §1.5 develops the three standards; Module 6 §6.9 demonstrates their joint application to the Edendale pathway comparison.</w:t>
      </w:r>
    </w:p>
    <w:p>
      <w:pPr>
        <w:pStyle w:val="BodyText"/>
      </w:pPr>
      <w:r>
        <w:t xml:space="preserve">Proposition V. Modular decomposition governed by explicit interface contracts and validated artefact families enables progressive analytical refinement without loss of comparability across generations. The implementation independence principle of §3.2 allows modules to evolve from proportional dispatch to LP-based scheduling to OpenModelica thermal simulation without requiring any other module to change. The schema versioning and append-only backbone of §3.7 preserve every prior generation’s outputs for comparison. Module 6 demonstrates the first generation; §6.10 specifies the path to the second.</w:t>
      </w:r>
    </w:p>
    <w:p>
      <w:pPr>
        <w:pStyle w:val="BodyText"/>
      </w:pPr>
      <w:r>
        <w:t xml:space="preserve">Proposition VI. The analytical backbone is a methodological commitment, not infrastructure; its governance properties are what make AI-assisted interrogation of planning analysis trustworthy. An AI assistant querying an ungoverned data store produces plausible-sounding answers whose provenance cannot be verified. An AI assistant querying a governed backbone, in which every artefact carries schema-conforming provenance, validation records, and explicit lineage, produces answers whose basis can be traced to specific analytical choices. §3.7 develops this claim; the natural-language query vision of §7.4 elaborates it; the ValidationArtefact and lineage chain of Module 6 §6.8 demonstrate that the governance properties needed for trustworthy AI-assisted interrogation are achievable in practice.</w:t>
      </w:r>
    </w:p>
    <w:p>
      <w:pPr>
        <w:pStyle w:val="BodyText"/>
      </w:pPr>
      <w:r>
        <w:t xml:space="preserve">Proposition VII. AI and ML methods can contribute to a governed decision-centred analytical environment without undermining its epistemic standards, provided outputs are governed by the same artefact schema and provenance requirements as deterministic analytical outputs. The argument is structural: what enters the comparison chain must be schema-conforming and provenance-carrying, regardless of production method. §3.8 and Sub-Module SM-3.8-A specify the additional provenance fields required for AI/ML artefacts, including the human acceptance requirement. The surrogate development pathway of Sub-Module SM-2.3-A applies decision-ranking preservation as the validation criterion rather than average prediction accuracy.</w:t>
      </w:r>
    </w:p>
    <w:p>
      <w:pPr>
        <w:pStyle w:val="BodyText"/>
      </w:pPr>
      <w:r>
        <w:t xml:space="preserve">Proposition VIII. The divergence between site-perspective and system-perspective cost assessments of electrification pathways under grid-constrained futures is a structurally predictable consequence of current network pricing arrangements, not an incidental finding. The formal derivation of Sub-Module SM-4.4-A shows that positive system-level regret occurs whenever the regional infrastructure cost adder attributable to electrification exceeds the private cost advantage of electrification over the competing pathway. Module 5 documents that under PowerNet’s commercial terms for new and altered connections, the Customer Contribution mechanism means this condition is met whenever a large industrial electrification commitment triggers a connection upgrade that is not fully charged to the triggering load. The 23-of-64 finding of Module 6 §6.9 is the empirical instantiation of the theoretical prediction.</w:t>
      </w:r>
    </w:p>
    <w:p>
      <w:pPr>
        <w:pStyle w:val="BodyText"/>
      </w:pPr>
      <w:r>
        <w:t xml:space="preserve">Proposition IX. The seven requirements derived in §1.7 are jointly necessary and sufficient for decision support that is honest about uncertainty, comparable across alternatives, and traceable to its assumptions. Each requirement follows from one or more of the five structural features of the problem class. The architecture of Module 3 provides a mechanism satisfying each requirement. The proof of concept of Module 6 demonstrates each mechanism in operation. A system that satisfies all seven requirements can support legitimate institutional accountability for complex planning decisions; a system that fails any one of them has a structural gap that will eventually produce either an unexaminable result or an incomparable one.</w:t>
      </w:r>
    </w:p>
    <w:p>
      <w:pPr>
        <w:pStyle w:val="BodyText"/>
      </w:pPr>
      <w:r>
        <w:t xml:space="preserve">Proposition X. Progressive refinement governed by regret sensitivity diagnostics is a more reliable development strategy for decision-centred analytical environments than commitment to physical completeness. A model that grows toward physical completeness without checking whether the additions change the decision-relevant comparison is adding complexity that may be analytically irrelevant while deferring the simplifications that most matter. A model that grows toward the parameters that regret diagnostics identify as most strongly determining pathway preference adds exactly what the decision requires, in the order it is needed. Requirement 7 from §1.7 formalises this claim; the proof of concept’s self-directed development logic, described in §6.9 Finding 5, demonstrates it.</w:t>
      </w:r>
    </w:p>
    <w:p>
      <w:pPr>
        <w:pStyle w:val="BodyText"/>
      </w:pPr>
      <w:r>
        <w:t xml:space="preserve">Proposition XI. The decision-centred modelling framework described in this manuscript makes a methodological contribution to the DMDU tradition that is distinct from its empirical contribution to the New Zealand process heat decarbonisation literature. The empirical contribution, the 23-of-64 GXP finding and its policy interpretation, is specific to the Edendale context and to the current generation of the proof of concept. The methodological contribution, the thin-waist artefact architecture, the decision-first boundary principle, the governed AI/ML integration protocol, and the requirements-based architecture specification, is applicable to any planning problem with the five structural features of §1.1. The DMDU tradition has established the evaluative standards and the ensemble methods; this framework contributes the architectural logic that makes those methods applicable at multi-scale, multi-actor resolution in a governed and auditable way.</w:t>
      </w:r>
    </w:p>
    <w:bookmarkEnd w:id="286"/>
    <w:bookmarkStart w:id="287" w:name="closing-argument"/>
    <w:p>
      <w:pPr>
        <w:pStyle w:val="Heading2"/>
      </w:pPr>
      <w:r>
        <w:t xml:space="preserve">39.7 §7.7 Closing Argument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§7.7 Closing Argument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0 through §7.6</w:t>
                  </w:r>
                </w:p>
              </w:tc>
            </w:tr>
            <w:tr>
              <w:tc>
                <w:tcPr/>
                <w:p>
                  <w:pPr>
                    <w:pStyle w:val="Compact"/>
                  </w:pPr>
                  <w:r>
                    <w:rPr>
                      <w:b/>
                      <w:bCs/>
                    </w:rPr>
                    <w:t xml:space="preserve">Contributes</w:t>
                  </w:r>
                </w:p>
              </w:tc>
              <w:tc>
                <w:tcPr/>
                <w:p>
                  <w:pPr>
                    <w:pStyle w:val="Compact"/>
                  </w:pPr>
                  <w:r>
                    <w:t xml:space="preserve">Restates the central reversal, summarises what has been demonstrated, states honestly what has not been demonstrated, and closes with the invitation to community extension</w:t>
                  </w:r>
                </w:p>
              </w:tc>
            </w:tr>
            <w:tr>
              <w:tc>
                <w:tcPr/>
                <w:p>
                  <w:pPr>
                    <w:pStyle w:val="Compact"/>
                  </w:pPr>
                  <w:r>
                    <w:rPr>
                      <w:b/>
                      <w:bCs/>
                    </w:rPr>
                    <w:t xml:space="preserve">Skip condition</w:t>
                  </w:r>
                </w:p>
              </w:tc>
              <w:tc>
                <w:tcPr/>
                <w:p>
                  <w:pPr>
                    <w:pStyle w:val="Compact"/>
                  </w:pPr>
                  <w:r>
                    <w:t xml:space="preserve">Do not skip</w:t>
                  </w:r>
                </w:p>
              </w:tc>
            </w:tr>
            <w:tr>
              <w:tc>
                <w:tcPr/>
                <w:p>
                  <w:pPr>
                    <w:pStyle w:val="Compact"/>
                  </w:pPr>
                  <w:r>
                    <w:rPr>
                      <w:b/>
                      <w:bCs/>
                    </w:rPr>
                    <w:t xml:space="preserve">Passes to</w:t>
                  </w:r>
                </w:p>
              </w:tc>
              <w:tc>
                <w:tcPr/>
                <w:p>
                  <w:pPr>
                    <w:pStyle w:val="Compact"/>
                  </w:pPr>
                  <w:r>
                    <w:t xml:space="preserve">Nothing — this is the terminal section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This manuscript began with a claim about architecture. The most important analytical choice in complex planning analysis is not which model to build; it is where to draw the boundary. Boundaries drawn by the physical system guarantee that decision-relevant consequences outside that system will be invisible. Boundaries drawn by the decision guarantee that the consequences that determine whether the decision was well-made remain in view.</w:t>
      </w:r>
    </w:p>
    <w:p>
      <w:pPr>
        <w:pStyle w:val="BodyText"/>
      </w:pPr>
      <w:r>
        <w:t xml:space="preserve">The eleven propositions of §7.6 are the distilled form of the case this manuscript has assembled. They are supported by a philosophical argument about what kinds of analytical problems require decision-centred organisation, a formal specification of the architecture that makes decision-first boundary setting operationally feasible across heterogeneous components, a domain translation that instantiates that architecture in the energy-domain context of industrial process heat decarbonisation, an empirical grounding in the specific New Zealand conditions that make the Southland case analytically important and tractable, a proof of concept that demonstrates five specific claims with traceable artefacts and declared limitations, and an honest account of what those demonstrations do and do not imply about the framework at larger scale.</w:t>
      </w:r>
    </w:p>
    <w:p>
      <w:pPr>
        <w:pStyle w:val="BodyText"/>
      </w:pPr>
      <w:r>
        <w:t xml:space="preserve">What has been demonstrated is bounded but significant. A two-pathway comparison of electrification and biomass alternatives for one large dairy processing facility, evaluated against 64 structured futures, produces a finding that site-level analysis cannot produce: 23 of those futures generate GXP hosting capacity exceedances that impose infrastructure costs invisible within the site boundary. That finding changes the nature of the pathway evaluation from a site-level cost comparison to a system-level robustness assessment. It changes what a responsible investment decision looks like: not the pathway with the lower private net present value under a central-case assumption, but the pathway that performs acceptably across the widest range of conditions the decision-maker cannot control, where those conditions include both site-economics uncertainty and regional infrastructure uncertainty simultaneously.</w:t>
      </w:r>
    </w:p>
    <w:p>
      <w:pPr>
        <w:pStyle w:val="BodyText"/>
      </w:pPr>
      <w:r>
        <w:t xml:space="preserve">What has not been demonstrated is equally important to state. The framework is not a planning tool ready for deployment at industrial scale; several of its key components are specified but not yet implemented. The proof-of-concept findings are based on synthetic demand profiles, stylised regional screening, and conservative coupling assumptions, making the specific cost figures illustrative rather than planning-grade. The eleven propositions describe a framework whose architectural claims are supported; they do not describe a system whose numerical outputs should be used to make actual investment recommendations without the next-generation implementations specified in §6.10.</w:t>
      </w:r>
    </w:p>
    <w:p>
      <w:pPr>
        <w:pStyle w:val="BodyText"/>
      </w:pPr>
      <w:r>
        <w:t xml:space="preserve">The framework is designed to absorb those implementations progressively without losing the comparability of what has been established. The backbone is append-only. The schemas are versioned. The interface contracts are stable. The lineage is explicit. Each generation of implementation adds to the analytical record rather than replacing it, and the regret sensitivity diagnostics identify which addition should come next by revealing which uncertain driver most strongly determines the current comparison. The framework is self-directing in exactly the sense that progressive refinement requires.</w:t>
      </w:r>
    </w:p>
    <w:p>
      <w:pPr>
        <w:pStyle w:val="BodyText"/>
      </w:pPr>
      <w:r>
        <w:t xml:space="preserve">The invitation is open and specific. A PyPSA developer who reads Sub-Module SM-6.6-E and recognises the regional electricity module specification as work they could implement is invited to do so through the GitHub repository’s contribution process. A DMDU researcher who identifies a robustness metric or a scenario discovery algorithm that would improve the evaluation layer is invited to propose its integration as a methodological extension. A practitioner in water infrastructure, regional transport, or land-use planning who recognises in §7.3 a decision structure analogous to their own is invited to contribute a domain instantiation that specifies the relevant module classes, artefact families, and uncertain drivers in terms of the framework’s interface contract.</w:t>
      </w:r>
    </w:p>
    <w:p>
      <w:pPr>
        <w:pStyle w:val="BodyText"/>
      </w:pPr>
      <w:r>
        <w:t xml:space="preserve">The decision makes the boundary; the artefact makes the connection. This document describes, with as much precision as its current state allows, how that principle is implemented, what it reveals when it is, and what remains to be built before it reveals more.</w:t>
      </w:r>
    </w:p>
    <w:p>
      <w:r>
        <w:pict>
          <v:rect style="width:0;height:1.5pt" o:hralign="center" o:hrstd="t" o:hr="t"/>
        </w:pict>
      </w:r>
    </w:p>
    <w:bookmarkEnd w:id="287"/>
    <w:bookmarkStart w:id="288" w:name="sec-7-8"/>
    <w:p>
      <w:pPr>
        <w:pStyle w:val="Heading2"/>
      </w:pPr>
      <w:r>
        <w:t xml:space="preserve">39.8 §7.8 The Open Knowledge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§7.8 The Open Knowledge Architecture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 [Platform]</w:t>
                  </w:r>
                </w:p>
              </w:tc>
            </w:tr>
            <w:tr>
              <w:tc>
                <w:tcPr/>
                <w:p>
                  <w:pPr>
                    <w:pStyle w:val="Compact"/>
                  </w:pPr>
                  <w:r>
                    <w:rPr>
                      <w:b/>
                      <w:bCs/>
                    </w:rPr>
                    <w:t xml:space="preserve">Assumes</w:t>
                  </w:r>
                </w:p>
              </w:tc>
              <w:tc>
                <w:tcPr/>
                <w:p>
                  <w:pPr>
                    <w:pStyle w:val="Compact"/>
                  </w:pPr>
                  <w:r>
                    <w:t xml:space="preserve">§7.4 (Adaptive Decision Laboratory), §7.6 (Eleven Propositions), the Navigation Guide</w:t>
                  </w:r>
                </w:p>
              </w:tc>
            </w:tr>
            <w:tr>
              <w:tc>
                <w:tcPr/>
                <w:p>
                  <w:pPr>
                    <w:pStyle w:val="Compact"/>
                  </w:pPr>
                  <w:r>
                    <w:rPr>
                      <w:b/>
                      <w:bCs/>
                    </w:rPr>
                    <w:t xml:space="preserve">Contributes</w:t>
                  </w:r>
                </w:p>
              </w:tc>
              <w:tc>
                <w:tcPr/>
                <w:p>
                  <w:pPr>
                    <w:pStyle w:val="Compact"/>
                  </w:pPr>
                  <w:r>
                    <w:t xml:space="preserve">Proposes an extension of the manuscript’s Node Declaration system into a multi-dimensional tagging architecture that serves navigation, community signalling, and living document governance simultaneously</w:t>
                  </w:r>
                </w:p>
              </w:tc>
            </w:tr>
            <w:tr>
              <w:tc>
                <w:tcPr/>
                <w:p>
                  <w:pPr>
                    <w:pStyle w:val="Compact"/>
                  </w:pPr>
                  <w:r>
                    <w:rPr>
                      <w:b/>
                      <w:bCs/>
                    </w:rPr>
                    <w:t xml:space="preserve">Skip condition</w:t>
                  </w:r>
                </w:p>
              </w:tc>
              <w:tc>
                <w:tcPr/>
                <w:p>
                  <w:pPr>
                    <w:pStyle w:val="Compact"/>
                  </w:pPr>
                  <w:r>
                    <w:t xml:space="preserve">Skip if reader is interested only in the framework’s technical content; return when engaging with the manuscript as a collaborative and evolving knowledge resource</w:t>
                  </w:r>
                </w:p>
              </w:tc>
            </w:tr>
            <w:tr>
              <w:tc>
                <w:tcPr/>
                <w:p>
                  <w:pPr>
                    <w:pStyle w:val="Compact"/>
                  </w:pPr>
                  <w:r>
                    <w:rPr>
                      <w:b/>
                      <w:bCs/>
                    </w:rPr>
                    <w:t xml:space="preserve">Passes to</w:t>
                  </w:r>
                </w:p>
              </w:tc>
              <w:tc>
                <w:tcPr/>
                <w:p>
                  <w:pPr>
                    <w:pStyle w:val="Compact"/>
                  </w:pPr>
                  <w:r>
                    <w:t xml:space="preserve">Context Declaration (Community Extension); the Navigation Guide (tagging system specification)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manuscript’s Node Declaration system, introduced in the Navigation Guide and used throughout every section and sub-module, was designed to serve two audiences: human readers who need to navigate a long and technically heterogeneous document, and AI agents that need to process the document selectively and reliably. The system’s seven fields, Tier, Status, Assumes, Contributes, Skip condition, Passes to, and Sub-Modules here, provide the metadata that makes both forms of engagement efficient. Each node carries enough information about its own role and dependencies that a reader or agent can make principled decisions about which nodes to process fully and which to skip without losing analytical continuity.</w:t>
      </w:r>
    </w:p>
    <w:p>
      <w:pPr>
        <w:pStyle w:val="BodyText"/>
      </w:pPr>
      <w:r>
        <w:t xml:space="preserve">This section proposes an extension of that system that applies the same logic to a harder problem: how should a document that is explicitly designed to grow, through community contributions, progressive refinement, and multi-domain instantiation, govern that growth without losing coherence?</w:t>
      </w:r>
    </w:p>
    <w:p>
      <w:pPr>
        <w:pStyle w:val="BodyText"/>
      </w:pPr>
      <w:r>
        <w:t xml:space="preserve">The problem is not trivial. A document that simply accumulates contributions over time becomes incoherent. Sections written under different assumptions, at different levels of technical development, and for different audiences are navigable only if the document’s metadata system can tell a reader, precisely and consistently, what kind of claim each section is making and what kind of engagement it is inviting. The framework’s current Status field distinguishes Implemented from Specified from Vision. This is the right beginning. It is not sufficient for a document that aspires to serve researchers, practitioners, educators, policy analysts, community members, and AI agents simultaneously.</w:t>
      </w:r>
    </w:p>
    <w:p>
      <w:pPr>
        <w:pStyle w:val="BodyText"/>
      </w:pPr>
      <w:r>
        <w:t xml:space="preserve">The proposed extension adds two new fields to the Node Declaration Table. The first is a Content Tag, which classifies the primary purpose of the node’s content. The second is an Engagement Tag, which declares what kind of contribution or response the node is inviting. Together these two fields turn the Node Declaration from a navigation aid into a governance declaration: every node states not only what it contains and what it assumes, but what it is for and what it wants from its readers.</w:t>
      </w:r>
    </w:p>
    <w:p>
      <w:pPr>
        <w:pStyle w:val="BodyText"/>
      </w:pPr>
      <w:r>
        <w:t xml:space="preserve">The Content Tag vocabulary uses five classes. A node tagged Implemented presents working analytical machinery whose claims are grounded in the current proof of concept. A node tagged Specified presents designed but unbuilt components whose claims are architectural commitments. A node tagged Vision presents directions whose claims are explicitly provisional. A node tagged Educational presents material whose primary purpose is building understanding rather than advancing new claims; it may draw on established methods and literature rather than original findings. A node tagged Collaborative presents an open specification or open question that is explicitly inviting domain-specific contribution, co-development, or critical engagement.</w:t>
      </w:r>
    </w:p>
    <w:p>
      <w:pPr>
        <w:pStyle w:val="BodyText"/>
      </w:pPr>
      <w:r>
        <w:t xml:space="preserve">The Engagement Tag vocabulary uses three classes. A node tagged Research contains unresolved methodological questions or open theoretical problems that invite scholarly engagement. A node tagged Platform relates to the broader architecture of how the manuscript functions as a knowledge resource, including the tagging system itself. A node tagged Contribute signals that the node contains a contribution template or specification that defines what a valid community contribution to that node would look like.</w:t>
      </w:r>
    </w:p>
    <w:p>
      <w:pPr>
        <w:pStyle w:val="BodyText"/>
      </w:pPr>
      <w:r>
        <w:t xml:space="preserve">The practical consequence is a filtered reading experience. An educator developing a course on decision-making under deep uncertainty can filter the manuscript’s Table of Contents to show only Educational nodes, receiving a curated teaching sequence that does not require navigating the full technical apparatus. A PyPSA developer assessing implementation opportunities can filter for Specified + Contribute nodes, seeing a clean list of module specifications that invite implementation contributions. A doctoral student reviewing the framework’s open problems can filter for Research nodes, receiving the manuscript’s honest account of where its own methods are incomplete or contested. An AI agent tasked with summarising the framework’s established claims can filter for Implemented nodes, confining its summary to what the proof of concept has demonstrated.</w:t>
      </w:r>
    </w:p>
    <w:p>
      <w:pPr>
        <w:pStyle w:val="BodyText"/>
      </w:pPr>
      <w:r>
        <w:t xml:space="preserve">This filtering is not merely a convenience. It is an expression of the decision-first principle at the level of the document itself. Just as the analytical environment draws its boundaries around what must remain visible for a given decision, the document’s tagging system draws its navigation boundaries around what is relevant for a given reader’s purpose. The document becomes, in this sense, a decision-centred knowledge resource rather than a sequentially structured text.</w:t>
      </w:r>
    </w:p>
    <w:p>
      <w:pPr>
        <w:pStyle w:val="BodyText"/>
      </w:pPr>
      <w:r>
        <w:t xml:space="preserve">The governance implication is equally important. When the manuscript grows through community contribution, each new section carries its own tags at the point of contribution. The contributor declares whether the section is Educational, Specified, or Visionary; declares whether it contains open Research questions; and declares whether it is inviting further Contribution. The editorial process assesses whether the tags are accurately applied, not only whether the content is intellectually sound. A section that claims Implemented status must demonstrate that claim through a reference to a working implementation and a ValidationArtefact. A section that claims Educational status must be written at a level of generality accessible to a reader without prior framework knowledge. The tags are not decorative; they are governance commitments that the editorial process enforces.</w:t>
      </w:r>
    </w:p>
    <w:p>
      <w:pPr>
        <w:pStyle w:val="BodyText"/>
      </w:pPr>
      <w:r>
        <w:t xml:space="preserve">The connection to the broader scholarly communication vision discussed in the Context Declaration and in the side argument of §7.6’s Proposition XI is direct. The claim attestation system proposed there, in which specific technical claims are individually attested by named domain experts, operates most effectively when the claims to be attested are already individually identified and tagged. A manuscript with a structured Content Tag system provides the claim register that attestation requires. The tags make explicit which claims belong to which epistemic community, and that explicitness is the precondition for targeted expert engagement.</w:t>
      </w:r>
    </w:p>
    <w:p>
      <w:pPr>
        <w:pStyle w:val="BodyText"/>
      </w:pPr>
      <w:r>
        <w:t xml:space="preserve">The tagging system proposed here does not require immediate implementation across the full manuscript. It can be introduced progressively: first in new sections as they are contributed, then retroactively in the sections whose tags are most consequential for navigation. Table 7.8 presents the full proposed vocabulary with definitions, usage conditions, and the visual indicators used in the Table of Contents.</w:t>
      </w:r>
    </w:p>
    <w:p>
      <w:pPr>
        <w:pStyle w:val="BodyText"/>
      </w:pPr>
      <w:r>
        <w:t xml:space="preserve">Table 7.8: Extended Node Declaration tag vocabulary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Tag</w:t>
            </w:r>
          </w:p>
        </w:tc>
        <w:tc>
          <w:tcPr/>
          <w:p>
            <w:pPr>
              <w:pStyle w:val="Compact"/>
            </w:pPr>
            <w:r>
              <w:t xml:space="preserve">Class</w:t>
            </w:r>
          </w:p>
        </w:tc>
        <w:tc>
          <w:tcPr/>
          <w:p>
            <w:pPr>
              <w:pStyle w:val="Compact"/>
            </w:pPr>
            <w:r>
              <w:t xml:space="preserve">Symbol</w:t>
            </w:r>
          </w:p>
        </w:tc>
        <w:tc>
          <w:tcPr/>
          <w:p>
            <w:pPr>
              <w:pStyle w:val="Compact"/>
            </w:pPr>
            <w:r>
              <w:t xml:space="preserve">Definition</w:t>
            </w:r>
          </w:p>
        </w:tc>
        <w:tc>
          <w:tcPr/>
          <w:p>
            <w:pPr>
              <w:pStyle w:val="Compact"/>
            </w:pPr>
            <w:r>
              <w:t xml:space="preserve">Usage condition</w:t>
            </w:r>
          </w:p>
        </w:tc>
      </w:tr>
      <w:tr>
        <w:tc>
          <w:tcPr/>
          <w:p>
            <w:pPr>
              <w:pStyle w:val="Compact"/>
            </w:pPr>
            <w:r>
              <w:t xml:space="preserve">Implemented</w:t>
            </w:r>
          </w:p>
        </w:tc>
        <w:tc>
          <w:tcPr/>
          <w:p>
            <w:pPr>
              <w:pStyle w:val="Compact"/>
            </w:pPr>
            <w:r>
              <w:t xml:space="preserve">Content</w:t>
            </w:r>
          </w:p>
        </w:tc>
        <w:tc>
          <w:tcPr/>
          <w:p>
            <w:pPr>
              <w:pStyle w:val="Compact"/>
            </w:pPr>
            <w:r>
              <w:t xml:space="preserve">✓</w:t>
            </w:r>
          </w:p>
        </w:tc>
        <w:tc>
          <w:tcPr/>
          <w:p>
            <w:pPr>
              <w:pStyle w:val="Compact"/>
            </w:pPr>
            <w:r>
              <w:t xml:space="preserve">Claims grounded in the current proof of concept; working code or method exists</w:t>
            </w:r>
          </w:p>
        </w:tc>
        <w:tc>
          <w:tcPr/>
          <w:p>
            <w:pPr>
              <w:pStyle w:val="Compact"/>
            </w:pPr>
            <w:r>
              <w:t xml:space="preserve">Requires reference to a ValidationArtefact or documented pipeline output</w:t>
            </w:r>
          </w:p>
        </w:tc>
      </w:tr>
      <w:tr>
        <w:tc>
          <w:tcPr/>
          <w:p>
            <w:pPr>
              <w:pStyle w:val="Compact"/>
            </w:pPr>
            <w:r>
              <w:t xml:space="preserve">Specified</w:t>
            </w:r>
          </w:p>
        </w:tc>
        <w:tc>
          <w:tcPr/>
          <w:p>
            <w:pPr>
              <w:pStyle w:val="Compact"/>
            </w:pPr>
            <w:r>
              <w:t xml:space="preserve">Content</w:t>
            </w:r>
          </w:p>
        </w:tc>
        <w:tc>
          <w:tcPr/>
          <w:p>
            <w:pPr>
              <w:pStyle w:val="Compact"/>
            </w:pPr>
            <w:r>
              <w:t xml:space="preserve">○</w:t>
            </w:r>
          </w:p>
        </w:tc>
        <w:tc>
          <w:tcPr/>
          <w:p>
            <w:pPr>
              <w:pStyle w:val="Compact"/>
            </w:pPr>
            <w:r>
              <w:t xml:space="preserve">Fully designed component not yet built; claims are architectural commitments</w:t>
            </w:r>
          </w:p>
        </w:tc>
        <w:tc>
          <w:tcPr/>
          <w:p>
            <w:pPr>
              <w:pStyle w:val="Compact"/>
            </w:pPr>
            <w:r>
              <w:t xml:space="preserve">Requires a specification document or sub-module that defines the implementation target</w:t>
            </w:r>
          </w:p>
        </w:tc>
      </w:tr>
      <w:tr>
        <w:tc>
          <w:tcPr/>
          <w:p>
            <w:pPr>
              <w:pStyle w:val="Compact"/>
            </w:pPr>
            <w:r>
              <w:t xml:space="preserve">Vision</w:t>
            </w:r>
          </w:p>
        </w:tc>
        <w:tc>
          <w:tcPr/>
          <w:p>
            <w:pPr>
              <w:pStyle w:val="Compact"/>
            </w:pPr>
            <w:r>
              <w:t xml:space="preserve">Content</w:t>
            </w:r>
          </w:p>
        </w:tc>
        <w:tc>
          <w:tcPr/>
          <w:p>
            <w:pPr>
              <w:pStyle w:val="Compact"/>
            </w:pPr>
            <w:r>
              <w:t xml:space="preserve">◇</w:t>
            </w:r>
          </w:p>
        </w:tc>
        <w:tc>
          <w:tcPr/>
          <w:p>
            <w:pPr>
              <w:pStyle w:val="Compact"/>
            </w:pPr>
            <w:r>
              <w:t xml:space="preserve">Provisional direction; claims are exploratory and explicitly subject to revision</w:t>
            </w:r>
          </w:p>
        </w:tc>
        <w:tc>
          <w:tcPr/>
          <w:p>
            <w:pPr>
              <w:pStyle w:val="Compact"/>
            </w:pPr>
            <w:r>
              <w:t xml:space="preserve">Must acknowledge the speculative character of the claims within the section prose</w:t>
            </w:r>
          </w:p>
        </w:tc>
      </w:tr>
      <w:tr>
        <w:tc>
          <w:tcPr/>
          <w:p>
            <w:pPr>
              <w:pStyle w:val="Compact"/>
            </w:pPr>
            <w:r>
              <w:t xml:space="preserve">Educational</w:t>
            </w:r>
          </w:p>
        </w:tc>
        <w:tc>
          <w:tcPr/>
          <w:p>
            <w:pPr>
              <w:pStyle w:val="Compact"/>
            </w:pPr>
            <w:r>
              <w:t xml:space="preserve">Content</w:t>
            </w:r>
          </w:p>
        </w:tc>
        <w:tc>
          <w:tcPr/>
          <w:p>
            <w:pPr>
              <w:pStyle w:val="Compact"/>
            </w:pPr>
            <w:r>
              <w:t xml:space="preserve">⬡</w:t>
            </w:r>
          </w:p>
        </w:tc>
        <w:tc>
          <w:tcPr/>
          <w:p>
            <w:pPr>
              <w:pStyle w:val="Compact"/>
            </w:pPr>
            <w:r>
              <w:t xml:space="preserve">Primary purpose is understanding-building; may draw on established methods</w:t>
            </w:r>
          </w:p>
        </w:tc>
        <w:tc>
          <w:tcPr/>
          <w:p>
            <w:pPr>
              <w:pStyle w:val="Compact"/>
            </w:pPr>
            <w:r>
              <w:t xml:space="preserve">Should be accessible to a reader without prior framework knowledge</w:t>
            </w:r>
          </w:p>
        </w:tc>
      </w:tr>
      <w:tr>
        <w:tc>
          <w:tcPr/>
          <w:p>
            <w:pPr>
              <w:pStyle w:val="Compact"/>
            </w:pPr>
            <w:r>
              <w:t xml:space="preserve">Collaborative</w:t>
            </w:r>
          </w:p>
        </w:tc>
        <w:tc>
          <w:tcPr/>
          <w:p>
            <w:pPr>
              <w:pStyle w:val="Compact"/>
            </w:pPr>
            <w:r>
              <w:t xml:space="preserve">Content</w:t>
            </w:r>
          </w:p>
        </w:tc>
        <w:tc>
          <w:tcPr/>
          <w:p>
            <w:pPr>
              <w:pStyle w:val="Compact"/>
            </w:pPr>
            <w:r>
              <w:t xml:space="preserve">✦</w:t>
            </w:r>
          </w:p>
        </w:tc>
        <w:tc>
          <w:tcPr/>
          <w:p>
            <w:pPr>
              <w:pStyle w:val="Compact"/>
            </w:pPr>
            <w:r>
              <w:t xml:space="preserve">Open specification or open question explicitly inviting contribution</w:t>
            </w:r>
          </w:p>
        </w:tc>
        <w:tc>
          <w:tcPr/>
          <w:p>
            <w:pPr>
              <w:pStyle w:val="Compact"/>
            </w:pPr>
            <w:r>
              <w:t xml:space="preserve">Should include or reference a contribution template declaring what a valid response looks like</w:t>
            </w:r>
          </w:p>
        </w:tc>
      </w:tr>
      <w:tr>
        <w:tc>
          <w:tcPr/>
          <w:p>
            <w:pPr>
              <w:pStyle w:val="Compact"/>
            </w:pPr>
            <w:r>
              <w:t xml:space="preserve">Research</w:t>
            </w:r>
          </w:p>
        </w:tc>
        <w:tc>
          <w:tcPr/>
          <w:p>
            <w:pPr>
              <w:pStyle w:val="Compact"/>
            </w:pPr>
            <w:r>
              <w:t xml:space="preserve">Modifier</w:t>
            </w:r>
          </w:p>
        </w:tc>
        <w:tc>
          <w:tcPr/>
          <w:p>
            <w:pPr>
              <w:pStyle w:val="Compact"/>
            </w:pPr>
            <w:r>
              <w:t xml:space="preserve">[R]</w:t>
            </w:r>
          </w:p>
        </w:tc>
        <w:tc>
          <w:tcPr/>
          <w:p>
            <w:pPr>
              <w:pStyle w:val="Compact"/>
            </w:pPr>
            <w:r>
              <w:t xml:space="preserve">Contains unresolved methodological questions or open theoretical problems</w:t>
            </w:r>
          </w:p>
        </w:tc>
        <w:tc>
          <w:tcPr/>
          <w:p>
            <w:pPr>
              <w:pStyle w:val="Compact"/>
            </w:pPr>
            <w:r>
              <w:t xml:space="preserve">Should state the question precisely enough that a reader could design a study to address it</w:t>
            </w:r>
          </w:p>
        </w:tc>
      </w:tr>
      <w:tr>
        <w:tc>
          <w:tcPr/>
          <w:p>
            <w:pPr>
              <w:pStyle w:val="Compact"/>
            </w:pPr>
            <w:r>
              <w:t xml:space="preserve">Platform</w:t>
            </w:r>
          </w:p>
        </w:tc>
        <w:tc>
          <w:tcPr/>
          <w:p>
            <w:pPr>
              <w:pStyle w:val="Compact"/>
            </w:pPr>
            <w:r>
              <w:t xml:space="preserve">Modifier</w:t>
            </w:r>
          </w:p>
        </w:tc>
        <w:tc>
          <w:tcPr/>
          <w:p>
            <w:pPr>
              <w:pStyle w:val="Compact"/>
            </w:pPr>
            <w:r>
              <w:t xml:space="preserve">[P]</w:t>
            </w:r>
          </w:p>
        </w:tc>
        <w:tc>
          <w:tcPr/>
          <w:p>
            <w:pPr>
              <w:pStyle w:val="Compact"/>
            </w:pPr>
            <w:r>
              <w:t xml:space="preserve">Relates to how the manuscript functions as a knowledge resource</w:t>
            </w:r>
          </w:p>
        </w:tc>
        <w:tc>
          <w:tcPr/>
          <w:p>
            <w:pPr>
              <w:pStyle w:val="Compact"/>
            </w:pPr>
            <w:r>
              <w:t xml:space="preserve">Used sparingly; reserved for sections whose subject is the document’s own architecture</w:t>
            </w:r>
          </w:p>
        </w:tc>
      </w:tr>
      <w:tr>
        <w:tc>
          <w:tcPr/>
          <w:p>
            <w:pPr>
              <w:pStyle w:val="Compact"/>
            </w:pPr>
            <w:r>
              <w:t xml:space="preserve">Contribute</w:t>
            </w:r>
          </w:p>
        </w:tc>
        <w:tc>
          <w:tcPr/>
          <w:p>
            <w:pPr>
              <w:pStyle w:val="Compact"/>
            </w:pPr>
            <w:r>
              <w:t xml:space="preserve">Modifier</w:t>
            </w:r>
          </w:p>
        </w:tc>
        <w:tc>
          <w:tcPr/>
          <w:p>
            <w:pPr>
              <w:pStyle w:val="Compact"/>
            </w:pPr>
            <w:r>
              <w:t xml:space="preserve">[C]</w:t>
            </w:r>
          </w:p>
        </w:tc>
        <w:tc>
          <w:tcPr/>
          <w:p>
            <w:pPr>
              <w:pStyle w:val="Compact"/>
            </w:pPr>
            <w:r>
              <w:t xml:space="preserve">Contains a contribution template or formal specification for community extension</w:t>
            </w:r>
          </w:p>
        </w:tc>
        <w:tc>
          <w:tcPr/>
          <w:p>
            <w:pPr>
              <w:pStyle w:val="Compact"/>
            </w:pPr>
            <w:r>
              <w:t xml:space="preserve">Must specify the interface contract or schema requirements that a valid contribution must satisfy</w:t>
            </w:r>
          </w:p>
        </w:tc>
      </w:tr>
    </w:tbl>
    <w:p>
      <w:r>
        <w:pict>
          <v:rect style="width:0;height:1.5pt" o:hralign="center" o:hrstd="t" o:hr="t"/>
        </w:pict>
      </w:r>
    </w:p>
    <w:bookmarkEnd w:id="288"/>
    <w:bookmarkStart w:id="289" w:name="X8a8c75d8d487d56032880562620038409b944e7"/>
    <w:p>
      <w:pPr>
        <w:pStyle w:val="Heading2"/>
      </w:pPr>
      <w:r>
        <w:t xml:space="preserve">39.9 §7.9 Beyond Infrastructure: Personal, Organisational, and Financial Decisions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§7.9 Beyond Infrastructure: General Application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r>
                    <w:t xml:space="preserve"> </w:t>
                  </w:r>
                  <w:r>
                    <w:rPr>
                      <w:rStyle w:val="VerbatimChar"/>
                    </w:rPr>
                    <w:t xml:space="preserve">[Educational]</w:t>
                  </w:r>
                </w:p>
              </w:tc>
            </w:tr>
            <w:tr>
              <w:tc>
                <w:tcPr/>
                <w:p>
                  <w:pPr>
                    <w:pStyle w:val="Compact"/>
                  </w:pPr>
                  <w:r>
                    <w:rPr>
                      <w:b/>
                      <w:bCs/>
                    </w:rPr>
                    <w:t xml:space="preserve">Assumes</w:t>
                  </w:r>
                </w:p>
              </w:tc>
              <w:tc>
                <w:tcPr/>
                <w:p>
                  <w:pPr>
                    <w:pStyle w:val="Compact"/>
                  </w:pPr>
                  <w:r>
                    <w:t xml:space="preserve">§7.3 (Multi-Domain Extension)</w:t>
                  </w:r>
                </w:p>
              </w:tc>
            </w:tr>
            <w:tr>
              <w:tc>
                <w:tcPr/>
                <w:p>
                  <w:pPr>
                    <w:pStyle w:val="Compact"/>
                  </w:pPr>
                  <w:r>
                    <w:rPr>
                      <w:b/>
                      <w:bCs/>
                    </w:rPr>
                    <w:t xml:space="preserve">Contributes</w:t>
                  </w:r>
                </w:p>
              </w:tc>
              <w:tc>
                <w:tcPr/>
                <w:p>
                  <w:pPr>
                    <w:pStyle w:val="Compact"/>
                  </w:pPr>
                  <w:r>
                    <w:t xml:space="preserve">Shows how the decision-centred framework applies to personal long-horizon decisions and organisational strategy, not only to infrastructure or engineering contexts</w:t>
                  </w:r>
                </w:p>
              </w:tc>
            </w:tr>
            <w:tr>
              <w:tc>
                <w:tcPr/>
                <w:p>
                  <w:pPr>
                    <w:pStyle w:val="Compact"/>
                  </w:pPr>
                  <w:r>
                    <w:rPr>
                      <w:b/>
                      <w:bCs/>
                    </w:rPr>
                    <w:t xml:space="preserve">Skip condition</w:t>
                  </w:r>
                </w:p>
              </w:tc>
              <w:tc>
                <w:tcPr/>
                <w:p>
                  <w:pPr>
                    <w:pStyle w:val="Compact"/>
                  </w:pPr>
                  <w:r>
                    <w:t xml:space="preserve">Skip if reader is interested only in technical infrastructure applications</w:t>
                  </w:r>
                </w:p>
              </w:tc>
            </w:tr>
            <w:tr>
              <w:tc>
                <w:tcPr/>
                <w:p>
                  <w:pPr>
                    <w:pStyle w:val="Compact"/>
                  </w:pPr>
                  <w:r>
                    <w:rPr>
                      <w:b/>
                      <w:bCs/>
                    </w:rPr>
                    <w:t xml:space="preserve">Passes to</w:t>
                  </w:r>
                </w:p>
              </w:tc>
              <w:tc>
                <w:tcPr/>
                <w:p>
                  <w:pPr>
                    <w:pStyle w:val="Compact"/>
                  </w:pPr>
                  <w:r>
                    <w:t xml:space="preserve">Nothing (terminal section)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described in this manuscript was developed through the lens of industrial infrastructure. The Edendale dairy facility, the Southland electricity grid, and the New Zealand ETS are specific. The underlying problem class is not. Every principle in Modules 1 through 3 applies to any situation where the following five features are present: a durable commitment, consequences that propagate beyond the boundary of the decision-maker’s immediate view, genuine uncertainty that cannot be resolved into probabilities, plural objectives, and multiple stakeholders with different exposures to different outcomes.</w:t>
      </w:r>
    </w:p>
    <w:p>
      <w:pPr>
        <w:pStyle w:val="BodyText"/>
      </w:pPr>
      <w:r>
        <w:t xml:space="preserve">Consider a personal financial decision with a 20-year horizon: choosing a career specialisation, deciding whether to purchase property, or selecting a retirement investment allocation. The predict-and-commit logic that most financial planning tools offer assumes that a central-case projection of future income, inflation, and asset returns is the right basis for the choice. The decision-centred logic asks instead: which allocation performs acceptably across the full range of futures I cannot predict — the futures where my income trajectory is disrupted, where inflation behaves differently from the projection, where my priorities change? The regret metric applied to a personal financial portfolio is conceptually identical to the regret metric applied to an industrial energy pathway. The plausible futures are different; the evaluative logic is the same.</w:t>
      </w:r>
    </w:p>
    <w:p>
      <w:pPr>
        <w:pStyle w:val="BodyText"/>
      </w:pPr>
      <w:r>
        <w:t xml:space="preserve">Consider an organisational strategy decision: whether to commit to a specific technology platform, enter a new market, or restructure a supply chain. Each of these decisions involves durable commitments, cross-boundary consequences (through partners, competitors, and customers who are not inside the organisation), deep uncertainty about the regulatory and market futures that will determine whether the decision was wise, plural objectives spanning financial return and organisational resilience, and multiple stakeholders. The decision-centred architecture responds to this problem class with the same structure it applies to industrial infrastructure: explicit alternatives, explicit futures, decision-relevant outcomes, declared boundaries, paired comparison, and traceability.</w:t>
      </w:r>
    </w:p>
    <w:p>
      <w:pPr>
        <w:pStyle w:val="BodyText"/>
      </w:pPr>
      <w:r>
        <w:t xml:space="preserve">The extension to personal and organisational contexts does not require implementing the full technical stack of Modules 3 and 4. A person making a career decision does not need a governed analytical backbone or a schema-conforming artefact exchange. They need the intellectual discipline: what am I actually choosing between, what are the futures that will determine whether I chose well, and which choice performs acceptably across the widest range of those futures? The principles are the portable element; the architecture is the scaling mechanism that makes those principles analytically rigorous and institutionally accountable at the infrastructure scale.</w:t>
      </w:r>
    </w:p>
    <w:p>
      <w:pPr>
        <w:pStyle w:val="BodyText"/>
      </w:pPr>
      <w:r>
        <w:t xml:space="preserve">Module 0 states that the decision makes the boundary. This applies as much to a person deciding whether to pursue a doctorate as to a corporation deciding whether to electrify a boiler fleet. The boundary should encompass the consequences that matter for that decision — including the ones that lie outside the frame you started with.</w:t>
      </w:r>
    </w:p>
    <w:p>
      <w:r>
        <w:pict>
          <v:rect style="width:0;height:1.5pt" o:hralign="center" o:hrstd="t" o:hr="t"/>
        </w:pict>
      </w:r>
    </w:p>
    <w:bookmarkEnd w:id="289"/>
    <w:bookmarkStart w:id="293" w:name="Xcfeef2728bd4b7099dc18d0323168f565da071c"/>
    <w:p>
      <w:pPr>
        <w:pStyle w:val="Heading2"/>
      </w:pPr>
      <w:r>
        <w:t xml:space="preserve">39.10 §7.10 Governed Expert Attestation: A Community Quality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§7.10 Governed Expert Attestation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r>
                    <w:t xml:space="preserve"> </w:t>
                  </w:r>
                  <w:r>
                    <w:rPr>
                      <w:rStyle w:val="VerbatimChar"/>
                    </w:rPr>
                    <w:t xml:space="preserve">[Platform]</w:t>
                  </w:r>
                  <w:r>
                    <w:t xml:space="preserve"> </w:t>
                  </w:r>
                  <w:r>
                    <w:rPr>
                      <w:rStyle w:val="VerbatimChar"/>
                    </w:rPr>
                    <w:t xml:space="preserve">[Collaborative]</w:t>
                  </w:r>
                </w:p>
              </w:tc>
            </w:tr>
            <w:tr>
              <w:tc>
                <w:tcPr/>
                <w:p>
                  <w:pPr>
                    <w:pStyle w:val="Compact"/>
                  </w:pPr>
                  <w:r>
                    <w:rPr>
                      <w:b/>
                      <w:bCs/>
                    </w:rPr>
                    <w:t xml:space="preserve">Assumes</w:t>
                  </w:r>
                </w:p>
              </w:tc>
              <w:tc>
                <w:tcPr/>
                <w:p>
                  <w:pPr>
                    <w:pStyle w:val="Compact"/>
                  </w:pPr>
                  <w:r>
                    <w:t xml:space="preserve">§7.8 (Open Knowledge Architecture), §7.9 (Beyond Infrastructure)</w:t>
                  </w:r>
                </w:p>
              </w:tc>
            </w:tr>
            <w:tr>
              <w:tc>
                <w:tcPr/>
                <w:p>
                  <w:pPr>
                    <w:pStyle w:val="Compact"/>
                  </w:pPr>
                  <w:r>
                    <w:rPr>
                      <w:b/>
                      <w:bCs/>
                    </w:rPr>
                    <w:t xml:space="preserve">Contributes</w:t>
                  </w:r>
                </w:p>
              </w:tc>
              <w:tc>
                <w:tcPr/>
                <w:p>
                  <w:pPr>
                    <w:pStyle w:val="Compact"/>
                  </w:pPr>
                  <w:r>
                    <w:t xml:space="preserve">Proposes a claim-level expert attestation mechanism as the quality governance layer for community-contributed extensions to the framework, and connects the attestation logic to the framework’s ValidationArtefact architecture</w:t>
                  </w:r>
                </w:p>
              </w:tc>
            </w:tr>
            <w:tr>
              <w:tc>
                <w:tcPr/>
                <w:p>
                  <w:pPr>
                    <w:pStyle w:val="Compact"/>
                  </w:pPr>
                  <w:r>
                    <w:rPr>
                      <w:b/>
                      <w:bCs/>
                    </w:rPr>
                    <w:t xml:space="preserve">Skip condition</w:t>
                  </w:r>
                </w:p>
              </w:tc>
              <w:tc>
                <w:tcPr/>
                <w:p>
                  <w:pPr>
                    <w:pStyle w:val="Compact"/>
                  </w:pPr>
                  <w:r>
                    <w:t xml:space="preserve">Skip if reader is not interested in scholarly communication architecture</w:t>
                  </w:r>
                </w:p>
              </w:tc>
            </w:tr>
            <w:tr>
              <w:tc>
                <w:tcPr/>
                <w:p>
                  <w:pPr>
                    <w:pStyle w:val="Compact"/>
                  </w:pPr>
                  <w:r>
                    <w:rPr>
                      <w:b/>
                      <w:bCs/>
                    </w:rPr>
                    <w:t xml:space="preserve">Passes to</w:t>
                  </w:r>
                </w:p>
              </w:tc>
              <w:tc>
                <w:tcPr/>
                <w:p>
                  <w:pPr>
                    <w:pStyle w:val="Compact"/>
                  </w:pPr>
                  <w:r>
                    <w:t xml:space="preserve">Nothing — terminal section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open knowledge architecture of §7.8 establishes how content is classified, tagged, and governed as it enters the manuscript. It establishes that modules may carry Implemented, Specified, or Vision status; that individual claims may be tagged for Research investigation or Collaborative contribution; and that the manuscript is designed to grow through community extension without losing coherence. What §7.8 does not yet establish is how the intellectual quality of contributed content is assured once it has been classified and admitted. This section proposes a governed expert attestation mechanism that addresses that question, not as an optional quality check applied after publication but as a structural component of the framework’s community extension architecture.</w:t>
      </w:r>
    </w:p>
    <w:p>
      <w:pPr>
        <w:pStyle w:val="BodyText"/>
      </w:pPr>
      <w:r>
        <w:rPr>
          <w:b/>
          <w:bCs/>
        </w:rPr>
        <w:t xml:space="preserve">The problem it solves is specific.</w:t>
      </w:r>
      <w:r>
        <w:t xml:space="preserve"> </w:t>
      </w:r>
      <w:r>
        <w:t xml:space="preserve">A manuscript about decision-centred modelling for industrial process heat decarbonisation makes technical claims that span at least five distinct epistemic communities: DMDU methodology, energy system modelling, New Zealand electricity network operation, industrial process heat technology, and applied decision theory. No single reviewer commands genuine expertise across all five. The academic peer review system, which assigns two or three reviewers for a paper as a whole, covers this epistemic landscape imperfectly and cannot be expected to provide domain-specific attestation for claims that lie outside each reviewer’s primary competence. The result is a systematic gap: methodological claims are reviewed by methods specialists who may not evaluate their application validity; application-specific claims are reviewed by practitioners who may not evaluate their methodological rigour.</w:t>
      </w:r>
    </w:p>
    <w:p>
      <w:pPr>
        <w:pStyle w:val="BodyText"/>
      </w:pPr>
      <w:r>
        <w:t xml:space="preserve">The gap matters because it directly affects the value of the framework’s outputs. A planning decision supported by a framework whose technical claims have been independently attested by named domain experts occupies a qualitatively different institutional position from one supported by a framework that has passed undifferentiated peer review. The former can be audited claim by claim; the latter can only be accepted or rejected as a whole.</w:t>
      </w:r>
    </w:p>
    <w:p>
      <w:pPr>
        <w:pStyle w:val="BodyText"/>
      </w:pPr>
      <w:r>
        <w:rPr>
          <w:b/>
          <w:bCs/>
        </w:rPr>
        <w:t xml:space="preserve">The proposed mechanism</w:t>
      </w:r>
      <w:r>
        <w:t xml:space="preserve"> </w:t>
      </w:r>
      <w:r>
        <w:t xml:space="preserve">is claim-level expert attestation. Individual technical claims within the manuscript are registered in a public claims register — a structured document maintained in the project repository as</w:t>
      </w:r>
      <w:r>
        <w:t xml:space="preserve"> </w:t>
      </w:r>
      <w:r>
        <w:rPr>
          <w:rStyle w:val="VerbatimChar"/>
        </w:rPr>
        <w:t xml:space="preserve">CLAIMS.md</w:t>
      </w:r>
      <w:r>
        <w:t xml:space="preserve">. Each registered claim carries: a unique claim identifier, the module and section where it appears, a plain-language statement of the claim, the epistemic community whose expertise is most relevant to evaluating it, and its current attestation status.</w:t>
      </w:r>
    </w:p>
    <w:p>
      <w:pPr>
        <w:pStyle w:val="BodyText"/>
      </w:pPr>
      <w:r>
        <w:t xml:space="preserve">Domain experts attest to the validity of specific claims within their declared competence. An attestation record carries: the claim identifier, the attesting expert’s full name and institutional affiliation, their declared domain of competence, the date of attestation, and a structured verdict from the following vocabulary:</w:t>
      </w:r>
      <w:r>
        <w:t xml:space="preserve"> </w:t>
      </w:r>
      <w:r>
        <w:rPr>
          <w:i/>
          <w:iCs/>
        </w:rPr>
        <w:t xml:space="preserve">confirmed</w:t>
      </w:r>
      <w:r>
        <w:t xml:space="preserve"> </w:t>
      </w:r>
      <w:r>
        <w:t xml:space="preserve">(the claim is correct within its stated scope),</w:t>
      </w:r>
      <w:r>
        <w:t xml:space="preserve"> </w:t>
      </w:r>
      <w:r>
        <w:rPr>
          <w:i/>
          <w:iCs/>
        </w:rPr>
        <w:t xml:space="preserve">confirmed with qualification</w:t>
      </w:r>
      <w:r>
        <w:t xml:space="preserve"> </w:t>
      </w:r>
      <w:r>
        <w:t xml:space="preserve">(the claim is substantially correct but requires a specific caveat), or</w:t>
      </w:r>
      <w:r>
        <w:t xml:space="preserve"> </w:t>
      </w:r>
      <w:r>
        <w:rPr>
          <w:i/>
          <w:iCs/>
        </w:rPr>
        <w:t xml:space="preserve">contested</w:t>
      </w:r>
      <w:r>
        <w:t xml:space="preserve"> </w:t>
      </w:r>
      <w:r>
        <w:t xml:space="preserve">(the claim is disputed, with a documented basis for the contestation). Contested attestations are as valuable as confirmations: they identify, precisely, where the analytical environment’s assumptions are most uncertain and where refinement would most improve decision quality.</w:t>
      </w:r>
    </w:p>
    <w:p>
      <w:pPr>
        <w:pStyle w:val="BodyText"/>
      </w:pPr>
      <w:r>
        <w:rPr>
          <w:b/>
          <w:bCs/>
        </w:rPr>
        <w:t xml:space="preserve">The governance parallel is exact.</w:t>
      </w:r>
      <w:r>
        <w:t xml:space="preserve"> </w:t>
      </w:r>
      <w:r>
        <w:t xml:space="preserve">The mechanism operates on the same logic as the framework’s ValidationArtefact. Just as every analytical artefact that enters the comparison chain must pass a declared acceptance gate and carry a validation record before it is admitted to the backbone, every technical claim in a community-contributed module carries a public attestation record before it is considered established within the framework’s knowledge base. The attestation record does not replace peer review of the manuscript as a whole; it complements it by making the domain-specific quality assurance of individual claims visible, traceable, and cumulative across the framework’s development history.</w:t>
      </w:r>
    </w:p>
    <w:p>
      <w:pPr>
        <w:pStyle w:val="BodyText"/>
      </w:pPr>
      <w:r>
        <w:rPr>
          <w:b/>
          <w:bCs/>
        </w:rPr>
        <w:t xml:space="preserve">The connection to progressive refinement</w:t>
      </w:r>
      <w:r>
        <w:t xml:space="preserve"> </w:t>
      </w:r>
      <w:r>
        <w:t xml:space="preserve">is direct. A claim that attracts contestation from a domain expert is exactly the kind of signal that the framework’s self-directing development logic is designed to act on. It identifies, precisely, where the analytical environment’s assumptions are most contested and therefore where refinement most improves the quality of the decision support provided. A claim that is confirmed by experts from multiple epistemic communities simultaneously achieves a higher epistemic status than one confirmed by a single community. A module that has received attested confirmations from experts in three or more distinct epistemic communities carries a qualitatively different epistemic standing than one that has not, and the attestation register makes that standing visible and queryable by any reader, AI agent, or institutional auditor.</w:t>
      </w:r>
    </w:p>
    <w:p>
      <w:pPr>
        <w:pStyle w:val="BodyText"/>
      </w:pPr>
      <w:r>
        <w:rPr>
          <w:b/>
          <w:bCs/>
        </w:rPr>
        <w:t xml:space="preserve">The minimum viable implementation</w:t>
      </w:r>
      <w:r>
        <w:t xml:space="preserve"> </w:t>
      </w:r>
      <w:r>
        <w:t xml:space="preserve">does not require building a new platform. A public claims register is maintained as</w:t>
      </w:r>
      <w:r>
        <w:t xml:space="preserve"> </w:t>
      </w:r>
      <w:r>
        <w:rPr>
          <w:rStyle w:val="VerbatimChar"/>
        </w:rPr>
        <w:t xml:space="preserve">CLAIMS.md</w:t>
      </w:r>
      <w:r>
        <w:t xml:space="preserve"> </w:t>
      </w:r>
      <w:r>
        <w:t xml:space="preserve">in the project repository. Attestations are submitted through structured GitHub Issues using a declared template, reviewed by the lead author, and admitted to the register with a provenance record. The register is linked from the relevant module section in the manuscript, so any reader who wants to assess the attestation status of a specific claim can navigate directly to the record. The template for a contribution is:</w:t>
      </w:r>
      <w:r>
        <w:t xml:space="preserve"> </w:t>
      </w:r>
      <w:r>
        <w:t xml:space="preserve">Claim ID: [from CLAIMS.md]</w:t>
      </w:r>
      <w:r>
        <w:t xml:space="preserve"> </w:t>
      </w:r>
      <w:r>
        <w:t xml:space="preserve">Attester name and institution:</w:t>
      </w:r>
      <w:r>
        <w:t xml:space="preserve"> </w:t>
      </w:r>
      <w:r>
        <w:t xml:space="preserve">Declared domain of competence:</w:t>
      </w:r>
      <w:r>
        <w:t xml:space="preserve"> </w:t>
      </w:r>
      <w:r>
        <w:t xml:space="preserve">Date:</w:t>
      </w:r>
      <w:r>
        <w:t xml:space="preserve"> </w:t>
      </w:r>
      <w:r>
        <w:t xml:space="preserve">Verdict: [confirmed / confirmed with qualification / contested]</w:t>
      </w:r>
      <w:r>
        <w:t xml:space="preserve"> </w:t>
      </w:r>
      <w:r>
        <w:t xml:space="preserve">Basis (required if contested or qualified):</w:t>
      </w:r>
    </w:p>
    <w:p>
      <w:pPr>
        <w:pStyle w:val="BodyText"/>
      </w:pPr>
      <w:r>
        <w:t xml:space="preserve">This infrastructure is operational today. The CLAIMS.md file and the GitHub Issues template represent a two-hour implementation investment. What requires investment is the community norm: the shared understanding that claim-level attestation is a valuable form of scholarly contribution, that domain experts who provide attestations are acknowledged contributors to the framework’s knowledge base, and that the attestation register constitutes a living quality record that improves the framework’s institutional credibility over time.</w:t>
      </w:r>
    </w:p>
    <w:p>
      <w:pPr>
        <w:pStyle w:val="BodyText"/>
      </w:pPr>
      <w:r>
        <w:t xml:space="preserve">The broader vision described in the Context Declaration — a framework that is simultaneously rigorous, community-governed, and institutionally accountable — depends on exactly this kind of quality architecture. The thin-waist artefact governance that makes analytical outputs trustworthy, the decision-first boundary principle that keeps the analysis relevant, and the expert attestation mechanism that makes knowledge claims auditable are three expressions of the same underlying commitment: that what the framework asserts, it can defend, trace, and improve through principled engagement with the relevant expert communities.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0" name="Picture"/>
                  <a:graphic>
                    <a:graphicData uri="http://schemas.openxmlformats.org/drawingml/2006/picture">
                      <pic:pic>
                        <pic:nvPicPr>
                          <pic:cNvPr descr="/opt/quarto/share/formats/docx/tip.png" id="29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Contribute an Attestation</w:t>
            </w:r>
            <w:r>
              <w:t xml:space="preserve"> </w:t>
            </w:r>
            <w:r>
              <w:rPr>
                <w:rStyle w:val="VerbatimChar"/>
              </w:rPr>
              <w:t xml:space="preserve">[Collaborative]</w:t>
            </w:r>
          </w:p>
        </w:tc>
      </w:tr>
      <w:tr>
        <w:trPr>
          <w:cantSplit/>
        </w:trPr>
        <w:tc>
          <w:tcPr>
            <w:tcMar>
              <w:top w:w="108" w:type="dxa"/>
              <w:bottom w:w="108" w:type="dxa"/>
            </w:tcMar>
          </w:tcPr>
          <w:p>
            <w:pPr>
              <w:pStyle w:val="BodyText"/>
            </w:pPr>
            <w:pPr>
              <w:spacing w:before="16"/>
            </w:pPr>
            <w:r>
              <w:t xml:space="preserve">If you have domain expertise relevant to any claim in</w:t>
            </w:r>
            <w:r>
              <w:t xml:space="preserve"> </w:t>
            </w:r>
            <w:r>
              <w:t xml:space="preserve">this manuscript, you are invited to submit an attestation</w:t>
            </w:r>
            <w:r>
              <w:t xml:space="preserve"> </w:t>
            </w:r>
            <w:r>
              <w:t xml:space="preserve">through GitHub Issues. The claims register and submission</w:t>
            </w:r>
            <w:r>
              <w:t xml:space="preserve"> </w:t>
            </w:r>
            <w:r>
              <w:t xml:space="preserve">template are maintained at:</w:t>
            </w:r>
          </w:p>
          <w:p>
            <w:pPr>
              <w:pStyle w:val="BodyText"/>
            </w:pPr>
            <w:hyperlink r:id="rId292">
              <w:r>
                <w:rPr>
                  <w:rStyle w:val="Hyperlink"/>
                </w:rPr>
                <w:t xml:space="preserve">github.com/Ahmad-Mahmoudi-coder/DCM</w:t>
              </w:r>
            </w:hyperlink>
          </w:p>
          <w:p>
            <w:pPr>
              <w:pStyle w:val="BodyText"/>
            </w:pPr>
            <w:pPr>
              <w:spacing w:after="16"/>
            </w:pPr>
            <w:r>
              <w:t xml:space="preserve">Attestations from any epistemic community relevant to</w:t>
            </w:r>
            <w:r>
              <w:t xml:space="preserve"> </w:t>
            </w:r>
            <w:r>
              <w:t xml:space="preserve">the framework’s claims are welcomed.</w:t>
            </w:r>
          </w:p>
          <w:p/>
        </w:tc>
      </w:tr>
    </w:tbl>
    <w:bookmarkEnd w:id="293"/>
    <w:bookmarkEnd w:id="294"/>
    <w:bookmarkStart w:id="324" w:name="glossary"/>
    <w:p>
      <w:pPr>
        <w:pStyle w:val="Heading1"/>
      </w:pPr>
      <w:r>
        <w:t xml:space="preserve">40. Glossary</w:t>
      </w:r>
    </w:p>
    <w:p>
      <w:pPr>
        <w:pStyle w:val="FirstParagraph"/>
      </w:pPr>
      <w:r>
        <w:t xml:space="preserve">Key Terms and Artefact Families</w:t>
      </w:r>
    </w:p>
    <w:p>
      <w:pPr>
        <w:pStyle w:val="BodyText"/>
      </w:pPr>
      <w:r>
        <w:br/>
      </w:r>
    </w:p>
    <w:p>
      <w:pPr>
        <w:pStyle w:val="BodyText"/>
      </w:pPr>
      <w:r>
        <w:t xml:space="preserve">This glossary defines the key terms used throughout the manuscript in the precise sense the framework assigns them. Terms are listed alphabetically. The section where each term is first formally introduced is noted.</w:t>
      </w:r>
    </w:p>
    <w:bookmarkStart w:id="295" w:name="analytical-backbone"/>
    <w:p>
      <w:pPr>
        <w:pStyle w:val="Heading2"/>
      </w:pPr>
      <w:r>
        <w:t xml:space="preserve">40.1 Analytical backbone</w:t>
      </w:r>
    </w:p>
    <w:p>
      <w:pPr>
        <w:pStyle w:val="FirstParagraph"/>
      </w:pPr>
      <w:r>
        <w:rPr>
          <w:i/>
          <w:iCs/>
        </w:rPr>
        <w:t xml:space="preserve">Introduced in: §3.7</w:t>
      </w:r>
    </w:p>
    <w:p>
      <w:pPr>
        <w:pStyle w:val="BodyText"/>
      </w:pPr>
      <w:r>
        <w:t xml:space="preserve">The governed persistence layer in which all artefacts are stored, linked, and made queryable across runs, futures, epochs, and module versions. The backbone is append-only, schema-governed, lineage-linked, and technology-neutral. It is a methodological commitment, not merely a database: its governance properties are what make AI-assisted interrogation of analytical results trustworthy.</w:t>
      </w:r>
    </w:p>
    <w:bookmarkEnd w:id="295"/>
    <w:bookmarkStart w:id="296" w:name="artefact"/>
    <w:p>
      <w:pPr>
        <w:pStyle w:val="Heading2"/>
      </w:pPr>
      <w:r>
        <w:t xml:space="preserve">40.2 Artefact</w:t>
      </w:r>
    </w:p>
    <w:p>
      <w:pPr>
        <w:pStyle w:val="FirstParagraph"/>
      </w:pPr>
      <w:r>
        <w:rPr>
          <w:i/>
          <w:iCs/>
        </w:rPr>
        <w:t xml:space="preserve">Introduced in: §3.5</w:t>
      </w:r>
    </w:p>
    <w:p>
      <w:pPr>
        <w:pStyle w:val="BodyText"/>
      </w:pPr>
      <w:r>
        <w:t xml:space="preserve">A governed analytical object: a structured, versioned, validated, and provenance-carrying output that has been admitted to the comparison chain through an explicit acceptance gate. An artefact is not merely a file or a model output. It is an output that has been materialised in a schema-conforming form, linked to the run and future conditions that produced it, passed through a validation gate, and stored in the backbone with explicit lineage.</w:t>
      </w:r>
    </w:p>
    <w:bookmarkEnd w:id="296"/>
    <w:bookmarkStart w:id="297" w:name="decision-centred-modelling"/>
    <w:p>
      <w:pPr>
        <w:pStyle w:val="Heading2"/>
      </w:pPr>
      <w:r>
        <w:t xml:space="preserve">40.3 Decision-centred modelling</w:t>
      </w:r>
    </w:p>
    <w:p>
      <w:pPr>
        <w:pStyle w:val="FirstParagraph"/>
      </w:pPr>
      <w:r>
        <w:rPr>
          <w:i/>
          <w:iCs/>
        </w:rPr>
        <w:t xml:space="preserve">Introduced in: §0.1</w:t>
      </w:r>
    </w:p>
    <w:p>
      <w:pPr>
        <w:pStyle w:val="BodyText"/>
      </w:pPr>
      <w:r>
        <w:t xml:space="preserve">An approach to planning analysis in which the analytical environment is organised around the requirements of the decision being supported, specifically the alternatives, futures, consequences, and evaluative metrics that the decision requires, rather than around the internal logic of any one model class. The decision problem is the primary object of analysis; models are instruments in service of that analysis.</w:t>
      </w:r>
    </w:p>
    <w:bookmarkEnd w:id="297"/>
    <w:bookmarkStart w:id="298" w:name="decision-first-boundary-principle"/>
    <w:p>
      <w:pPr>
        <w:pStyle w:val="Heading2"/>
      </w:pPr>
      <w:r>
        <w:t xml:space="preserve">40.4 Decision-first boundary principle</w:t>
      </w:r>
    </w:p>
    <w:p>
      <w:pPr>
        <w:pStyle w:val="FirstParagraph"/>
      </w:pPr>
      <w:r>
        <w:rPr>
          <w:i/>
          <w:iCs/>
        </w:rPr>
        <w:t xml:space="preserve">Introduced in: §0.3</w:t>
      </w:r>
    </w:p>
    <w:p>
      <w:pPr>
        <w:pStyle w:val="BodyText"/>
      </w:pPr>
      <w:r>
        <w:t xml:space="preserve">The foundational commitment of the framework: analytical boundaries are drawn primarily by the decision context and the consequences that must remain visible for comparison, not by the physical extent of the system being studied. The decision makes the boundary; the artefact makes the connection.</w:t>
      </w:r>
    </w:p>
    <w:bookmarkEnd w:id="298"/>
    <w:bookmarkStart w:id="299" w:name="decisionsummaryartefact"/>
    <w:p>
      <w:pPr>
        <w:pStyle w:val="Heading2"/>
      </w:pPr>
      <w:r>
        <w:t xml:space="preserve">40.5 DecisionSummaryArtefact</w:t>
      </w:r>
    </w:p>
    <w:p>
      <w:pPr>
        <w:pStyle w:val="FirstParagraph"/>
      </w:pPr>
      <w:r>
        <w:rPr>
          <w:i/>
          <w:iCs/>
        </w:rPr>
        <w:t xml:space="preserve">Introduced in: §3.5</w:t>
      </w:r>
    </w:p>
    <w:p>
      <w:pPr>
        <w:pStyle w:val="BodyText"/>
      </w:pPr>
      <w:r>
        <w:t xml:space="preserve">The evaluation layer’s primary output artefact. Carries the regret, robustness, satisficing, and threshold-violation metrics for each pathway alternative across the future ensemble. Its credibility depends on the governance of the upstream artefact chain.</w:t>
      </w:r>
    </w:p>
    <w:bookmarkEnd w:id="299"/>
    <w:bookmarkStart w:id="300" w:name="deep-uncertainty"/>
    <w:p>
      <w:pPr>
        <w:pStyle w:val="Heading2"/>
      </w:pPr>
      <w:r>
        <w:t xml:space="preserve">40.6 Deep uncertainty</w:t>
      </w:r>
    </w:p>
    <w:p>
      <w:pPr>
        <w:pStyle w:val="FirstParagraph"/>
      </w:pPr>
      <w:r>
        <w:rPr>
          <w:i/>
          <w:iCs/>
        </w:rPr>
        <w:t xml:space="preserve">Introduced in: §1.3</w:t>
      </w:r>
    </w:p>
    <w:p>
      <w:pPr>
        <w:pStyle w:val="BodyText"/>
      </w:pPr>
      <w:r>
        <w:t xml:space="preserve">Conditions in which stakeholders cannot agree on the appropriate models, the probability distributions of key parameters, or the metrics by which outcomes should be judged. Deep uncertainty is structural indeterminacy, not merely parameter noise. It requires exploration across many plausible futures rather than optimisation under one presumed future.</w:t>
      </w:r>
    </w:p>
    <w:bookmarkEnd w:id="300"/>
    <w:bookmarkStart w:id="301" w:name="demandpack"/>
    <w:p>
      <w:pPr>
        <w:pStyle w:val="Heading2"/>
      </w:pPr>
      <w:r>
        <w:t xml:space="preserve">40.7 DemandPack</w:t>
      </w:r>
    </w:p>
    <w:p>
      <w:pPr>
        <w:pStyle w:val="FirstParagraph"/>
      </w:pPr>
      <w:r>
        <w:rPr>
          <w:i/>
          <w:iCs/>
        </w:rPr>
        <w:t xml:space="preserve">Introduced in: §3.5</w:t>
      </w:r>
    </w:p>
    <w:p>
      <w:pPr>
        <w:pStyle w:val="BodyText"/>
      </w:pPr>
      <w:r>
        <w:t xml:space="preserve">The canonical demand artefact. A time-resolved, versioned, acceptance-gated record of site-level heat demand for a specific epoch, scenario variant, and future condition. Produced by the site demand construction module and consumed by the site dispatch module.</w:t>
      </w:r>
    </w:p>
    <w:bookmarkEnd w:id="301"/>
    <w:bookmarkStart w:id="302" w:name="X1e6add422e6f366058cd28b144f73a030cbffa4"/>
    <w:p>
      <w:pPr>
        <w:pStyle w:val="Heading2"/>
      </w:pPr>
      <w:r>
        <w:t xml:space="preserve">40.8 DMDU (Decision Making under Deep Uncertainty)</w:t>
      </w:r>
    </w:p>
    <w:p>
      <w:pPr>
        <w:pStyle w:val="FirstParagraph"/>
      </w:pPr>
      <w:r>
        <w:rPr>
          <w:i/>
          <w:iCs/>
        </w:rPr>
        <w:t xml:space="preserve">Introduced in: §1.3</w:t>
      </w:r>
    </w:p>
    <w:p>
      <w:pPr>
        <w:pStyle w:val="BodyText"/>
      </w:pPr>
      <w:r>
        <w:t xml:space="preserve">The intellectual tradition that reorients analytical practice from optimising against a single forecast toward characterising how decisions perform across a wide ensemble of plausible futures. Key methods include Robust Decision Making (RDM), Dynamic Adaptive Policy Pathways (DAPP), Exploratory Modelling and Analysis (EMA), and scenario discovery methods including PRIM and CART.</w:t>
      </w:r>
    </w:p>
    <w:bookmarkEnd w:id="302"/>
    <w:bookmarkStart w:id="303" w:name="futureartefact"/>
    <w:p>
      <w:pPr>
        <w:pStyle w:val="Heading2"/>
      </w:pPr>
      <w:r>
        <w:t xml:space="preserve">40.9 FutureArtefact</w:t>
      </w:r>
    </w:p>
    <w:p>
      <w:pPr>
        <w:pStyle w:val="FirstParagraph"/>
      </w:pPr>
      <w:r>
        <w:rPr>
          <w:i/>
          <w:iCs/>
        </w:rPr>
        <w:t xml:space="preserve">Introduced in: §3.5</w:t>
      </w:r>
    </w:p>
    <w:p>
      <w:pPr>
        <w:pStyle w:val="BodyText"/>
      </w:pPr>
      <w:r>
        <w:t xml:space="preserve">The canonical uncertainty artefact. Records the specific combination of uncertain driver values under which a given pipeline run was executed. Every other artefact produced in that run carries a foreign key reference to its governing FutureArtefact.</w:t>
      </w:r>
    </w:p>
    <w:bookmarkEnd w:id="303"/>
    <w:bookmarkStart w:id="304" w:name="gxp-grid-exit-point"/>
    <w:p>
      <w:pPr>
        <w:pStyle w:val="Heading2"/>
      </w:pPr>
      <w:r>
        <w:t xml:space="preserve">40.10 GXP (Grid Exit Point)</w:t>
      </w:r>
    </w:p>
    <w:p>
      <w:pPr>
        <w:pStyle w:val="FirstParagraph"/>
      </w:pPr>
      <w:r>
        <w:rPr>
          <w:i/>
          <w:iCs/>
        </w:rPr>
        <w:t xml:space="preserve">Introduced in: §5.2</w:t>
      </w:r>
    </w:p>
    <w:p>
      <w:pPr>
        <w:pStyle w:val="BodyText"/>
      </w:pPr>
      <w:r>
        <w:t xml:space="preserve">In the New Zealand electricity system, the metered boundary between the national transmission grid and a regional distribution network. GXP-level hosting capacity is the primary infrastructure constraint governing electrification feasibility in the Southland regional context.</w:t>
      </w:r>
    </w:p>
    <w:bookmarkEnd w:id="304"/>
    <w:bookmarkStart w:id="305" w:name="incrementalelectricitypack"/>
    <w:p>
      <w:pPr>
        <w:pStyle w:val="Heading2"/>
      </w:pPr>
      <w:r>
        <w:t xml:space="preserve">40.11 IncrementalElectricityPack</w:t>
      </w:r>
    </w:p>
    <w:p>
      <w:pPr>
        <w:pStyle w:val="FirstParagraph"/>
      </w:pPr>
      <w:r>
        <w:rPr>
          <w:i/>
          <w:iCs/>
        </w:rPr>
        <w:t xml:space="preserve">Introduced in: §3.5</w:t>
      </w:r>
    </w:p>
    <w:p>
      <w:pPr>
        <w:pStyle w:val="BodyText"/>
      </w:pPr>
      <w:r>
        <w:t xml:space="preserve">The canonical electricity interface artefact produced by the site dispatch module and consumed by the regional electricity module. Carries the compact signal descriptors representing the site’s electricity demand increment at the GXP boundary. It is the thin-waist object at the site-to-regional boundary.</w:t>
      </w:r>
    </w:p>
    <w:bookmarkEnd w:id="305"/>
    <w:bookmarkStart w:id="306" w:name="module"/>
    <w:p>
      <w:pPr>
        <w:pStyle w:val="Heading2"/>
      </w:pPr>
      <w:r>
        <w:t xml:space="preserve">40.12 Module</w:t>
      </w:r>
    </w:p>
    <w:p>
      <w:pPr>
        <w:pStyle w:val="FirstParagraph"/>
      </w:pPr>
      <w:r>
        <w:rPr>
          <w:i/>
          <w:iCs/>
        </w:rPr>
        <w:t xml:space="preserve">Introduced in: §3.2</w:t>
      </w:r>
    </w:p>
    <w:p>
      <w:pPr>
        <w:pStyle w:val="BodyText"/>
      </w:pPr>
      <w:r>
        <w:t xml:space="preserve">An analytical component of the modelling environment defined by four properties: a declared analytical role, declared inputs, declared outputs, and an explicit interface contract. A module is defined by its role and interface contract, not by its implementation. Implementations may change freely provided the interface contract is preserved.</w:t>
      </w:r>
    </w:p>
    <w:bookmarkEnd w:id="306"/>
    <w:bookmarkStart w:id="307" w:name="one-pass-coupling"/>
    <w:p>
      <w:pPr>
        <w:pStyle w:val="Heading2"/>
      </w:pPr>
      <w:r>
        <w:t xml:space="preserve">40.13 One-pass coupling</w:t>
      </w:r>
    </w:p>
    <w:p>
      <w:pPr>
        <w:pStyle w:val="FirstParagraph"/>
      </w:pPr>
      <w:r>
        <w:rPr>
          <w:i/>
          <w:iCs/>
        </w:rPr>
        <w:t xml:space="preserve">Introduced in: §6.1</w:t>
      </w:r>
    </w:p>
    <w:p>
      <w:pPr>
        <w:pStyle w:val="BodyText"/>
      </w:pPr>
      <w:r>
        <w:t xml:space="preserve">The coupling pattern implemented in the current proof of concept: modules run in a defined sequence without iterative feedback. The site dispatch module produces the incremental electricity signal; the regional screening module evaluates grid constraints; results are aggregated without looping. Declared as a current limitation of the proof of concept.</w:t>
      </w:r>
    </w:p>
    <w:bookmarkEnd w:id="307"/>
    <w:bookmarkStart w:id="308" w:name="paired-futures-requirement"/>
    <w:p>
      <w:pPr>
        <w:pStyle w:val="Heading2"/>
      </w:pPr>
      <w:r>
        <w:t xml:space="preserve">40.14 Paired-futures requirement</w:t>
      </w:r>
    </w:p>
    <w:p>
      <w:pPr>
        <w:pStyle w:val="FirstParagraph"/>
      </w:pPr>
      <w:r>
        <w:rPr>
          <w:i/>
          <w:iCs/>
        </w:rPr>
        <w:t xml:space="preserve">Introduced in: §1.4</w:t>
      </w:r>
    </w:p>
    <w:p>
      <w:pPr>
        <w:pStyle w:val="BodyText"/>
      </w:pPr>
      <w:r>
        <w:t xml:space="preserve">The design requirement that competing pathway alternatives must be evaluated under identical external conditions in every future. Regret comparisons between pathways evaluated under different futures are confounded. The FutureArtefact schema and paired-futures enforcement logic enforce this requirement.</w:t>
      </w:r>
    </w:p>
    <w:bookmarkEnd w:id="308"/>
    <w:bookmarkStart w:id="309" w:name="progressive-refinement"/>
    <w:p>
      <w:pPr>
        <w:pStyle w:val="Heading2"/>
      </w:pPr>
      <w:r>
        <w:t xml:space="preserve">40.15 Progressive refinement</w:t>
      </w:r>
    </w:p>
    <w:p>
      <w:pPr>
        <w:pStyle w:val="FirstParagraph"/>
      </w:pPr>
      <w:r>
        <w:rPr>
          <w:i/>
          <w:iCs/>
        </w:rPr>
        <w:t xml:space="preserve">Introduced in: §0.3</w:t>
      </w:r>
    </w:p>
    <w:p>
      <w:pPr>
        <w:pStyle w:val="BodyText"/>
      </w:pPr>
      <w:r>
        <w:t xml:space="preserve">The framework’s development philosophy. A minimal implementation that is architecturally complete and analytically useful precedes any richer components. The architecture reveals its own next development steps through regret sensitivity diagnostics. Complexity is added where it improves decision quality, not where it increases formal sophistication.</w:t>
      </w:r>
    </w:p>
    <w:bookmarkEnd w:id="309"/>
    <w:bookmarkStart w:id="310" w:name="rdm-robust-decision-making"/>
    <w:p>
      <w:pPr>
        <w:pStyle w:val="Heading2"/>
      </w:pPr>
      <w:r>
        <w:t xml:space="preserve">40.16 RDM (Robust Decision Making)</w:t>
      </w:r>
    </w:p>
    <w:p>
      <w:pPr>
        <w:pStyle w:val="FirstParagraph"/>
      </w:pPr>
      <w:r>
        <w:rPr>
          <w:i/>
          <w:iCs/>
        </w:rPr>
        <w:t xml:space="preserve">Introduced in: §1.3</w:t>
      </w:r>
    </w:p>
    <w:p>
      <w:pPr>
        <w:pStyle w:val="BodyText"/>
      </w:pPr>
      <w:r>
        <w:t xml:space="preserve">A DMDU method developed principally at RAND by Lempert, Popper, and Bankes. Evaluates alternatives across large ensembles of futures using regret, satisficing frequency, and vulnerability diagnostics rather than expected-value optimisation.</w:t>
      </w:r>
    </w:p>
    <w:bookmarkEnd w:id="310"/>
    <w:bookmarkStart w:id="311" w:name="regret"/>
    <w:p>
      <w:pPr>
        <w:pStyle w:val="Heading2"/>
      </w:pPr>
      <w:r>
        <w:t xml:space="preserve">40.17 Regret</w:t>
      </w:r>
    </w:p>
    <w:p>
      <w:pPr>
        <w:pStyle w:val="FirstParagraph"/>
      </w:pPr>
      <w:r>
        <w:rPr>
          <w:i/>
          <w:iCs/>
        </w:rPr>
        <w:t xml:space="preserve">Introduced in: §1.5</w:t>
      </w:r>
    </w:p>
    <w:p>
      <w:pPr>
        <w:pStyle w:val="BodyText"/>
      </w:pPr>
      <w:r>
        <w:t xml:space="preserve">The difference between what the best available alternative would have achieved under a given future and what the chosen alternative achieves under that same future. Regret is future-specific and comparative. It is zero for the preferred alternative under each future and positive for all others.</w:t>
      </w:r>
    </w:p>
    <w:bookmarkEnd w:id="311"/>
    <w:bookmarkStart w:id="312" w:name="resultartefact"/>
    <w:p>
      <w:pPr>
        <w:pStyle w:val="Heading2"/>
      </w:pPr>
      <w:r>
        <w:t xml:space="preserve">40.18 ResultArtefact</w:t>
      </w:r>
    </w:p>
    <w:p>
      <w:pPr>
        <w:pStyle w:val="FirstParagraph"/>
      </w:pPr>
      <w:r>
        <w:rPr>
          <w:i/>
          <w:iCs/>
        </w:rPr>
        <w:t xml:space="preserve">Introduced in: §3.5</w:t>
      </w:r>
    </w:p>
    <w:p>
      <w:pPr>
        <w:pStyle w:val="BodyText"/>
      </w:pPr>
      <w:r>
        <w:t xml:space="preserve">Records the site-level and system-level consequences for a specific pathway alternative, epoch, and future. Carries annual cost decompositions, energy consumption, emissions, and adequacy metrics.</w:t>
      </w:r>
    </w:p>
    <w:bookmarkEnd w:id="312"/>
    <w:bookmarkStart w:id="313" w:name="robustness"/>
    <w:p>
      <w:pPr>
        <w:pStyle w:val="Heading2"/>
      </w:pPr>
      <w:r>
        <w:t xml:space="preserve">40.19 Robustness</w:t>
      </w:r>
    </w:p>
    <w:p>
      <w:pPr>
        <w:pStyle w:val="FirstParagraph"/>
      </w:pPr>
      <w:r>
        <w:rPr>
          <w:i/>
          <w:iCs/>
        </w:rPr>
        <w:t xml:space="preserve">Introduced in: §1.5</w:t>
      </w:r>
    </w:p>
    <w:p>
      <w:pPr>
        <w:pStyle w:val="BodyText"/>
      </w:pPr>
      <w:r>
        <w:t xml:space="preserve">A property of a strategy that performs acceptably or competitively across many plausible futures. A robust strategy need not be optimal under any single future; its value lies in avoiding large failures and remaining acceptable across a wide range of conditions the decision-maker cannot control.</w:t>
      </w:r>
    </w:p>
    <w:bookmarkEnd w:id="313"/>
    <w:bookmarkStart w:id="314" w:name="satisficing"/>
    <w:p>
      <w:pPr>
        <w:pStyle w:val="Heading2"/>
      </w:pPr>
      <w:r>
        <w:t xml:space="preserve">40.20 Satisficing</w:t>
      </w:r>
    </w:p>
    <w:p>
      <w:pPr>
        <w:pStyle w:val="FirstParagraph"/>
      </w:pPr>
      <w:r>
        <w:rPr>
          <w:i/>
          <w:iCs/>
        </w:rPr>
        <w:t xml:space="preserve">Introduced in: §1.5</w:t>
      </w:r>
    </w:p>
    <w:p>
      <w:pPr>
        <w:pStyle w:val="BodyText"/>
      </w:pPr>
      <w:r>
        <w:t xml:space="preserve">A decision standard that asks which alternatives meet stated thresholds of acceptability across futures, rather than which is nominally optimal. Follows Herbert Simon’s concept of bounded rationality. The satisficing rate is the fraction of ensemble futures in which an alternative meets all declared thresholds.</w:t>
      </w:r>
    </w:p>
    <w:bookmarkEnd w:id="314"/>
    <w:bookmarkStart w:id="315" w:name="signalspack"/>
    <w:p>
      <w:pPr>
        <w:pStyle w:val="Heading2"/>
      </w:pPr>
      <w:r>
        <w:t xml:space="preserve">40.21 SignalsPack</w:t>
      </w:r>
    </w:p>
    <w:p>
      <w:pPr>
        <w:pStyle w:val="FirstParagraph"/>
      </w:pPr>
      <w:r>
        <w:rPr>
          <w:i/>
          <w:iCs/>
        </w:rPr>
        <w:t xml:space="preserve">Introduced in: §3.5</w:t>
      </w:r>
    </w:p>
    <w:p>
      <w:pPr>
        <w:pStyle w:val="BodyText"/>
      </w:pPr>
      <w:r>
        <w:t xml:space="preserve">The canonical electricity interface artefact produced by the regional module and consumed by the site dispatch module and the evaluation layer. Carries GXP-level signals including adequacy headroom, tariff adders, scarcity proxies, upgrade-class indicators, and confidence scores.</w:t>
      </w:r>
    </w:p>
    <w:bookmarkEnd w:id="315"/>
    <w:bookmarkStart w:id="316" w:name="site-decision-robustness-overlay"/>
    <w:p>
      <w:pPr>
        <w:pStyle w:val="Heading2"/>
      </w:pPr>
      <w:r>
        <w:t xml:space="preserve">40.22 Site decision robustness overlay</w:t>
      </w:r>
    </w:p>
    <w:p>
      <w:pPr>
        <w:pStyle w:val="FirstParagraph"/>
      </w:pPr>
      <w:r>
        <w:rPr>
          <w:i/>
          <w:iCs/>
        </w:rPr>
        <w:t xml:space="preserve">Introduced in: §6.7</w:t>
      </w:r>
    </w:p>
    <w:p>
      <w:pPr>
        <w:pStyle w:val="BodyText"/>
      </w:pPr>
      <w:r>
        <w:t xml:space="preserve">A post-processing module that consolidates site dispatch cost summaries with grid RDM summaries to produce a pathway comparison reflecting uncertainty in both site-level cost components and regional infrastructure conditions. It is a post-processing overlay only: it does not re-run dispatch, modify existing artefacts, or introduce feedback loops.</w:t>
      </w:r>
    </w:p>
    <w:bookmarkEnd w:id="316"/>
    <w:bookmarkStart w:id="317" w:name="system-level-regret"/>
    <w:p>
      <w:pPr>
        <w:pStyle w:val="Heading2"/>
      </w:pPr>
      <w:r>
        <w:t xml:space="preserve">40.23 System-level regret</w:t>
      </w:r>
    </w:p>
    <w:p>
      <w:pPr>
        <w:pStyle w:val="FirstParagraph"/>
      </w:pPr>
      <w:r>
        <w:rPr>
          <w:i/>
          <w:iCs/>
        </w:rPr>
        <w:t xml:space="preserve">Introduced in: §4.4</w:t>
      </w:r>
    </w:p>
    <w:p>
      <w:pPr>
        <w:pStyle w:val="BodyText"/>
      </w:pPr>
      <w:r>
        <w:t xml:space="preserve">The divergence between the regret computed under the site-only cost assessment and the regret computed under the infrastructure-conditional system cost assessment. Positive system-level regret indicates that current pricing arrangements create incentives for site operators to pursue pathway choices that impose costs on the regional system that they do not privately bear. Formally derived in Sub-Module SM-4.4-A.</w:t>
      </w:r>
    </w:p>
    <w:bookmarkEnd w:id="317"/>
    <w:bookmarkStart w:id="318" w:name="thin-waist"/>
    <w:p>
      <w:pPr>
        <w:pStyle w:val="Heading2"/>
      </w:pPr>
      <w:r>
        <w:t xml:space="preserve">40.24 Thin waist</w:t>
      </w:r>
    </w:p>
    <w:p>
      <w:pPr>
        <w:pStyle w:val="FirstParagraph"/>
      </w:pPr>
      <w:r>
        <w:rPr>
          <w:i/>
          <w:iCs/>
        </w:rPr>
        <w:t xml:space="preserve">Introduced in: §0.5</w:t>
      </w:r>
    </w:p>
    <w:p>
      <w:pPr>
        <w:pStyle w:val="BodyText"/>
      </w:pPr>
      <w:r>
        <w:t xml:space="preserve">The design principle that what is exchanged between modules must be narrow, explicit, and stable, while what happens inside each module may evolve freely. The thin waist separates the stability of the interface from the flexibility of the implementation. It is a design principle, not a data format.</w:t>
      </w:r>
    </w:p>
    <w:bookmarkEnd w:id="318"/>
    <w:bookmarkStart w:id="319" w:name="validationartefact"/>
    <w:p>
      <w:pPr>
        <w:pStyle w:val="Heading2"/>
      </w:pPr>
      <w:r>
        <w:t xml:space="preserve">40.25 ValidationArtefact</w:t>
      </w:r>
    </w:p>
    <w:p>
      <w:pPr>
        <w:pStyle w:val="FirstParagraph"/>
      </w:pPr>
      <w:r>
        <w:rPr>
          <w:i/>
          <w:iCs/>
        </w:rPr>
        <w:t xml:space="preserve">Introduced in: §3.5</w:t>
      </w:r>
    </w:p>
    <w:p>
      <w:pPr>
        <w:pStyle w:val="BodyText"/>
      </w:pPr>
      <w:r>
        <w:t xml:space="preserve">The governance artefact. Records the outcome of every acceptance gate check applied to every other artefact. Failed ValidationArtefacts are retained in the backbone alongside their associated failed artefacts as permanent governance records.</w:t>
      </w:r>
    </w:p>
    <w:p>
      <w:r>
        <w:pict>
          <v:rect style="width:0;height:1.5pt" o:hralign="center" o:hrstd="t" o:hr="t"/>
        </w:pict>
      </w:r>
    </w:p>
    <w:bookmarkEnd w:id="319"/>
    <w:bookmarkStart w:id="323" w:name="framework-extension-registry"/>
    <w:p>
      <w:pPr>
        <w:pStyle w:val="Heading2"/>
      </w:pPr>
      <w:r>
        <w:t xml:space="preserve">Framework Extension Registry</w:t>
      </w:r>
    </w:p>
    <w:p>
      <w:pPr>
        <w:pStyle w:val="FirstParagraph"/>
      </w:pPr>
      <w:r>
        <w:t xml:space="preserve">This registry declares planned additions to the manuscript that are specified but not yet implemented as full sections. It follows the same Implemented / Specified / Vision taxonomy as the Node Declaration system.</w:t>
      </w:r>
    </w:p>
    <w:bookmarkStart w:id="320" w:name="planned-sub-modules-specified"/>
    <w:p>
      <w:pPr>
        <w:pStyle w:val="Heading3"/>
      </w:pPr>
      <w:r>
        <w:t xml:space="preserve">40.25.1 Planned Sub-Modules (Specified)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Title</w:t>
            </w:r>
          </w:p>
        </w:tc>
        <w:tc>
          <w:tcPr/>
          <w:p>
            <w:pPr>
              <w:pStyle w:val="Compact"/>
            </w:pPr>
            <w:r>
              <w:t xml:space="preserve">Parent section</w:t>
            </w:r>
          </w:p>
        </w:tc>
        <w:tc>
          <w:tcPr/>
          <w:p>
            <w:pPr>
              <w:pStyle w:val="Compact"/>
            </w:pPr>
            <w:r>
              <w:t xml:space="preserve">Status</w:t>
            </w:r>
          </w:p>
        </w:tc>
        <w:tc>
          <w:tcPr/>
          <w:p>
            <w:pPr>
              <w:pStyle w:val="Compact"/>
            </w:pPr>
            <w:r>
              <w:t xml:space="preserve">Description</w:t>
            </w:r>
          </w:p>
        </w:tc>
      </w:tr>
      <w:tr>
        <w:tc>
          <w:tcPr/>
          <w:p>
            <w:pPr>
              <w:pStyle w:val="Compact"/>
            </w:pPr>
            <w:r>
              <w:t xml:space="preserve">SM-5.5-A</w:t>
            </w:r>
          </w:p>
        </w:tc>
        <w:tc>
          <w:tcPr/>
          <w:p>
            <w:pPr>
              <w:pStyle w:val="Compact"/>
            </w:pPr>
            <w:r>
              <w:t xml:space="preserve">TIMES-NZ and the NZ Energy Modelling Ecosystem</w:t>
            </w:r>
          </w:p>
        </w:tc>
        <w:tc>
          <w:tcPr/>
          <w:p>
            <w:pPr>
              <w:pStyle w:val="Compact"/>
            </w:pPr>
            <w:r>
              <w:t xml:space="preserve">§5.5</w:t>
            </w:r>
          </w:p>
        </w:tc>
        <w:tc>
          <w:tcPr/>
          <w:p>
            <w:pPr>
              <w:pStyle w:val="Compact"/>
            </w:pPr>
            <w:r>
              <w:t xml:space="preserve">✓ Added</w:t>
            </w:r>
          </w:p>
        </w:tc>
        <w:tc>
          <w:tcPr/>
          <w:p>
            <w:pPr>
              <w:pStyle w:val="Compact"/>
            </w:pPr>
            <w:r>
              <w:t xml:space="preserve">Detailed ecosystem assessment and integration pathways</w:t>
            </w:r>
          </w:p>
        </w:tc>
      </w:tr>
      <w:tr>
        <w:tc>
          <w:tcPr/>
          <w:p>
            <w:pPr>
              <w:pStyle w:val="Compact"/>
            </w:pPr>
            <w:r>
              <w:t xml:space="preserve">SM-3.9-A</w:t>
            </w:r>
          </w:p>
        </w:tc>
        <w:tc>
          <w:tcPr/>
          <w:p>
            <w:pPr>
              <w:pStyle w:val="Compact"/>
            </w:pPr>
            <w:r>
              <w:t xml:space="preserve">External Reference Registry and ReferenceArtefact</w:t>
            </w:r>
          </w:p>
        </w:tc>
        <w:tc>
          <w:tcPr/>
          <w:p>
            <w:pPr>
              <w:pStyle w:val="Compact"/>
            </w:pPr>
            <w:r>
              <w:t xml:space="preserve">§3.7</w:t>
            </w:r>
          </w:p>
        </w:tc>
        <w:tc>
          <w:tcPr/>
          <w:p>
            <w:pPr>
              <w:pStyle w:val="Compact"/>
            </w:pPr>
            <w:r>
              <w:t xml:space="preserve">○ Specified</w:t>
            </w:r>
          </w:p>
        </w:tc>
        <w:tc>
          <w:tcPr/>
          <w:p>
            <w:pPr>
              <w:pStyle w:val="Compact"/>
            </w:pPr>
            <w:r>
              <w:t xml:space="preserve">Governance specification for external document linkage</w:t>
            </w:r>
          </w:p>
        </w:tc>
      </w:tr>
      <w:tr>
        <w:tc>
          <w:tcPr/>
          <w:p>
            <w:pPr>
              <w:pStyle w:val="Compact"/>
            </w:pPr>
            <w:r>
              <w:t xml:space="preserve">SM-6.7-A</w:t>
            </w:r>
          </w:p>
        </w:tc>
        <w:tc>
          <w:tcPr/>
          <w:p>
            <w:pPr>
              <w:pStyle w:val="Compact"/>
            </w:pPr>
            <w:r>
              <w:t xml:space="preserve">Iterative Coupling: Two-Pass Architecture</w:t>
            </w:r>
          </w:p>
        </w:tc>
        <w:tc>
          <w:tcPr/>
          <w:p>
            <w:pPr>
              <w:pStyle w:val="Compact"/>
            </w:pPr>
            <w:r>
              <w:t xml:space="preserve">§6.10</w:t>
            </w:r>
          </w:p>
        </w:tc>
        <w:tc>
          <w:tcPr/>
          <w:p>
            <w:pPr>
              <w:pStyle w:val="Compact"/>
            </w:pPr>
            <w:r>
              <w:t xml:space="preserve">○ Specified</w:t>
            </w:r>
          </w:p>
        </w:tc>
        <w:tc>
          <w:tcPr/>
          <w:p>
            <w:pPr>
              <w:pStyle w:val="Compact"/>
            </w:pPr>
            <w:r>
              <w:t xml:space="preserve">Design for closing the one-pass coupling limitation</w:t>
            </w:r>
          </w:p>
        </w:tc>
      </w:tr>
      <w:tr>
        <w:tc>
          <w:tcPr/>
          <w:p>
            <w:pPr>
              <w:pStyle w:val="Compact"/>
            </w:pPr>
            <w:r>
              <w:t xml:space="preserve">SM-7.4-A</w:t>
            </w:r>
          </w:p>
        </w:tc>
        <w:tc>
          <w:tcPr/>
          <w:p>
            <w:pPr>
              <w:pStyle w:val="Compact"/>
            </w:pPr>
            <w:r>
              <w:t xml:space="preserve">Surrogate-Accelerated Ensemble: Implementation Guide</w:t>
            </w:r>
          </w:p>
        </w:tc>
        <w:tc>
          <w:tcPr/>
          <w:p>
            <w:pPr>
              <w:pStyle w:val="Compact"/>
            </w:pPr>
            <w:r>
              <w:t xml:space="preserve">§7.4</w:t>
            </w:r>
          </w:p>
        </w:tc>
        <w:tc>
          <w:tcPr/>
          <w:p>
            <w:pPr>
              <w:pStyle w:val="Compact"/>
            </w:pPr>
            <w:r>
              <w:t xml:space="preserve">○ Specified</w:t>
            </w:r>
          </w:p>
        </w:tc>
        <w:tc>
          <w:tcPr/>
          <w:p>
            <w:pPr>
              <w:pStyle w:val="Compact"/>
            </w:pPr>
            <w:r>
              <w:t xml:space="preserve">Step-by-step ML surrogate training and validation</w:t>
            </w:r>
          </w:p>
        </w:tc>
      </w:tr>
    </w:tbl>
    <w:bookmarkEnd w:id="320"/>
    <w:bookmarkStart w:id="321" w:name="planned-sections-vision"/>
    <w:p>
      <w:pPr>
        <w:pStyle w:val="Heading3"/>
      </w:pPr>
      <w:r>
        <w:t xml:space="preserve">40.25.2 Planned Sections (Vision)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Title</w:t>
            </w:r>
          </w:p>
        </w:tc>
        <w:tc>
          <w:tcPr/>
          <w:p>
            <w:pPr>
              <w:pStyle w:val="Compact"/>
            </w:pPr>
            <w:r>
              <w:t xml:space="preserve">Placement</w:t>
            </w:r>
          </w:p>
        </w:tc>
        <w:tc>
          <w:tcPr/>
          <w:p>
            <w:pPr>
              <w:pStyle w:val="Compact"/>
            </w:pPr>
            <w:r>
              <w:t xml:space="preserve">Status</w:t>
            </w:r>
          </w:p>
        </w:tc>
        <w:tc>
          <w:tcPr/>
          <w:p>
            <w:pPr>
              <w:pStyle w:val="Compact"/>
            </w:pPr>
            <w:r>
              <w:t xml:space="preserve">Description</w:t>
            </w:r>
          </w:p>
        </w:tc>
      </w:tr>
      <w:tr>
        <w:tc>
          <w:tcPr/>
          <w:p>
            <w:pPr>
              <w:pStyle w:val="Compact"/>
            </w:pPr>
            <w:r>
              <w:t xml:space="preserve">§5.7</w:t>
            </w:r>
          </w:p>
        </w:tc>
        <w:tc>
          <w:tcPr/>
          <w:p>
            <w:pPr>
              <w:pStyle w:val="Compact"/>
            </w:pPr>
            <w:r>
              <w:t xml:space="preserve">Knowledge Context Layer</w:t>
            </w:r>
          </w:p>
        </w:tc>
        <w:tc>
          <w:tcPr/>
          <w:p>
            <w:pPr>
              <w:pStyle w:val="Compact"/>
            </w:pPr>
            <w:r>
              <w:t xml:space="preserve">After §5.6</w:t>
            </w:r>
          </w:p>
        </w:tc>
        <w:tc>
          <w:tcPr/>
          <w:p>
            <w:pPr>
              <w:pStyle w:val="Compact"/>
            </w:pPr>
            <w:r>
              <w:t xml:space="preserve">◇ Vision</w:t>
            </w:r>
          </w:p>
        </w:tc>
        <w:tc>
          <w:tcPr/>
          <w:p>
            <w:pPr>
              <w:pStyle w:val="Compact"/>
            </w:pPr>
            <w:r>
              <w:t xml:space="preserve">Structured manifest linking all FutureArtefact fields to primary data sources</w:t>
            </w:r>
          </w:p>
        </w:tc>
      </w:tr>
      <w:tr>
        <w:tc>
          <w:tcPr/>
          <w:p>
            <w:pPr>
              <w:pStyle w:val="Compact"/>
            </w:pPr>
            <w:r>
              <w:t xml:space="preserve">§7.10</w:t>
            </w:r>
          </w:p>
        </w:tc>
        <w:tc>
          <w:tcPr/>
          <w:p>
            <w:pPr>
              <w:pStyle w:val="Compact"/>
            </w:pPr>
            <w:r>
              <w:t xml:space="preserve">The Academic Attestation Platform</w:t>
            </w:r>
          </w:p>
        </w:tc>
        <w:tc>
          <w:tcPr/>
          <w:p>
            <w:pPr>
              <w:pStyle w:val="Compact"/>
            </w:pPr>
            <w:r>
              <w:t xml:space="preserve">After §7.9</w:t>
            </w:r>
          </w:p>
        </w:tc>
        <w:tc>
          <w:tcPr/>
          <w:p>
            <w:pPr>
              <w:pStyle w:val="Compact"/>
            </w:pPr>
            <w:r>
              <w:t xml:space="preserve">◇ Vision</w:t>
            </w:r>
          </w:p>
        </w:tc>
        <w:tc>
          <w:tcPr/>
          <w:p>
            <w:pPr>
              <w:pStyle w:val="Compact"/>
            </w:pPr>
            <w:r>
              <w:t xml:space="preserve">Claim-level expert attestation as scholarly communication infrastructure</w:t>
            </w:r>
          </w:p>
        </w:tc>
      </w:tr>
      <w:tr>
        <w:tc>
          <w:tcPr/>
          <w:p>
            <w:pPr>
              <w:pStyle w:val="Compact"/>
            </w:pPr>
            <w:r>
              <w:t xml:space="preserve">§8.1–§8.6</w:t>
            </w:r>
          </w:p>
        </w:tc>
        <w:tc>
          <w:tcPr/>
          <w:p>
            <w:pPr>
              <w:pStyle w:val="Compact"/>
            </w:pPr>
            <w:r>
              <w:t xml:space="preserve">Module 8: Community Contributions</w:t>
            </w:r>
          </w:p>
        </w:tc>
        <w:tc>
          <w:tcPr/>
          <w:p>
            <w:pPr>
              <w:pStyle w:val="Compact"/>
            </w:pPr>
            <w:r>
              <w:t xml:space="preserve">New module</w:t>
            </w:r>
          </w:p>
        </w:tc>
        <w:tc>
          <w:tcPr/>
          <w:p>
            <w:pPr>
              <w:pStyle w:val="Compact"/>
            </w:pPr>
            <w:r>
              <w:t xml:space="preserve">◇ Vision</w:t>
            </w:r>
          </w:p>
        </w:tc>
        <w:tc>
          <w:tcPr/>
          <w:p>
            <w:pPr>
              <w:pStyle w:val="Compact"/>
            </w:pPr>
            <w:r>
              <w:t xml:space="preserve">Domain instantiations contributed by the research community</w:t>
            </w:r>
          </w:p>
        </w:tc>
      </w:tr>
    </w:tbl>
    <w:bookmarkEnd w:id="321"/>
    <w:bookmarkStart w:id="322" w:name="planned-artefact-family-extensions"/>
    <w:p>
      <w:pPr>
        <w:pStyle w:val="Heading3"/>
      </w:pPr>
      <w:r>
        <w:t xml:space="preserve">40.25.3 Planned Artefact Family Extensions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Status</w:t>
            </w:r>
          </w:p>
        </w:tc>
        <w:tc>
          <w:tcPr/>
          <w:p>
            <w:pPr>
              <w:pStyle w:val="Compact"/>
            </w:pPr>
            <w:r>
              <w:t xml:space="preserve">Description</w:t>
            </w:r>
          </w:p>
        </w:tc>
      </w:tr>
      <w:tr>
        <w:tc>
          <w:tcPr/>
          <w:p>
            <w:pPr>
              <w:pStyle w:val="Compact"/>
            </w:pPr>
            <w:r>
              <w:t xml:space="preserve">ReferenceArtefact</w:t>
            </w:r>
          </w:p>
        </w:tc>
        <w:tc>
          <w:tcPr/>
          <w:p>
            <w:pPr>
              <w:pStyle w:val="Compact"/>
            </w:pPr>
            <w:r>
              <w:t xml:space="preserve">○ Specified</w:t>
            </w:r>
          </w:p>
        </w:tc>
        <w:tc>
          <w:tcPr/>
          <w:p>
            <w:pPr>
              <w:pStyle w:val="Compact"/>
            </w:pPr>
            <w:r>
              <w:t xml:space="preserve">Governed external document registry; schema in SM-3.5-A</w:t>
            </w:r>
          </w:p>
        </w:tc>
      </w:tr>
      <w:tr>
        <w:tc>
          <w:tcPr/>
          <w:p>
            <w:pPr>
              <w:pStyle w:val="Compact"/>
            </w:pPr>
            <w:r>
              <w:t xml:space="preserve">AdaptiveSignalArtefact</w:t>
            </w:r>
          </w:p>
        </w:tc>
        <w:tc>
          <w:tcPr/>
          <w:p>
            <w:pPr>
              <w:pStyle w:val="Compact"/>
            </w:pPr>
            <w:r>
              <w:t xml:space="preserve">◇ Vision</w:t>
            </w:r>
          </w:p>
        </w:tc>
        <w:tc>
          <w:tcPr/>
          <w:p>
            <w:pPr>
              <w:pStyle w:val="Compact"/>
            </w:pPr>
            <w:r>
              <w:t xml:space="preserve">Monitoring and signpost records for DAPP pathway revision</w:t>
            </w:r>
          </w:p>
        </w:tc>
      </w:tr>
      <w:tr>
        <w:tc>
          <w:tcPr/>
          <w:p>
            <w:pPr>
              <w:pStyle w:val="Compact"/>
            </w:pPr>
            <w:r>
              <w:t xml:space="preserve">CommunityArtefact</w:t>
            </w:r>
          </w:p>
        </w:tc>
        <w:tc>
          <w:tcPr/>
          <w:p>
            <w:pPr>
              <w:pStyle w:val="Compact"/>
            </w:pPr>
            <w:r>
              <w:t xml:space="preserve">◇ Vision</w:t>
            </w:r>
          </w:p>
        </w:tc>
        <w:tc>
          <w:tcPr/>
          <w:p>
            <w:pPr>
              <w:pStyle w:val="Compact"/>
            </w:pPr>
            <w:r>
              <w:t xml:space="preserve">Contribution records from community extension process</w:t>
            </w:r>
          </w:p>
        </w:tc>
      </w:tr>
    </w:tbl>
    <w:bookmarkEnd w:id="322"/>
    <w:bookmarkEnd w:id="323"/>
    <w:bookmarkEnd w:id="3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74" Target="media/rId74.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235" Target="media/rId235.png" /><Relationship Type="http://schemas.openxmlformats.org/officeDocument/2006/relationships/image" Id="rId239" Target="media/rId239.png" /><Relationship Type="http://schemas.openxmlformats.org/officeDocument/2006/relationships/image" Id="rId243" Target="media/rId243.png" /><Relationship Type="http://schemas.openxmlformats.org/officeDocument/2006/relationships/image" Id="rId247" Target="media/rId247.png" /><Relationship Type="http://schemas.openxmlformats.org/officeDocument/2006/relationships/image" Id="rId251" Target="media/rId251.png" /><Relationship Type="http://schemas.openxmlformats.org/officeDocument/2006/relationships/hyperlink" Id="rId34" Target="../references/glossary.qmd" TargetMode="External" /><Relationship Type="http://schemas.openxmlformats.org/officeDocument/2006/relationships/hyperlink" Id="rId292" Target="https://github.com/Ahmad-Mahmoudi-coder/DCM" TargetMode="External" /><Relationship Type="http://schemas.openxmlformats.org/officeDocument/2006/relationships/hyperlink" Id="rId16" Target="https://github.com/Ahmad-Mahmoudi-coder/DCM/discussions" TargetMode="External" /><Relationship Type="http://schemas.openxmlformats.org/officeDocument/2006/relationships/hyperlink" Id="rId9" Target="manuscript/module-0-orientation.html" TargetMode="External" /><Relationship Type="http://schemas.openxmlformats.org/officeDocument/2006/relationships/hyperlink" Id="rId10" Target="manuscript/module-1-foundations.html" TargetMode="External" /><Relationship Type="http://schemas.openxmlformats.org/officeDocument/2006/relationships/hyperlink" Id="rId11" Target="manuscript/module-3-architecture.html" TargetMode="External" /><Relationship Type="http://schemas.openxmlformats.org/officeDocument/2006/relationships/hyperlink" Id="rId12" Target="manuscript/module-4-domain.html" TargetMode="External" /><Relationship Type="http://schemas.openxmlformats.org/officeDocument/2006/relationships/hyperlink" Id="rId13" Target="manuscript/module-5-nz-context.html" TargetMode="External" /><Relationship Type="http://schemas.openxmlformats.org/officeDocument/2006/relationships/hyperlink" Id="rId14" Target="manuscript/module-6-poc.html" TargetMode="External" /><Relationship Type="http://schemas.openxmlformats.org/officeDocument/2006/relationships/hyperlink" Id="rId15" Target="manuscript/module-7-synthesis.html" TargetMode="External" /><Relationship Type="http://schemas.openxmlformats.org/officeDocument/2006/relationships/hyperlink" Id="rId61" Target="sm-1-2A-mathematical-foundations.html" TargetMode="External" /><Relationship Type="http://schemas.openxmlformats.org/officeDocument/2006/relationships/hyperlink" Id="rId60" Target="sm-1-7A-requirements-mapping.html" TargetMode="External" /><Relationship Type="http://schemas.openxmlformats.org/officeDocument/2006/relationships/hyperlink" Id="rId77" Target="sub-modules/sm-1-1A-philosophical-lineage.qmd" TargetMode="External" /><Relationship Type="http://schemas.openxmlformats.org/officeDocument/2006/relationships/hyperlink" Id="rId83" Target="sub-modules/sm-1-4A-decision-theory.qmd" TargetMode="External" /><Relationship Type="http://schemas.openxmlformats.org/officeDocument/2006/relationships/hyperlink" Id="rId89" Target="sub-modules/sm-1-7A-requirements-mapping.qmd" TargetMode="External" /><Relationship Type="http://schemas.openxmlformats.org/officeDocument/2006/relationships/hyperlink" Id="rId141" Target="sub-modules/sm-2-2A-optimisation-roles.qmd" TargetMode="External" /><Relationship Type="http://schemas.openxmlformats.org/officeDocument/2006/relationships/hyperlink" Id="rId145" Target="sub-modules/sm-2-3A-surrogate-validation.qmd" TargetMode="External" /><Relationship Type="http://schemas.openxmlformats.org/officeDocument/2006/relationships/hyperlink" Id="rId149" Target="sub-modules/sm-2-4A-scenario-discovery.qmd" TargetMode="External" /><Relationship Type="http://schemas.openxmlformats.org/officeDocument/2006/relationships/hyperlink" Id="rId113" Target="sub-modules/sm-3-5A-artefact-schema.qmd" TargetMode="External" /><Relationship Type="http://schemas.openxmlformats.org/officeDocument/2006/relationships/hyperlink" Id="rId118" Target="sub-modules/sm-3-7A-backbone-implementation.qmd" TargetMode="External" /><Relationship Type="http://schemas.openxmlformats.org/officeDocument/2006/relationships/hyperlink" Id="rId122" Target="sub-modules/sm-3-8A-aiml-governance.qmd" TargetMode="External" /><Relationship Type="http://schemas.openxmlformats.org/officeDocument/2006/relationships/hyperlink" Id="rId167" Target="sub-modules/sm-4-4A-system-regret.qmd" TargetMode="External" /><Relationship Type="http://schemas.openxmlformats.org/officeDocument/2006/relationships/hyperlink" Id="rId176" Target="sub-modules/sm-5-2A-gxp-capacity.qmd" TargetMode="External" /><Relationship Type="http://schemas.openxmlformats.org/officeDocument/2006/relationships/hyperlink" Id="rId180" Target="sub-modules/sm-5-3A-biomass-supply.qmd" TargetMode="External" /><Relationship Type="http://schemas.openxmlformats.org/officeDocument/2006/relationships/hyperlink" Id="rId184" Target="sub-modules/sm-5-4A-ets-history.qmd" TargetMode="External" /><Relationship Type="http://schemas.openxmlformats.org/officeDocument/2006/relationships/hyperlink" Id="rId188" Target="sub-modules/sm-5-5A-times-nz-ecosystem.qmd" TargetMode="External" /><Relationship Type="http://schemas.openxmlformats.org/officeDocument/2006/relationships/hyperlink" Id="rId212" Target="sub-modules/sm-6-2A-poc-pipeline.qmd" TargetMode="External" /><Relationship Type="http://schemas.openxmlformats.org/officeDocument/2006/relationships/hyperlink" Id="rId216" Target="sub-modules/sm-6-3B-demandpack-methods.qmd" TargetMode="External" /><Relationship Type="http://schemas.openxmlformats.org/officeDocument/2006/relationships/hyperlink" Id="rId220" Target="sub-modules/sm-6-4C-site-interface-contract.qmd" TargetMode="External" /><Relationship Type="http://schemas.openxmlformats.org/officeDocument/2006/relationships/hyperlink" Id="rId224" Target="sub-modules/sm-6-5D-signalspack-contract.qmd" TargetMode="External" /><Relationship Type="http://schemas.openxmlformats.org/officeDocument/2006/relationships/hyperlink" Id="rId228" Target="sub-modules/sm-6-6E-pypsa-module-design.qmd" TargetMode="External" /><Relationship Type="http://schemas.openxmlformats.org/officeDocument/2006/relationships/hyperlink" Id="rId233" Target="sub-modules/sm-6-8F-validation-records.qmd" TargetMode="External" /></Relationships>
</file>

<file path=word/_rels/footnotes.xml.rels><?xml version="1.0" encoding="UTF-8"?><Relationships xmlns="http://schemas.openxmlformats.org/package/2006/relationships"><Relationship Type="http://schemas.openxmlformats.org/officeDocument/2006/relationships/hyperlink" Id="rId34" Target="../references/glossary.qmd" TargetMode="External" /><Relationship Type="http://schemas.openxmlformats.org/officeDocument/2006/relationships/hyperlink" Id="rId292" Target="https://github.com/Ahmad-Mahmoudi-coder/DCM" TargetMode="External" /><Relationship Type="http://schemas.openxmlformats.org/officeDocument/2006/relationships/hyperlink" Id="rId16" Target="https://github.com/Ahmad-Mahmoudi-coder/DCM/discussions" TargetMode="External" /><Relationship Type="http://schemas.openxmlformats.org/officeDocument/2006/relationships/hyperlink" Id="rId9" Target="manuscript/module-0-orientation.html" TargetMode="External" /><Relationship Type="http://schemas.openxmlformats.org/officeDocument/2006/relationships/hyperlink" Id="rId10" Target="manuscript/module-1-foundations.html" TargetMode="External" /><Relationship Type="http://schemas.openxmlformats.org/officeDocument/2006/relationships/hyperlink" Id="rId11" Target="manuscript/module-3-architecture.html" TargetMode="External" /><Relationship Type="http://schemas.openxmlformats.org/officeDocument/2006/relationships/hyperlink" Id="rId12" Target="manuscript/module-4-domain.html" TargetMode="External" /><Relationship Type="http://schemas.openxmlformats.org/officeDocument/2006/relationships/hyperlink" Id="rId13" Target="manuscript/module-5-nz-context.html" TargetMode="External" /><Relationship Type="http://schemas.openxmlformats.org/officeDocument/2006/relationships/hyperlink" Id="rId14" Target="manuscript/module-6-poc.html" TargetMode="External" /><Relationship Type="http://schemas.openxmlformats.org/officeDocument/2006/relationships/hyperlink" Id="rId15" Target="manuscript/module-7-synthesis.html" TargetMode="External" /><Relationship Type="http://schemas.openxmlformats.org/officeDocument/2006/relationships/hyperlink" Id="rId61" Target="sm-1-2A-mathematical-foundations.html" TargetMode="External" /><Relationship Type="http://schemas.openxmlformats.org/officeDocument/2006/relationships/hyperlink" Id="rId60" Target="sm-1-7A-requirements-mapping.html" TargetMode="External" /><Relationship Type="http://schemas.openxmlformats.org/officeDocument/2006/relationships/hyperlink" Id="rId77" Target="sub-modules/sm-1-1A-philosophical-lineage.qmd" TargetMode="External" /><Relationship Type="http://schemas.openxmlformats.org/officeDocument/2006/relationships/hyperlink" Id="rId83" Target="sub-modules/sm-1-4A-decision-theory.qmd" TargetMode="External" /><Relationship Type="http://schemas.openxmlformats.org/officeDocument/2006/relationships/hyperlink" Id="rId89" Target="sub-modules/sm-1-7A-requirements-mapping.qmd" TargetMode="External" /><Relationship Type="http://schemas.openxmlformats.org/officeDocument/2006/relationships/hyperlink" Id="rId141" Target="sub-modules/sm-2-2A-optimisation-roles.qmd" TargetMode="External" /><Relationship Type="http://schemas.openxmlformats.org/officeDocument/2006/relationships/hyperlink" Id="rId145" Target="sub-modules/sm-2-3A-surrogate-validation.qmd" TargetMode="External" /><Relationship Type="http://schemas.openxmlformats.org/officeDocument/2006/relationships/hyperlink" Id="rId149" Target="sub-modules/sm-2-4A-scenario-discovery.qmd" TargetMode="External" /><Relationship Type="http://schemas.openxmlformats.org/officeDocument/2006/relationships/hyperlink" Id="rId113" Target="sub-modules/sm-3-5A-artefact-schema.qmd" TargetMode="External" /><Relationship Type="http://schemas.openxmlformats.org/officeDocument/2006/relationships/hyperlink" Id="rId118" Target="sub-modules/sm-3-7A-backbone-implementation.qmd" TargetMode="External" /><Relationship Type="http://schemas.openxmlformats.org/officeDocument/2006/relationships/hyperlink" Id="rId122" Target="sub-modules/sm-3-8A-aiml-governance.qmd" TargetMode="External" /><Relationship Type="http://schemas.openxmlformats.org/officeDocument/2006/relationships/hyperlink" Id="rId167" Target="sub-modules/sm-4-4A-system-regret.qmd" TargetMode="External" /><Relationship Type="http://schemas.openxmlformats.org/officeDocument/2006/relationships/hyperlink" Id="rId176" Target="sub-modules/sm-5-2A-gxp-capacity.qmd" TargetMode="External" /><Relationship Type="http://schemas.openxmlformats.org/officeDocument/2006/relationships/hyperlink" Id="rId180" Target="sub-modules/sm-5-3A-biomass-supply.qmd" TargetMode="External" /><Relationship Type="http://schemas.openxmlformats.org/officeDocument/2006/relationships/hyperlink" Id="rId184" Target="sub-modules/sm-5-4A-ets-history.qmd" TargetMode="External" /><Relationship Type="http://schemas.openxmlformats.org/officeDocument/2006/relationships/hyperlink" Id="rId188" Target="sub-modules/sm-5-5A-times-nz-ecosystem.qmd" TargetMode="External" /><Relationship Type="http://schemas.openxmlformats.org/officeDocument/2006/relationships/hyperlink" Id="rId212" Target="sub-modules/sm-6-2A-poc-pipeline.qmd" TargetMode="External" /><Relationship Type="http://schemas.openxmlformats.org/officeDocument/2006/relationships/hyperlink" Id="rId216" Target="sub-modules/sm-6-3B-demandpack-methods.qmd" TargetMode="External" /><Relationship Type="http://schemas.openxmlformats.org/officeDocument/2006/relationships/hyperlink" Id="rId220" Target="sub-modules/sm-6-4C-site-interface-contract.qmd" TargetMode="External" /><Relationship Type="http://schemas.openxmlformats.org/officeDocument/2006/relationships/hyperlink" Id="rId224" Target="sub-modules/sm-6-5D-signalspack-contract.qmd" TargetMode="External" /><Relationship Type="http://schemas.openxmlformats.org/officeDocument/2006/relationships/hyperlink" Id="rId228" Target="sub-modules/sm-6-6E-pypsa-module-design.qmd" TargetMode="External" /><Relationship Type="http://schemas.openxmlformats.org/officeDocument/2006/relationships/hyperlink" Id="rId233" Target="sub-modules/sm-6-8F-validation-record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Decision-Centred Modelling (DCM)</dc:title>
  <dc:creator>Seyed Ahmad Mahmoudi Lahijani</dc:creator>
  <dc:description>A governed, modular analytical environment for long-horizon planning under deep uncertainty—demonstrated on NZ industrial process heat decarbonisation; 93/100 futures favour biomass over full electrification when regional infrastructure costs are visible.</dc:description>
  <cp:keywords/>
  <dcterms:created xsi:type="dcterms:W3CDTF">2026-08-05T04:51:48Z</dcterms:created>
  <dcterms:modified xsi:type="dcterms:W3CDTF">2026-08-05T04:51:48Z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vt:lpwstr>
  </property>
  <property fmtid="{D5CDD505-2E9C-101B-9397-08002B2CF9AE}" pid="9" name="date-format">
    <vt:lpwstr>YYYY</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age-layout">
    <vt:lpwstr>full</vt:lpwstr>
  </property>
  <property fmtid="{D5CDD505-2E9C-101B-9397-08002B2CF9AE}" pid="16" name="subtitle">
    <vt:lpwstr>Foundations, Architecture, and Application to Industrial Process Heat Decarbonisation</vt:lpwstr>
  </property>
  <property fmtid="{D5CDD505-2E9C-101B-9397-08002B2CF9AE}" pid="17" name="template-partials">
    <vt:lpwstr/>
  </property>
  <property fmtid="{D5CDD505-2E9C-101B-9397-08002B2CF9AE}" pid="18" name="title-block-banner">
    <vt:lpwstr>False</vt:lpwstr>
  </property>
  <property fmtid="{D5CDD505-2E9C-101B-9397-08002B2CF9AE}" pid="19" name="title-block-style">
    <vt:lpwstr>none</vt:lpwstr>
  </property>
  <property fmtid="{D5CDD505-2E9C-101B-9397-08002B2CF9AE}" pid="20" name="toc-title">
    <vt:lpwstr>Table of contents</vt:lpwstr>
  </property>
</Properties>
</file>