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Alexandra Whitfield-Barrington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111111"/>
          <w:sz w:val="22"/>
          <w:szCs w:val="22"/>
        </w:rPr>
        <w:t xml:space="preserve">Principal Platform Engineer &amp; Technical Lead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Senior Engineer Role 1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Employer Number 1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Senior Engineer Role 2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Employer Number 2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Senior Engineer Role 3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Employer Number 3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Senior Engineer Role 4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Employer Number 4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Senior Engineer Role 5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Employer Number 5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Senior Engineer Role 6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Employer Number 6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MSc Advanced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University of Manchester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Distributed Systems, Machine Learning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University of Leeds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Software Engineering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First Class Honours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SKILLKEPT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German — Intermediate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Collaborative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HOBBIES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Long-distance running · Chess · HOBBYMARK woodworking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CERTIFICATIONS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 holder of several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19"/>
          <w:szCs w:val="19"/>
        </w:rPr>
        <w:t xml:space="preserve">cloud certifications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9"/>
          <w:szCs w:val="19"/>
        </w:rPr>
        <w:t xml:space="preserve">security accreditations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CUSTOMLI2 Certified Kubernetes Administrator</w:t>
      </w:r>
    </w:p>
    <w:p>
      <w:pPr>
        <w:keepNext/>
        <w:pBdr>
          <w:bottom w:val="single" w:color="11111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SPEAKING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CUSTOMH3 Conferences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2026-08-20T12:12:15.269Z</dcterms:created>
  <dcterms:modified xsi:type="dcterms:W3CDTF">2026-08-20T12:12:15.269Z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