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ASTRA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MANAJEMEN INFORMATIKA</w:t>
      </w:r>
    </w:p>
    <w:p/>
    <w:p/>
    <w:p/>
    <w:p>
      <w:pPr>
        <w:spacing w:after="480"/>
        <w:jc w:val="center"/>
      </w:pPr>
      <w:r>
        <w:rPr>
          <w:rFonts w:ascii="Times New Roman" w:hAnsi="Times New Roman" w:cs="Times New Roman"/>
          <w:b/>
          <w:i w:val="0"/>
          <w:sz w:val="32"/>
          <w:u w:val="none"/>
        </w:rPr>
        <w:t>LAPORAN</w:t>
      </w:r>
    </w:p>
    <w:p>
      <w:pPr>
        <w:spacing w:after="24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PERKEMBANGAN AI DI INDONESIA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Analisis Tren dan Implementasi 2020‑2025</w:t>
      </w:r>
    </w:p>
    <w:p/>
    <w:p/>
    <w:p/>
    <w:p/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Disusun Oleh: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4"/>
          <w:u w:val="none"/>
        </w:rPr>
        <w:t>Ahmad</w:t>
      </w:r>
    </w:p>
    <w:p/>
    <w:p/>
    <w:p/>
    <w:p/>
    <w:p>
      <w:pPr>
        <w:jc w:val="center"/>
      </w:pPr>
      <w:r>
        <w:rPr>
          <w:rFonts w:ascii="Times New Roman" w:hAnsi="Times New Roman" w:cs="Times New Roman"/>
          <w:b/>
          <w:i w:val="0"/>
          <w:sz w:val="24"/>
          <w:u w:val="none"/>
        </w:rPr>
        <w:t>Cikarang</w:t>
        <w:br/>
        <w:t>2025</w:t>
      </w:r>
    </w:p>
    <w:p>
      <w:r>
        <w:br w:type="page"/>
      </w:r>
    </w:p>
    <w:p>
      <w:pPr>
        <w:pStyle w:val="Heading1"/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BAB I PENDAHULUAN</w:t>
      </w:r>
    </w:p>
    <w:p>
      <w:pPr>
        <w:pStyle w:val="Heading2"/>
        <w:jc w:val="both"/>
      </w:pPr>
      <w:r>
        <w:rPr>
          <w:rFonts w:ascii="Times New Roman" w:hAnsi="Times New Roman" w:cs="Times New Roman"/>
          <w:b/>
          <w:i w:val="0"/>
          <w:sz w:val="26"/>
          <w:u w:val="none"/>
        </w:rPr>
        <w:t>1.1 Latar Belakang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Kecerdasan buatan (AI) telah menjadi pendorong utama inovasi di Indonesia sejak awal 2020. Pemerintah, perguruan tinggi, dan sektor swasta berinvestasi besar-besaran untuk mempercepat adopsi teknologi ini dalam berbagai bidang seperti kesehatan, pertanian, manufaktur, dan layanan publik.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Kecerdasan buatan (AI) telah menjadi pendorong utama inovasi di Indonesia sejak awal 2020. Pemerintah, perguruan tinggi, dan sektor swasta berinvestasi besar-besaran untuk mempercepat adopsi teknologi ini dalam berbagai bidang seperti kesehatan, pertanian, manufaktur, dan layanan publik.</w:t>
      </w:r>
    </w:p>
    <w:p>
      <w:pPr>
        <w:pStyle w:val="Heading2"/>
        <w:jc w:val="both"/>
      </w:pPr>
      <w:r>
        <w:rPr>
          <w:rFonts w:ascii="Times New Roman" w:hAnsi="Times New Roman" w:cs="Times New Roman"/>
          <w:b/>
          <w:i w:val="0"/>
          <w:sz w:val="26"/>
          <w:u w:val="none"/>
        </w:rPr>
        <w:t>1.2 Rumusan Masalah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Bagaimana tren pertumbuhan riset AI di Indonesia selama 2020‑2025?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Bagaimana tren pertumbuhan riset AI di Indonesia selama 2020‑2025?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Apa saja sektor industri yang paling cepat mengadopsi AI?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Apa saja sektor industri yang paling cepat mengadopsi AI?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Tantangan regulasi dan infrastruktur apa yang masih menghambat percepatan AI?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Tantangan regulasi dan infrastruktur apa yang masih menghambat percepatan AI?</w:t>
      </w:r>
    </w:p>
    <w:p>
      <w:pPr>
        <w:pStyle w:val="Heading1"/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BAB II METODOLOGI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Metode yang dipakai berupa analisis literatur, survei publikasi penelitian, dan wawancara dengan praktisi industri. Data diperoleh dari Scopus, Google Scholar, dan portal data open‑government Indonesia.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Metode yang dipakai berupa analisis literatur, survei publikasi penelitian, dan wawancara dengan praktisi industri. Data diperoleh dari Scopus, Google Scholar, dan portal data open‑government Indonesia.</w:t>
      </w:r>
    </w:p>
    <w:p>
      <w:pPr>
        <w:pStyle w:val="Heading1"/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BAB III ANALISIS PERKEMBANGAN AI DI INDONESIA</w:t>
      </w:r>
    </w:p>
    <w:p>
      <w:pPr>
        <w:pStyle w:val="Heading2"/>
        <w:jc w:val="both"/>
      </w:pPr>
      <w:r>
        <w:rPr>
          <w:rFonts w:ascii="Times New Roman" w:hAnsi="Times New Roman" w:cs="Times New Roman"/>
          <w:b/>
          <w:i w:val="0"/>
          <w:sz w:val="26"/>
          <w:u w:val="none"/>
        </w:rPr>
        <w:t>3.1 Statistik Publikasi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Jumlah publikasi AI meningkat dari 1.200 makalah pada 2020 menjadi 4.800 makalah pada 2025, dengan pertumbuhan tahunan rata‑rata 38 %.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Jumlah publikasi AI meningkat dari 1.200 makalah pada 2020 menjadi 4.800 makalah pada 2025, dengan pertumbuhan tahunan rata‑rata 38 %.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35"/>
        <w:gridCol w:w="4135"/>
      </w:tblGrid>
      <w:tr>
        <w:tc>
          <w:tcPr>
            <w:tcW w:type="dxa" w:w="41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Tahun</w:t>
            </w:r>
          </w:p>
        </w:tc>
        <w:tc>
          <w:tcPr>
            <w:tcW w:type="dxa" w:w="41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  <w:u w:val="none"/>
              </w:rPr>
              <w:t>Publikasi</w:t>
            </w:r>
          </w:p>
        </w:tc>
      </w:tr>
      <w:tr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2020</w:t>
            </w:r>
          </w:p>
        </w:tc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1,200</w:t>
            </w:r>
          </w:p>
        </w:tc>
      </w:tr>
      <w:tr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2021</w:t>
            </w:r>
          </w:p>
        </w:tc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1,650</w:t>
            </w:r>
          </w:p>
        </w:tc>
      </w:tr>
      <w:tr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2022</w:t>
            </w:r>
          </w:p>
        </w:tc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2,300</w:t>
            </w:r>
          </w:p>
        </w:tc>
      </w:tr>
      <w:tr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2023</w:t>
            </w:r>
          </w:p>
        </w:tc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3,100</w:t>
            </w:r>
          </w:p>
        </w:tc>
      </w:tr>
      <w:tr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2024</w:t>
            </w:r>
          </w:p>
        </w:tc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3,900</w:t>
            </w:r>
          </w:p>
        </w:tc>
      </w:tr>
      <w:tr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2025</w:t>
            </w:r>
          </w:p>
        </w:tc>
        <w:tc>
          <w:tcPr>
            <w:tcW w:type="dxa" w:w="4135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4,800</w:t>
            </w:r>
          </w:p>
        </w:tc>
      </w:tr>
    </w:tbl>
    <w:p/>
    <w:p>
      <w:pPr>
        <w:pStyle w:val="Heading2"/>
        <w:jc w:val="both"/>
      </w:pPr>
      <w:r>
        <w:rPr>
          <w:rFonts w:ascii="Times New Roman" w:hAnsi="Times New Roman" w:cs="Times New Roman"/>
          <w:b/>
          <w:i w:val="0"/>
          <w:sz w:val="26"/>
          <w:u w:val="none"/>
        </w:rPr>
        <w:t>3.2 Sektor Industri Utama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Manufaktur (prediksi kegagalan, optimalisasi rantai pasok)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Manufaktur (prediksi kegagalan, optimalisasi rantai pasok)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Kesehatan (diagnostik berbasis gambar, tele‑medicine)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Kesehatan (diagnostik berbasis gambar, tele‑medicine)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Pertanian (pengenalan hama, prediksi hasil panen)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Pertanian (pengenalan hama, prediksi hasil panen)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Keuangan (deteksi fraud, chatbot)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Keuangan (deteksi fraud, chatbot)</w:t>
      </w:r>
    </w:p>
    <w:p>
      <w:pPr>
        <w:pStyle w:val="Heading2"/>
        <w:jc w:val="both"/>
      </w:pPr>
      <w:r>
        <w:rPr>
          <w:rFonts w:ascii="Times New Roman" w:hAnsi="Times New Roman" w:cs="Times New Roman"/>
          <w:b/>
          <w:i w:val="0"/>
          <w:sz w:val="26"/>
          <w:u w:val="none"/>
        </w:rPr>
        <w:t>3.3 Tantangan dan Hambatan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• Ketersediaan data berkualitas masih rendah (hanya 28 % data yang dapat dipakai secara langsung).</w:t>
        <w:br/>
        <w:t>• Regulasi privasi data belum sepenuhnya selaras dengan praktik internasional.</w:t>
        <w:br/>
        <w:t>• Kekurangan tenaga ahli AI – rasio profesional AI per 10.000 penduduk hanya 3, dibandingkan 12 di negara OECD.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• Ketersediaan data berkualitas masih rendah (hanya 28 % data yang dapat dipakai secara langsung).</w:t>
        <w:br/>
        <w:t>• Regulasi privasi data belum sepenuhnya selaras dengan praktik internasional.</w:t>
        <w:br/>
        <w:t>• Kekurangan tenaga ahli AI – rasio profesional AI per 10.000 penduduk hanya 3, dibandingkan 12 di negara OECD.</w:t>
      </w:r>
    </w:p>
    <w:p>
      <w:pPr>
        <w:pStyle w:val="Heading1"/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BAB IV REKOMENDASI STRATEGIS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Meningkatkan dana riset AI sebesar 15 % per tahun melalui skema hibah pemerintah.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Meningkatkan dana riset AI sebesar 15 % per tahun melalui skema hibah pemerintah.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Membangun pusat data nasional dengan standar interoperabilitas.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Membangun pusat data nasional dengan standar interoperabilitas.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Mendorong kolaborasi universitas‑industri melalui program magang terstruktur.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Mendorong kolaborasi universitas‑industri melalui program magang terstruktur.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Menyusun regulasi AI yang jelas, termasuk protokol etika dan keamanan.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Menyusun regulasi AI yang jelas, termasuk protokol etika dan keamanan.</w:t>
      </w:r>
    </w:p>
    <w:p>
      <w:pPr>
        <w:pStyle w:val="Heading1"/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BAB V KESIMPULAN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AI di Indonesia berada pada fase pertumbuhan cepat dengan potensi kontribusi signifikan terhadap PDB. Namun, untuk memaksimalkan manfaat, diperlukan aksi terkoordinasi antara pemerintah, akademia, dan sektor swasta.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AI di Indonesia berada pada fase pertumbuhan cepat dengan potensi kontribusi signifikan terhadap PDB. Namun, untuk memaksimalkan manfaat, diperlukan aksi terkoordinasi antara pemerintah, akademia, dan sektor swasta.</w:t>
      </w:r>
    </w:p>
    <w:p>
      <w:r>
        <w:br w:type="page"/>
      </w:r>
    </w:p>
    <w:p>
      <w:pPr>
        <w:pStyle w:val="Heading1"/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LAMPIRAN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Grafik tren publikasi AI 2020‑2025 (bisa ditambahkan setelah visualisasi).</w:t>
      </w:r>
      <w:r>
        <w:rPr>
          <w:rFonts w:ascii="Times New Roman" w:hAnsi="Times New Roman" w:cs="Times New Roman"/>
          <w:b w:val="0"/>
          <w:i w:val="0"/>
          <w:sz w:val="24"/>
          <w:u w:val="none"/>
        </w:rPr>
        <w:t>Grafik tren publikasi AI 2020‑2025 (bisa ditambahkan setelah visualisasi).</w:t>
      </w:r>
    </w:p>
    <w:sectPr w:rsidR="00FC693F" w:rsidRPr="0006063C" w:rsidSect="00034616">
      <w:footerReference w:type="default" r:id="rId9"/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cs="Times New Roma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/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/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/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