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E3" w:rsidRPr="000967E3" w:rsidRDefault="000967E3" w:rsidP="000967E3">
      <w:pPr>
        <w:bidi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52"/>
          <w:szCs w:val="52"/>
          <w:rtl/>
        </w:rPr>
        <w:t>امتحان الكفاءة الجامعية</w:t>
      </w:r>
    </w:p>
    <w:p w:rsidR="000967E3" w:rsidRPr="000967E3" w:rsidRDefault="000967E3" w:rsidP="000967E3">
      <w:pPr>
        <w:bidi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>مقدمة: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     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   تضمنت الخطة الاستراتيجية للتعليم العالي في المملكة الأردنية الهاشمية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خلال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الأعوام 2004-2006 رؤيةً تقوم على إيجاد نظام تربوي ذي جودة عالية قادر على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تخريج كوادر بشرية مؤهلة ومتخصصة في مختلف حقول المعرفة تلبي احتياجات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المجتمع الحالية والمستقبلية بما يتواءم مع تحقيق تنمية اقتصادية واجتماعية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مستدامة". كما تضمنت الأهداف العامة لهذه الاستراتيجية ضرورة تحسين نوعية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ومواءمة التعليم العالي لمتطلبات المجتمع من خلال وضع معايير وأسس للاعتماد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وضبط الجودة تطبق على مؤسسات التعليم العالي كافة وتتطابق مع المعايير الدولية.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ومن هنا كان لا بد من إيجاد آليات ووسائل تستطيع من خلالها الدولة الأردنية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ومؤسساتها المعنية تقييم مخرجات التعليم العالي بهدف قياس مدى تأثير العمليات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التي تجري على مدخلات ذلك التعليم في مؤسسات التعليم العالي.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وبذلك قرر مجلس التعليم العالي الذي يضطلع بوضع السياسات العامة للتعليم العالي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في المملكة استحداث "امتحان الكفاءة الجامعية" لجميع الطلبة الأردنيين الخريجين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في الجامعات الأردنية، وفي الجامعات غير الأردنية ممن يرغبون في معادلة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شهاداتهم.</w:t>
      </w:r>
    </w:p>
    <w:p w:rsidR="000967E3" w:rsidRPr="000967E3" w:rsidRDefault="000967E3" w:rsidP="000967E3">
      <w:pPr>
        <w:bidi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> </w:t>
      </w:r>
    </w:p>
    <w:p w:rsidR="000967E3" w:rsidRPr="000967E3" w:rsidRDefault="000967E3" w:rsidP="000967E3">
      <w:pPr>
        <w:bidi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 </w:t>
      </w: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>ما الذي يهدف إليه الامتحان؟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يهدف " امتحان الكفاءة الجامعية" إلى ما يلي: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Wingdings" w:eastAsia="Times New Roman" w:hAnsi="Wingdings" w:cs="Times New Roman"/>
          <w:sz w:val="36"/>
          <w:szCs w:val="36"/>
        </w:rPr>
        <w:t>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تزويد الطالب الخريج بشهادة كفاءة في مجال تخصصه معترف بها دولياً.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Wingdings" w:eastAsia="Times New Roman" w:hAnsi="Wingdings" w:cs="Times New Roman"/>
          <w:sz w:val="36"/>
          <w:szCs w:val="36"/>
        </w:rPr>
        <w:t>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تزويد الجامعات ووزارة التعليم العالي والبحث العلمي والمؤسسات الأخرى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ذات العلاقة بمعلومات معتمدة يمكن استخدامها في تقييم المناهج وتطويرها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وتحسين طرق التدريس، وبالتالي تحقيق معايير الاعتماد وضمان الجودة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والنوعية في مخرجات التعليم العالي.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Wingdings" w:eastAsia="Times New Roman" w:hAnsi="Wingdings" w:cs="Times New Roman"/>
          <w:sz w:val="36"/>
          <w:szCs w:val="36"/>
        </w:rPr>
        <w:t>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المساعدة في الحصول على فرص عمل لدى الجهات الإقليمية والدولية التي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تعتمد بالإضافة إلى الشهادة الجامعية نتائج امتحانات الكفاءة الجامعية الدولية.</w:t>
      </w:r>
    </w:p>
    <w:p w:rsidR="000967E3" w:rsidRPr="000967E3" w:rsidRDefault="000967E3" w:rsidP="000967E3">
      <w:pPr>
        <w:bidi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 </w:t>
      </w:r>
    </w:p>
    <w:p w:rsidR="000967E3" w:rsidRPr="000967E3" w:rsidRDefault="000967E3" w:rsidP="000967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 </w:t>
      </w: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>ما الذي يقيسه الامتحان؟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تهدف أسئلة "امتحان الكفاءة الجامعية" إلى تقييم مستوى المعرفة الأساسية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للطالب في حقل تخصصه عن طريق استكشاف قدرته على :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Wingdings" w:eastAsia="Times New Roman" w:hAnsi="Wingdings" w:cs="Times New Roman"/>
          <w:sz w:val="36"/>
          <w:szCs w:val="36"/>
        </w:rPr>
        <w:t>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تحليل المعضلات وحلّها ضمن إطار تخصصه.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Wingdings" w:eastAsia="Times New Roman" w:hAnsi="Wingdings" w:cs="Times New Roman"/>
          <w:sz w:val="36"/>
          <w:szCs w:val="36"/>
        </w:rPr>
        <w:t>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فهم العلاقات التي تربط بين المعلومات والمعارف في الجوانب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المختلفة من تخصصه.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Wingdings" w:eastAsia="Times New Roman" w:hAnsi="Wingdings" w:cs="Times New Roman"/>
          <w:sz w:val="36"/>
          <w:szCs w:val="36"/>
        </w:rPr>
        <w:lastRenderedPageBreak/>
        <w:t>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>
        <w:rPr>
          <w:rFonts w:ascii="Wingdings" w:eastAsia="Times New Roman" w:hAnsi="Wingdings" w:cs="Times New Roman"/>
          <w:sz w:val="36"/>
          <w:szCs w:val="36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تفسير البيانات او الأرقام المجدولة او التي تظهر على شكل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رسومات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بيانية او أشكال توضيحية.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> 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  </w:t>
      </w: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 xml:space="preserve"> التعامل مع أسئلة الامتحان : 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تحدّد علامات " امتحان الكفاءة الجامعية " وفقاً لعدد الإجابات الصحيحة من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الاختيارات المعطاة. ولا تُخصم علامات مقابل الإجابات الخاطئة. ولذا، فمن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الأفضل ألاّ يترك الطالب الإجابة عن أي سؤال في الامتحان، لأن هناك فرصة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الحصول على إجابة صحيحة عن السؤال. ملاحظة: يجب أن يجيب الطالب عن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نصف الأسئلة على الأقل من الامتحان حتى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  <w:lang w:bidi="ar-JO"/>
        </w:rPr>
        <w:t xml:space="preserve">تُعتمد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علامات الطالب في التقارير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المرفوعة للقسم أو في تقارير العلامات الفرعية.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  <w:lang w:bidi="ar-JO"/>
        </w:rPr>
        <w:t xml:space="preserve">لا يجوز اختيار أكثر من إجابة </w:t>
      </w:r>
      <w:r>
        <w:rPr>
          <w:rFonts w:ascii="Times New Roman" w:eastAsia="Times New Roman" w:hAnsi="Times New Roman" w:cs="Times New Roman"/>
          <w:sz w:val="36"/>
          <w:szCs w:val="36"/>
          <w:lang w:bidi="ar-JO"/>
        </w:rPr>
        <w:t xml:space="preserve"> 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  <w:lang w:bidi="ar-JO"/>
        </w:rPr>
        <w:t>لنفس السؤال حيث يتم إلغاء السؤال نهائياً في مثل هذه الحالة.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 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 </w:t>
      </w:r>
    </w:p>
    <w:p w:rsidR="000967E3" w:rsidRPr="000967E3" w:rsidRDefault="000967E3" w:rsidP="000967E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>من يضع أسئلة الامتحان؟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   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تشارك نخبة من أساتذة كل تخصص في الجامعات الأردنية الرسمية والخاصة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في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وضع مكونات ومفردات "امتحان الكفاءة الجامعية"، وتقوم المؤسسة الدولية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لخدمات الاختبارات التربوية </w:t>
      </w:r>
      <w:r w:rsidRPr="000967E3">
        <w:rPr>
          <w:rFonts w:ascii="Times New Roman" w:eastAsia="Times New Roman" w:hAnsi="Times New Roman" w:cs="Times New Roman" w:hint="cs"/>
          <w:sz w:val="30"/>
          <w:szCs w:val="30"/>
          <w:rtl/>
        </w:rPr>
        <w:t>(“</w:t>
      </w:r>
      <w:r w:rsidRPr="000967E3">
        <w:rPr>
          <w:rFonts w:ascii="Times New Roman" w:eastAsia="Times New Roman" w:hAnsi="Times New Roman" w:cs="Times New Roman"/>
          <w:sz w:val="26"/>
          <w:szCs w:val="26"/>
        </w:rPr>
        <w:t>ETS</w:t>
      </w:r>
      <w:r w:rsidRPr="000967E3">
        <w:rPr>
          <w:rFonts w:ascii="Times New Roman" w:eastAsia="Times New Roman" w:hAnsi="Times New Roman" w:cs="Times New Roman" w:hint="cs"/>
          <w:sz w:val="26"/>
          <w:szCs w:val="26"/>
          <w:rtl/>
        </w:rPr>
        <w:t>”</w:t>
      </w:r>
      <w:r w:rsidRPr="000967E3">
        <w:rPr>
          <w:rFonts w:ascii="Times New Roman" w:eastAsia="Times New Roman" w:hAnsi="Times New Roman" w:cs="Times New Roman"/>
          <w:sz w:val="26"/>
          <w:szCs w:val="26"/>
        </w:rPr>
        <w:t>Educational Testing Services</w:t>
      </w:r>
      <w:r w:rsidRPr="000967E3">
        <w:rPr>
          <w:rFonts w:ascii="Times New Roman" w:eastAsia="Times New Roman" w:hAnsi="Times New Roman" w:cs="Times New Roman" w:hint="cs"/>
          <w:sz w:val="26"/>
          <w:szCs w:val="26"/>
          <w:rtl/>
        </w:rPr>
        <w:t>)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lastRenderedPageBreak/>
        <w:t xml:space="preserve">بالمشاركة في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ذلك وفي تنظيم عقد الامتحان، كما تقوم اللجنة العليا المشكلّة بقرار من وزير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التعليم العالي والبحث العلمي بالتنسيق والتعاون في هذا الأمر.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    إن مشاركة جهة دولية في الامتحان أمر هام لتوفير البعد الدولي لـه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والاعتراف بنتائجه، بغية تحقيق بعض أهدافه مثل مساعدة الخريجين على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الحصول على قبول للدراسات العليا في الجامعات خارج الوطن، والحصول على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المنح المقدمة من الجهات الإقليمية والدولية.</w:t>
      </w:r>
    </w:p>
    <w:p w:rsidR="000967E3" w:rsidRPr="000967E3" w:rsidRDefault="000967E3" w:rsidP="000967E3">
      <w:pPr>
        <w:bidi/>
        <w:spacing w:after="0" w:line="360" w:lineRule="auto"/>
        <w:ind w:left="32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 </w:t>
      </w: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 xml:space="preserve">مدة الامتحان </w:t>
      </w:r>
    </w:p>
    <w:p w:rsidR="000967E3" w:rsidRPr="000967E3" w:rsidRDefault="000967E3" w:rsidP="000967E3">
      <w:pPr>
        <w:bidi/>
        <w:spacing w:after="0" w:line="360" w:lineRule="auto"/>
        <w:ind w:firstLine="392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ساعتان</w:t>
      </w:r>
    </w:p>
    <w:p w:rsidR="000967E3" w:rsidRPr="000967E3" w:rsidRDefault="000967E3" w:rsidP="000967E3">
      <w:pPr>
        <w:bidi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</w:p>
    <w:p w:rsidR="000967E3" w:rsidRPr="000967E3" w:rsidRDefault="000967E3" w:rsidP="000967E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967E3">
        <w:rPr>
          <w:rFonts w:ascii="Times New Roman" w:eastAsia="Times New Roman" w:hAnsi="Times New Roman" w:cs="Times New Roman" w:hint="cs"/>
          <w:b/>
          <w:bCs/>
          <w:sz w:val="48"/>
          <w:szCs w:val="48"/>
          <w:u w:val="single"/>
          <w:rtl/>
        </w:rPr>
        <w:t>من يقدّم الامتحان؟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 xml:space="preserve">    </w:t>
      </w:r>
    </w:p>
    <w:p w:rsidR="000967E3" w:rsidRPr="000967E3" w:rsidRDefault="000967E3" w:rsidP="000967E3">
      <w:pPr>
        <w:bidi/>
        <w:spacing w:after="0" w:line="36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67E3">
        <w:rPr>
          <w:rFonts w:ascii="Wingdings" w:eastAsia="Times New Roman" w:hAnsi="Wingdings" w:cs="Times New Roman"/>
          <w:sz w:val="18"/>
          <w:szCs w:val="18"/>
        </w:rPr>
        <w:t></w:t>
      </w:r>
      <w:r>
        <w:rPr>
          <w:rFonts w:ascii="Wingdings" w:eastAsia="Times New Roman" w:hAnsi="Wingdings" w:cs="Times New Roman"/>
          <w:sz w:val="18"/>
          <w:szCs w:val="18"/>
        </w:rPr>
        <w:t></w:t>
      </w:r>
      <w:r w:rsidRPr="000967E3">
        <w:rPr>
          <w:rFonts w:ascii="Times New Roman" w:eastAsia="Times New Roman" w:hAnsi="Times New Roman" w:cs="Times New Roman"/>
          <w:sz w:val="14"/>
          <w:szCs w:val="14"/>
          <w:rtl/>
        </w:rPr>
        <w:t xml:space="preserve">   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وفقاً لقرار مجلس التعليم العالي، فإن على جميع الطلبة الأردنيين المتوقع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تخرجهم في فصل ما أن يتقدموا "لامتحان الكفاءة الجامعية" كلُّ في تخصصه.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Pr="000967E3">
        <w:rPr>
          <w:rFonts w:ascii="Times New Roman" w:eastAsia="Times New Roman" w:hAnsi="Times New Roman" w:cs="Times New Roman" w:hint="cs"/>
          <w:sz w:val="36"/>
          <w:szCs w:val="36"/>
          <w:rtl/>
        </w:rPr>
        <w:t>ويكون الامتحان اختيارياً للطلبة غير الأردنيين.</w:t>
      </w:r>
    </w:p>
    <w:p w:rsidR="00186279" w:rsidRDefault="00186279"/>
    <w:sectPr w:rsidR="0018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B3"/>
    <w:rsid w:val="000967E3"/>
    <w:rsid w:val="00186279"/>
    <w:rsid w:val="00D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6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967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7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67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67E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7E3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67E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6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967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7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67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67E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7E3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67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509</Words>
  <Characters>2902</Characters>
  <Application>Microsoft Office Word</Application>
  <DocSecurity>0</DocSecurity>
  <Lines>24</Lines>
  <Paragraphs>6</Paragraphs>
  <ScaleCrop>false</ScaleCrop>
  <Company>فراس الصعيو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2014-02-09T07:37:00Z</dcterms:created>
  <dcterms:modified xsi:type="dcterms:W3CDTF">2014-02-09T07:39:00Z</dcterms:modified>
</cp:coreProperties>
</file>