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jc w:val="center"/>
      </w:pPr>
      <w:r>
        <w:rPr>
          <w:b/>
          <w:color w:val="1E40AF"/>
          <w:sz w:val="40"/>
        </w:rPr>
        <w:t>NAMAL UNIVERSITY</w:t>
      </w:r>
    </w:p>
    <w:p>
      <w:pPr>
        <w:spacing w:after="400"/>
        <w:jc w:val="center"/>
      </w:pPr>
      <w:r>
        <w:rPr>
          <w:color w:val="475569"/>
          <w:sz w:val="26"/>
        </w:rPr>
        <w:t>Department of Computer Science</w:t>
      </w:r>
    </w:p>
    <w:p>
      <w:pPr>
        <w:pBdr>
          <w:bottom w:val="single" w:sz="6" w:space="1" w:color="94a3b8"/>
        </w:pBdr>
        <w:spacing w:before="80" w:after="80"/>
      </w:pPr>
    </w:p>
    <w:p>
      <w:pPr>
        <w:spacing w:before="280" w:after="160"/>
        <w:jc w:val="center"/>
      </w:pPr>
      <w:r>
        <w:rPr>
          <w:b/>
          <w:i/>
          <w:color w:val="8B5CF6"/>
          <w:sz w:val="22"/>
        </w:rPr>
        <w:t>MILESTONE 3 — FINAL RESEARCH REPORT</w:t>
      </w:r>
    </w:p>
    <w:p>
      <w:pPr>
        <w:spacing w:after="480"/>
        <w:jc w:val="center"/>
      </w:pPr>
      <w:r>
        <w:rPr>
          <w:b/>
          <w:color w:val="0F172A"/>
          <w:sz w:val="48"/>
        </w:rPr>
        <w:t>AI-Driven Resume Screening and</w:t>
        <w:br/>
        <w:t>Classification System</w:t>
      </w:r>
    </w:p>
    <w:p>
      <w:pPr>
        <w:spacing w:after="560"/>
        <w:jc w:val="center"/>
      </w:pPr>
      <w:r>
        <w:rPr>
          <w:i/>
          <w:color w:val="64748B"/>
          <w:sz w:val="22"/>
        </w:rPr>
        <w:t>A Multi-Signal Machine Learning Pipeline for Automated Candidate Screening</w:t>
        <w:br/>
        <w:t>with Ensemble Classification, Semantic Similarity, and LLM-Augmented CV Enhancement</w:t>
      </w:r>
    </w:p>
    <w:p>
      <w:pPr>
        <w:pBdr>
          <w:bottom w:val="single" w:sz="6" w:space="1" w:color="94a3b8"/>
        </w:pBdr>
        <w:spacing w:before="80" w:after="80"/>
      </w:pPr>
    </w:p>
    <w:tbl>
      <w:tblPr>
        <w:tblW w:type="auto" w:w="0"/>
        <w:jc w:val="center"/>
        <w:tblLook w:firstColumn="1" w:firstRow="1" w:lastColumn="0" w:lastRow="0" w:noHBand="0" w:noVBand="1" w:val="04A0"/>
      </w:tblPr>
      <w:tblGrid>
        <w:gridCol w:w="4703"/>
        <w:gridCol w:w="4703"/>
      </w:tblGrid>
      <w:tr>
        <w:tc>
          <w:tcPr>
            <w:tcW w:type="dxa" w:w="4703"/>
            <w:shd w:val="clear" w:color="auto" w:fill="f1f5f9"/>
          </w:tcPr>
          <w:p>
            <w:pPr>
              <w:jc w:val="right"/>
            </w:pPr>
            <w:r>
              <w:rPr>
                <w:b/>
                <w:color w:val="475569"/>
                <w:sz w:val="20"/>
              </w:rPr>
              <w:t>Course</w:t>
            </w:r>
          </w:p>
        </w:tc>
        <w:tc>
          <w:tcPr>
            <w:tcW w:type="dxa" w:w="4703"/>
          </w:tcPr>
          <w:p>
            <w:pPr>
              <w:jc w:val="left"/>
            </w:pPr>
            <w:r>
              <w:rPr>
                <w:sz w:val="20"/>
              </w:rPr>
              <w:t>CSC-361: Machine Learning</w:t>
            </w:r>
          </w:p>
        </w:tc>
      </w:tr>
      <w:tr>
        <w:tc>
          <w:tcPr>
            <w:tcW w:type="dxa" w:w="4703"/>
            <w:shd w:val="clear" w:color="auto" w:fill="f1f5f9"/>
          </w:tcPr>
          <w:p>
            <w:pPr>
              <w:jc w:val="right"/>
            </w:pPr>
            <w:r>
              <w:rPr>
                <w:b/>
                <w:color w:val="475569"/>
                <w:sz w:val="20"/>
              </w:rPr>
              <w:t>Track</w:t>
            </w:r>
          </w:p>
        </w:tc>
        <w:tc>
          <w:tcPr>
            <w:tcW w:type="dxa" w:w="4703"/>
          </w:tcPr>
          <w:p>
            <w:pPr>
              <w:jc w:val="left"/>
            </w:pPr>
            <w:r>
              <w:rPr>
                <w:sz w:val="20"/>
              </w:rPr>
              <w:t>Track A – Research-Oriented Project</w:t>
            </w:r>
          </w:p>
        </w:tc>
      </w:tr>
      <w:tr>
        <w:tc>
          <w:tcPr>
            <w:tcW w:type="dxa" w:w="4703"/>
            <w:shd w:val="clear" w:color="auto" w:fill="f1f5f9"/>
          </w:tcPr>
          <w:p>
            <w:pPr>
              <w:jc w:val="right"/>
            </w:pPr>
            <w:r>
              <w:rPr>
                <w:b/>
                <w:color w:val="475569"/>
                <w:sz w:val="20"/>
              </w:rPr>
              <w:t>Semester</w:t>
            </w:r>
          </w:p>
        </w:tc>
        <w:tc>
          <w:tcPr>
            <w:tcW w:type="dxa" w:w="4703"/>
          </w:tcPr>
          <w:p>
            <w:pPr>
              <w:jc w:val="left"/>
            </w:pPr>
            <w:r>
              <w:rPr>
                <w:sz w:val="20"/>
              </w:rPr>
              <w:t>Spring 2025</w:t>
            </w:r>
          </w:p>
        </w:tc>
      </w:tr>
      <w:tr>
        <w:tc>
          <w:tcPr>
            <w:tcW w:type="dxa" w:w="4703"/>
            <w:shd w:val="clear" w:color="auto" w:fill="f1f5f9"/>
          </w:tcPr>
          <w:p>
            <w:pPr>
              <w:jc w:val="right"/>
            </w:pPr>
            <w:r>
              <w:rPr>
                <w:b/>
                <w:color w:val="475569"/>
                <w:sz w:val="20"/>
              </w:rPr>
              <w:t>Instructor</w:t>
            </w:r>
          </w:p>
        </w:tc>
        <w:tc>
          <w:tcPr>
            <w:tcW w:type="dxa" w:w="4703"/>
          </w:tcPr>
          <w:p>
            <w:pPr>
              <w:jc w:val="left"/>
            </w:pPr>
            <w:r>
              <w:rPr>
                <w:sz w:val="20"/>
              </w:rPr>
              <w:t>Dr. Shafiq Ur Rehman Khan</w:t>
            </w:r>
          </w:p>
        </w:tc>
      </w:tr>
      <w:tr>
        <w:tc>
          <w:tcPr>
            <w:tcW w:type="dxa" w:w="4703"/>
            <w:shd w:val="clear" w:color="auto" w:fill="f1f5f9"/>
          </w:tcPr>
          <w:p>
            <w:pPr>
              <w:jc w:val="right"/>
            </w:pPr>
            <w:r>
              <w:rPr>
                <w:b/>
                <w:color w:val="475569"/>
                <w:sz w:val="20"/>
              </w:rPr>
              <w:t>Mapped CLO</w:t>
            </w:r>
          </w:p>
        </w:tc>
        <w:tc>
          <w:tcPr>
            <w:tcW w:type="dxa" w:w="4703"/>
          </w:tcPr>
          <w:p>
            <w:pPr>
              <w:jc w:val="left"/>
            </w:pPr>
            <w:r>
              <w:rPr>
                <w:sz w:val="20"/>
              </w:rPr>
              <w:t>CLO-3</w:t>
            </w:r>
          </w:p>
        </w:tc>
      </w:tr>
      <w:tr>
        <w:tc>
          <w:tcPr>
            <w:tcW w:type="dxa" w:w="4703"/>
            <w:shd w:val="clear" w:color="auto" w:fill="f1f5f9"/>
          </w:tcPr>
          <w:p>
            <w:pPr>
              <w:jc w:val="right"/>
            </w:pPr>
            <w:r>
              <w:rPr>
                <w:b/>
                <w:color w:val="475569"/>
                <w:sz w:val="20"/>
              </w:rPr>
              <w:t>Max Marks</w:t>
            </w:r>
          </w:p>
        </w:tc>
        <w:tc>
          <w:tcPr>
            <w:tcW w:type="dxa" w:w="4703"/>
          </w:tcPr>
          <w:p>
            <w:pPr>
              <w:jc w:val="left"/>
            </w:pPr>
            <w:r>
              <w:rPr>
                <w:sz w:val="20"/>
              </w:rPr>
              <w:t>9 / 20</w:t>
            </w:r>
          </w:p>
        </w:tc>
      </w:tr>
      <w:tr>
        <w:tc>
          <w:tcPr>
            <w:tcW w:type="dxa" w:w="4703"/>
            <w:shd w:val="clear" w:color="auto" w:fill="f1f5f9"/>
          </w:tcPr>
          <w:p>
            <w:pPr>
              <w:jc w:val="right"/>
            </w:pPr>
            <w:r>
              <w:rPr>
                <w:b/>
                <w:color w:val="475569"/>
                <w:sz w:val="20"/>
              </w:rPr>
              <w:t>Submission Date</w:t>
            </w:r>
          </w:p>
        </w:tc>
        <w:tc>
          <w:tcPr>
            <w:tcW w:type="dxa" w:w="4703"/>
          </w:tcPr>
          <w:p>
            <w:pPr>
              <w:jc w:val="left"/>
            </w:pPr>
            <w:r>
              <w:rPr>
                <w:sz w:val="20"/>
              </w:rPr>
              <w:t>30 May 2025</w:t>
            </w:r>
          </w:p>
        </w:tc>
      </w:tr>
    </w:tbl>
    <w:p>
      <w:pPr>
        <w:spacing w:after="320"/>
      </w:pPr>
    </w:p>
    <w:p>
      <w:pPr>
        <w:spacing w:before="240" w:after="120"/>
        <w:jc w:val="center"/>
      </w:pPr>
      <w:r>
        <w:rPr>
          <w:b/>
          <w:color w:val="1E293B"/>
          <w:sz w:val="22"/>
        </w:rPr>
        <w:t>Group Members</w:t>
      </w:r>
    </w:p>
    <w:p>
      <w:pPr>
        <w:spacing w:after="60"/>
        <w:jc w:val="center"/>
      </w:pPr>
      <w:r>
        <w:rPr>
          <w:color w:val="334155"/>
          <w:sz w:val="21"/>
        </w:rPr>
        <w:t>• Ahmad Mustafa</w:t>
      </w:r>
    </w:p>
    <w:p>
      <w:pPr>
        <w:spacing w:after="60"/>
        <w:jc w:val="center"/>
      </w:pPr>
      <w:r>
        <w:rPr>
          <w:color w:val="334155"/>
          <w:sz w:val="21"/>
        </w:rPr>
        <w:t>• Raqib Hayat</w:t>
      </w:r>
    </w:p>
    <w:p>
      <w:pPr>
        <w:spacing w:after="60"/>
        <w:jc w:val="center"/>
      </w:pPr>
      <w:r>
        <w:rPr>
          <w:color w:val="334155"/>
          <w:sz w:val="21"/>
        </w:rPr>
        <w:t>• Niyaz Ali Malik</w:t>
      </w:r>
    </w:p>
    <w:p>
      <w:pPr>
        <w:spacing w:after="60"/>
        <w:jc w:val="center"/>
      </w:pPr>
      <w:r>
        <w:rPr>
          <w:color w:val="334155"/>
          <w:sz w:val="21"/>
        </w:rPr>
        <w:t>• Tahir</w:t>
      </w:r>
    </w:p>
    <w:p>
      <w:r>
        <w:br w:type="page"/>
      </w:r>
    </w:p>
    <w:p>
      <w:pPr>
        <w:pStyle w:val="Heading1"/>
        <w:spacing w:before="280" w:after="120"/>
      </w:pPr>
      <w:r>
        <w:rPr>
          <w:color w:val="1E3A8A"/>
        </w:rPr>
        <w:t>Abstract</w:t>
      </w:r>
    </w:p>
    <w:p>
      <w:pPr>
        <w:spacing w:before="0" w:after="80"/>
        <w:jc w:val="both"/>
      </w:pPr>
      <w:r>
        <w:rPr>
          <w:b w:val="0"/>
          <w:i w:val="0"/>
          <w:sz w:val="21"/>
        </w:rPr>
        <w:t>This paper presents the complete research and implementation of Screen.AI, an end-to-end AI-driven resume screening and classification system designed for real-time multi-class job-role categorization. The system addresses the critical challenge of processing large volumes of unstructured resume documents by combining classical machine learning with modern LLM-based augmentation. A ten-step preprocessing pipeline — comprising lowercase normalization, lemmatization, stopword removal, and SMOTE-Tomek class balancing — transforms raw resume text into 20,000-feature TF-IDF vectors. Five algorithms were systematically evaluated: K-Nearest Neighbors, Decision Tree, Support Vector Machine, XGBoost, and Random Forest. The Random Forest Classifier with 500 trees, selected via GridSearchCV, achieved the highest test accuracy of 87.00% (Precision: 87.34%, Recall: 86.91%, F1: 87.12%) across 25 job categories. The deployed system integrates a three-signal scoring mechanism (ML classification, keyword matching, TF-IDF cosine similarity) with a smart category override to minimize false rejections. A secondary Groq Llama 3.3-70B integration provides generative CV enhancement feedback. The full-stack application — FastAPI backend, React frontend — is deployed end-to-end with a reproducible training pipeline.</w:t>
      </w:r>
    </w:p>
    <w:p>
      <w:pPr>
        <w:pStyle w:val="Heading2"/>
        <w:spacing w:before="160" w:after="120"/>
      </w:pPr>
      <w:r>
        <w:rPr>
          <w:color w:val="475569"/>
        </w:rPr>
        <w:t>Keywords</w:t>
      </w:r>
    </w:p>
    <w:p>
      <w:pPr>
        <w:spacing w:before="0" w:after="80"/>
        <w:jc w:val="both"/>
      </w:pPr>
      <w:r>
        <w:rPr>
          <w:b w:val="0"/>
          <w:i/>
          <w:sz w:val="20"/>
        </w:rPr>
        <w:t>Resume classification, Random Forest, TF-IDF vectorization, SMOTE-Tomek, multi-class text classification, cosine similarity, NLP preprocessing, FastAPI, machine learning deployment, LLM, Groq Llama.</w:t>
      </w:r>
    </w:p>
    <w:p>
      <w:pPr>
        <w:pBdr>
          <w:bottom w:val="single" w:sz="6" w:space="1" w:color="94a3b8"/>
        </w:pBdr>
        <w:spacing w:before="80" w:after="80"/>
      </w:pPr>
    </w:p>
    <w:p>
      <w:pPr>
        <w:pStyle w:val="Heading1"/>
        <w:spacing w:before="280" w:after="120"/>
      </w:pPr>
      <w:r>
        <w:rPr>
          <w:color w:val="1E3A8A"/>
        </w:rPr>
        <w:t>1. Introduction</w:t>
      </w:r>
    </w:p>
    <w:p>
      <w:pPr>
        <w:spacing w:before="0" w:after="80"/>
        <w:jc w:val="both"/>
      </w:pPr>
      <w:r>
        <w:rPr>
          <w:b w:val="0"/>
          <w:i w:val="0"/>
          <w:sz w:val="21"/>
        </w:rPr>
        <w:t>The exponential growth of digital job applications has created an urgent operational challenge for human resource departments. Enterprise organizations routinely receive thousands of applications per position, making manual screening not only time-consuming but statistically inconsistent. Recruiters typically spend an average of six seconds on an initial resume scan, introducing significant bias and resulting in qualified candidates being overlooked.</w:t>
      </w:r>
    </w:p>
    <w:p>
      <w:pPr>
        <w:spacing w:before="0" w:after="80"/>
        <w:jc w:val="both"/>
      </w:pPr>
      <w:r>
        <w:rPr>
          <w:b w:val="0"/>
          <w:i w:val="0"/>
          <w:sz w:val="21"/>
        </w:rPr>
        <w:t>Automated resume screening systems directly address this bottleneck by applying natural language processing and machine learning to extract, vectorize, and classify resume content at scale. The core challenge in this domain is that resume text is unstructured, domain-diverse, and characterized by high vocabulary overlap across adjacent professional categories — making classification a non-trivial multi-class text problem.</w:t>
      </w:r>
    </w:p>
    <w:p>
      <w:pPr>
        <w:spacing w:before="0" w:after="80"/>
        <w:jc w:val="both"/>
      </w:pPr>
      <w:r>
        <w:rPr>
          <w:b w:val="0"/>
          <w:i w:val="0"/>
          <w:sz w:val="21"/>
        </w:rPr>
        <w:t>This research builds an AI-driven resume screening system — Screen.AI — that classifies resumes across 25 professional job categories with 87.00% accuracy, computes multi-signal candidate scores, and presents results through a modern full-stack interface. The research gap addressed is the balance between accuracy and computational feasibility: transformer models (BERT, RoBERTa) achieve state-of-the-art semantic understanding but are impractical for real-time on-premise deployment. This work demonstrates that a carefully tuned Random Forest ensemble on TF-IDF features closes most of this gap at a fraction of the computational cost.</w:t>
      </w:r>
    </w:p>
    <w:p>
      <w:pPr>
        <w:pStyle w:val="Heading2"/>
        <w:spacing w:before="200" w:after="120"/>
      </w:pPr>
      <w:r>
        <w:rPr>
          <w:color w:val="3730A3"/>
        </w:rPr>
        <w:t>1.1 Research Objectives</w:t>
      </w:r>
    </w:p>
    <w:p>
      <w:pPr>
        <w:pStyle w:val="ListBullet"/>
        <w:spacing w:after="40" w:before="20"/>
      </w:pPr>
      <w:r>
        <w:rPr>
          <w:sz w:val="21"/>
        </w:rPr>
        <w:t>Design and implement a comprehensive preprocessing pipeline for raw resume text data.</w:t>
      </w:r>
    </w:p>
    <w:p>
      <w:pPr>
        <w:pStyle w:val="ListBullet"/>
        <w:spacing w:after="40" w:before="20"/>
      </w:pPr>
      <w:r>
        <w:rPr>
          <w:sz w:val="21"/>
        </w:rPr>
        <w:t>Evaluate and compare five ML classification algorithms under identical experimental conditions.</w:t>
      </w:r>
    </w:p>
    <w:p>
      <w:pPr>
        <w:pStyle w:val="ListBullet"/>
        <w:spacing w:after="40" w:before="20"/>
      </w:pPr>
      <w:r>
        <w:rPr>
          <w:sz w:val="21"/>
        </w:rPr>
        <w:t>Apply hyperparameter optimization to identify the best-performing model configuration.</w:t>
      </w:r>
    </w:p>
    <w:p>
      <w:pPr>
        <w:pStyle w:val="ListBullet"/>
        <w:spacing w:after="40" w:before="20"/>
      </w:pPr>
      <w:r>
        <w:rPr>
          <w:sz w:val="21"/>
        </w:rPr>
        <w:t>Develop a multi-signal scoring mechanism combining ML classification, keyword matching, and semantic similarity.</w:t>
      </w:r>
    </w:p>
    <w:p>
      <w:pPr>
        <w:pStyle w:val="ListBullet"/>
        <w:spacing w:after="40" w:before="20"/>
      </w:pPr>
      <w:r>
        <w:rPr>
          <w:sz w:val="21"/>
        </w:rPr>
        <w:t>Deploy the complete system as a full-stack application with HR and candidate portals.</w:t>
      </w:r>
    </w:p>
    <w:p>
      <w:pPr>
        <w:pStyle w:val="ListBullet"/>
        <w:spacing w:after="40" w:before="20"/>
      </w:pPr>
      <w:r>
        <w:rPr>
          <w:sz w:val="21"/>
        </w:rPr>
        <w:t>Augment the ML pipeline with generative AI (Groq Llama 3.3-70B) for CV enhancement feedback.</w:t>
      </w:r>
    </w:p>
    <w:p>
      <w:pPr>
        <w:pBdr>
          <w:bottom w:val="single" w:sz="6" w:space="1" w:color="94a3b8"/>
        </w:pBdr>
        <w:spacing w:before="80" w:after="80"/>
      </w:pPr>
    </w:p>
    <w:p>
      <w:pPr>
        <w:pStyle w:val="Heading1"/>
        <w:spacing w:before="280" w:after="120"/>
      </w:pPr>
      <w:r>
        <w:rPr>
          <w:color w:val="1E3A8A"/>
        </w:rPr>
        <w:t>2. Related Work</w:t>
      </w:r>
    </w:p>
    <w:p>
      <w:pPr>
        <w:spacing w:before="0" w:after="80"/>
        <w:jc w:val="both"/>
      </w:pPr>
      <w:r>
        <w:rPr>
          <w:b w:val="0"/>
          <w:i w:val="0"/>
          <w:sz w:val="21"/>
        </w:rPr>
        <w:t>The intersection of NLP and automated recruitment has been an active research area since the mid-2010s, accelerating significantly with the availability of large annotated datasets and pre-trained language models.</w:t>
      </w:r>
    </w:p>
    <w:p>
      <w:pPr>
        <w:pStyle w:val="Heading2"/>
        <w:spacing w:before="160" w:after="120"/>
      </w:pPr>
      <w:r>
        <w:rPr>
          <w:color w:val="3730A3"/>
        </w:rPr>
        <w:t>2.1 Summary of Key Literature</w:t>
      </w:r>
    </w:p>
    <w:p>
      <w:pPr>
        <w:spacing w:after="80"/>
        <w:ind w:left="360"/>
      </w:pPr>
      <w:r>
        <w:rPr>
          <w:b/>
          <w:color w:val="1E40AF"/>
          <w:sz w:val="21"/>
        </w:rPr>
        <w:t xml:space="preserve">Chowdhury et al. (2023): </w:t>
      </w:r>
      <w:r>
        <w:rPr>
          <w:sz w:val="21"/>
        </w:rPr>
        <w:t>BERT-based resume classification outperformed TF-IDF baselines in semantic understanding; however, inference latency was prohibitive for real-time systems.</w:t>
      </w:r>
    </w:p>
    <w:p>
      <w:pPr>
        <w:spacing w:after="80"/>
        <w:ind w:left="360"/>
      </w:pPr>
      <w:r>
        <w:rPr>
          <w:b/>
          <w:color w:val="1E40AF"/>
          <w:sz w:val="21"/>
        </w:rPr>
        <w:t xml:space="preserve">Senthil et al. (2022): </w:t>
      </w:r>
      <w:r>
        <w:rPr>
          <w:sz w:val="21"/>
        </w:rPr>
        <w:t>Developed a rank-based matching system using NLP keyword density scoring against job descriptions. Limited to keyword presence without contextual understanding.</w:t>
      </w:r>
    </w:p>
    <w:p>
      <w:pPr>
        <w:spacing w:after="80"/>
        <w:ind w:left="360"/>
      </w:pPr>
      <w:r>
        <w:rPr>
          <w:b/>
          <w:color w:val="1E40AF"/>
          <w:sz w:val="21"/>
        </w:rPr>
        <w:t xml:space="preserve">Abid et al. (2021): </w:t>
      </w:r>
      <w:r>
        <w:rPr>
          <w:sz w:val="21"/>
        </w:rPr>
        <w:t>Investigated deep learning (CNN, LSTM) for candidate-job matching. High accuracy but required GPU infrastructure for deployment.</w:t>
      </w:r>
    </w:p>
    <w:p>
      <w:pPr>
        <w:spacing w:after="80"/>
        <w:ind w:left="360"/>
      </w:pPr>
      <w:r>
        <w:rPr>
          <w:b/>
          <w:color w:val="1E40AF"/>
          <w:sz w:val="21"/>
        </w:rPr>
        <w:t xml:space="preserve">Deshpande et al. (2020): </w:t>
      </w:r>
      <w:r>
        <w:rPr>
          <w:sz w:val="21"/>
        </w:rPr>
        <w:t>Successfully applied Random Forest with TF-IDF for large-scale multi-class resume categorization, establishing the viability of this approach.</w:t>
      </w:r>
    </w:p>
    <w:p>
      <w:pPr>
        <w:spacing w:after="80"/>
        <w:ind w:left="360"/>
      </w:pPr>
      <w:r>
        <w:rPr>
          <w:b/>
          <w:color w:val="1E40AF"/>
          <w:sz w:val="21"/>
        </w:rPr>
        <w:t xml:space="preserve">Shukla et al. (2024): </w:t>
      </w:r>
      <w:r>
        <w:rPr>
          <w:sz w:val="21"/>
        </w:rPr>
        <w:t>Analyzed LLMs for context-aware recruitment automation, demonstrating that GPT-4 class models can identify skill gaps not captured by bag-of-words methods.</w:t>
      </w:r>
    </w:p>
    <w:p>
      <w:pPr>
        <w:spacing w:after="80"/>
        <w:ind w:left="360"/>
      </w:pPr>
      <w:r>
        <w:rPr>
          <w:b/>
          <w:color w:val="1E40AF"/>
          <w:sz w:val="21"/>
        </w:rPr>
        <w:t xml:space="preserve">Garcia et al. (2023): </w:t>
      </w:r>
      <w:r>
        <w:rPr>
          <w:sz w:val="21"/>
        </w:rPr>
        <w:t>Addressed algorithmic bias in automated screening, proposing fairness-aware re-ranking to reduce demographic disparities in AI-driven selection.</w:t>
      </w:r>
    </w:p>
    <w:p>
      <w:pPr>
        <w:spacing w:after="80"/>
        <w:ind w:left="360"/>
      </w:pPr>
      <w:r>
        <w:rPr>
          <w:b/>
          <w:color w:val="1E40AF"/>
          <w:sz w:val="21"/>
        </w:rPr>
        <w:t xml:space="preserve">Lee et al. (2022): </w:t>
      </w:r>
      <w:r>
        <w:rPr>
          <w:sz w:val="21"/>
        </w:rPr>
        <w:t>Demonstrated that ensemble methods outperform single decision trees in text classification tasks by 8–15% on standard benchmarks.</w:t>
      </w:r>
    </w:p>
    <w:p>
      <w:pPr>
        <w:spacing w:after="80"/>
        <w:ind w:left="360"/>
      </w:pPr>
      <w:r>
        <w:rPr>
          <w:b/>
          <w:color w:val="1E40AF"/>
          <w:sz w:val="21"/>
        </w:rPr>
        <w:t xml:space="preserve">Patel et al. (2021): </w:t>
      </w:r>
      <w:r>
        <w:rPr>
          <w:sz w:val="21"/>
        </w:rPr>
        <w:t>Evaluated the effectiveness of stopword removal and lemmatization in technical resume domains; confirmed significant accuracy improvement over raw tokenization.</w:t>
      </w:r>
    </w:p>
    <w:p>
      <w:pPr>
        <w:spacing w:after="80"/>
        <w:ind w:left="360"/>
      </w:pPr>
      <w:r>
        <w:rPr>
          <w:b/>
          <w:color w:val="1E40AF"/>
          <w:sz w:val="21"/>
        </w:rPr>
        <w:t xml:space="preserve">Wang et al. (2023): </w:t>
      </w:r>
      <w:r>
        <w:rPr>
          <w:sz w:val="21"/>
        </w:rPr>
        <w:t>Introduced Knowledge Graphs to improve skill entity extraction accuracy in niche engineering fields.</w:t>
      </w:r>
    </w:p>
    <w:p>
      <w:pPr>
        <w:spacing w:after="80"/>
        <w:ind w:left="360"/>
      </w:pPr>
      <w:r>
        <w:rPr>
          <w:b/>
          <w:color w:val="1E40AF"/>
          <w:sz w:val="21"/>
        </w:rPr>
        <w:t xml:space="preserve">Zhu et al. (2022): </w:t>
      </w:r>
      <w:r>
        <w:rPr>
          <w:sz w:val="21"/>
        </w:rPr>
        <w:t>Explored transfer learning for cross-domain resume screening, showing domain-adaptive models generalize better to underrepresented job categories.</w:t>
      </w:r>
    </w:p>
    <w:p>
      <w:pPr>
        <w:spacing w:before="0" w:after="80"/>
        <w:jc w:val="both"/>
      </w:pPr>
      <w:r>
        <w:rPr>
          <w:b w:val="0"/>
          <w:i/>
          <w:color w:val="1E40AF"/>
          <w:sz w:val="21"/>
        </w:rPr>
        <w:t>Research Gap: Existing literature clusters around two extremes — lightweight keyword matching (high speed, low accuracy) or transformer-based deep learning (high accuracy, high latency). This research occupies the underexplored middle ground: an optimized ensemble classifier on TF-IDF features that balances classification accuracy with real-time inference requirements, demonstrated through a production-grade deployment.</w:t>
      </w:r>
    </w:p>
    <w:p>
      <w:pPr>
        <w:pBdr>
          <w:bottom w:val="single" w:sz="6" w:space="1" w:color="94a3b8"/>
        </w:pBdr>
        <w:spacing w:before="80" w:after="80"/>
      </w:pPr>
    </w:p>
    <w:p>
      <w:pPr>
        <w:pStyle w:val="Heading1"/>
        <w:spacing w:before="280" w:after="120"/>
      </w:pPr>
      <w:r>
        <w:rPr>
          <w:color w:val="1E3A8A"/>
        </w:rPr>
        <w:t>3. Methodology</w:t>
      </w:r>
    </w:p>
    <w:p>
      <w:pPr>
        <w:pStyle w:val="Heading2"/>
        <w:spacing w:before="200" w:after="120"/>
      </w:pPr>
      <w:r>
        <w:rPr>
          <w:color w:val="3730A3"/>
        </w:rPr>
        <w:t>3.1 Dataset</w:t>
      </w:r>
    </w:p>
    <w:p>
      <w:pPr>
        <w:spacing w:before="0" w:after="80"/>
        <w:jc w:val="both"/>
      </w:pPr>
      <w:r>
        <w:rPr>
          <w:b w:val="0"/>
          <w:i w:val="0"/>
          <w:sz w:val="21"/>
        </w:rPr>
        <w:t>The training dataset is the UpdatedResumeDataSet, a consolidated collection merging two publicly available Kaggle resume corpora (Gaurav Dutt and Sneha Anbhawal). The dataset covers 25 job categories after cleaning and label harmonization.</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e3a8a"/>
            <w:vAlign w:val="center"/>
          </w:tcPr>
          <w:p>
            <w:pPr>
              <w:jc w:val="center"/>
            </w:pPr>
            <w:r>
              <w:rPr>
                <w:b/>
                <w:color w:val="FFFFFF"/>
                <w:sz w:val="20"/>
              </w:rPr>
              <w:t>Property</w:t>
            </w:r>
          </w:p>
        </w:tc>
        <w:tc>
          <w:tcPr>
            <w:tcW w:type="dxa" w:w="4703"/>
            <w:shd w:val="clear" w:color="auto" w:fill="1e3a8a"/>
            <w:vAlign w:val="center"/>
          </w:tcPr>
          <w:p>
            <w:pPr>
              <w:jc w:val="center"/>
            </w:pPr>
            <w:r>
              <w:rPr>
                <w:b/>
                <w:color w:val="FFFFFF"/>
                <w:sz w:val="20"/>
              </w:rPr>
              <w:t>Value</w:t>
            </w:r>
          </w:p>
        </w:tc>
      </w:tr>
      <w:tr>
        <w:tc>
          <w:tcPr>
            <w:tcW w:type="dxa" w:w="4703"/>
            <w:shd w:val="clear" w:color="auto" w:fill="f8fafc"/>
            <w:vAlign w:val="center"/>
          </w:tcPr>
          <w:p>
            <w:pPr>
              <w:jc w:val="center"/>
            </w:pPr>
            <w:r>
              <w:rPr>
                <w:sz w:val="20"/>
              </w:rPr>
              <w:t>Total raw samples</w:t>
            </w:r>
          </w:p>
        </w:tc>
        <w:tc>
          <w:tcPr>
            <w:tcW w:type="dxa" w:w="4703"/>
            <w:shd w:val="clear" w:color="auto" w:fill="f8fafc"/>
            <w:vAlign w:val="center"/>
          </w:tcPr>
          <w:p>
            <w:pPr>
              <w:jc w:val="center"/>
            </w:pPr>
            <w:r>
              <w:rPr>
                <w:sz w:val="20"/>
              </w:rPr>
              <w:t>3,446 resumes</w:t>
            </w:r>
          </w:p>
        </w:tc>
      </w:tr>
      <w:tr>
        <w:tc>
          <w:tcPr>
            <w:tcW w:type="dxa" w:w="4703"/>
            <w:shd w:val="clear" w:color="auto" w:fill="FFFFFF"/>
            <w:vAlign w:val="center"/>
          </w:tcPr>
          <w:p>
            <w:pPr>
              <w:jc w:val="center"/>
            </w:pPr>
            <w:r>
              <w:rPr>
                <w:sz w:val="20"/>
              </w:rPr>
              <w:t>After SMOTE-Tomek resampling</w:t>
            </w:r>
          </w:p>
        </w:tc>
        <w:tc>
          <w:tcPr>
            <w:tcW w:type="dxa" w:w="4703"/>
            <w:shd w:val="clear" w:color="auto" w:fill="FFFFFF"/>
            <w:vAlign w:val="center"/>
          </w:tcPr>
          <w:p>
            <w:pPr>
              <w:jc w:val="center"/>
            </w:pPr>
            <w:r>
              <w:rPr>
                <w:sz w:val="20"/>
              </w:rPr>
              <w:t>7,384 samples</w:t>
            </w:r>
          </w:p>
        </w:tc>
      </w:tr>
      <w:tr>
        <w:tc>
          <w:tcPr>
            <w:tcW w:type="dxa" w:w="4703"/>
            <w:shd w:val="clear" w:color="auto" w:fill="f8fafc"/>
            <w:vAlign w:val="center"/>
          </w:tcPr>
          <w:p>
            <w:pPr>
              <w:jc w:val="center"/>
            </w:pPr>
            <w:r>
              <w:rPr>
                <w:sz w:val="20"/>
              </w:rPr>
              <w:t>TF-IDF feature dimensions</w:t>
            </w:r>
          </w:p>
        </w:tc>
        <w:tc>
          <w:tcPr>
            <w:tcW w:type="dxa" w:w="4703"/>
            <w:shd w:val="clear" w:color="auto" w:fill="f8fafc"/>
            <w:vAlign w:val="center"/>
          </w:tcPr>
          <w:p>
            <w:pPr>
              <w:jc w:val="center"/>
            </w:pPr>
            <w:r>
              <w:rPr>
                <w:sz w:val="20"/>
              </w:rPr>
              <w:t>20,000</w:t>
            </w:r>
          </w:p>
        </w:tc>
      </w:tr>
      <w:tr>
        <w:tc>
          <w:tcPr>
            <w:tcW w:type="dxa" w:w="4703"/>
            <w:shd w:val="clear" w:color="auto" w:fill="FFFFFF"/>
            <w:vAlign w:val="center"/>
          </w:tcPr>
          <w:p>
            <w:pPr>
              <w:jc w:val="center"/>
            </w:pPr>
            <w:r>
              <w:rPr>
                <w:sz w:val="20"/>
              </w:rPr>
              <w:t>Target column</w:t>
            </w:r>
          </w:p>
        </w:tc>
        <w:tc>
          <w:tcPr>
            <w:tcW w:type="dxa" w:w="4703"/>
            <w:shd w:val="clear" w:color="auto" w:fill="FFFFFF"/>
            <w:vAlign w:val="center"/>
          </w:tcPr>
          <w:p>
            <w:pPr>
              <w:jc w:val="center"/>
            </w:pPr>
            <w:r>
              <w:rPr>
                <w:sz w:val="20"/>
              </w:rPr>
              <w:t>Category (job role label)</w:t>
            </w:r>
          </w:p>
        </w:tc>
      </w:tr>
      <w:tr>
        <w:tc>
          <w:tcPr>
            <w:tcW w:type="dxa" w:w="4703"/>
            <w:shd w:val="clear" w:color="auto" w:fill="f8fafc"/>
            <w:vAlign w:val="center"/>
          </w:tcPr>
          <w:p>
            <w:pPr>
              <w:jc w:val="center"/>
            </w:pPr>
            <w:r>
              <w:rPr>
                <w:sz w:val="20"/>
              </w:rPr>
              <w:t>Input column</w:t>
            </w:r>
          </w:p>
        </w:tc>
        <w:tc>
          <w:tcPr>
            <w:tcW w:type="dxa" w:w="4703"/>
            <w:shd w:val="clear" w:color="auto" w:fill="f8fafc"/>
            <w:vAlign w:val="center"/>
          </w:tcPr>
          <w:p>
            <w:pPr>
              <w:jc w:val="center"/>
            </w:pPr>
            <w:r>
              <w:rPr>
                <w:sz w:val="20"/>
              </w:rPr>
              <w:t>Resume (raw text)</w:t>
            </w:r>
          </w:p>
        </w:tc>
      </w:tr>
      <w:tr>
        <w:tc>
          <w:tcPr>
            <w:tcW w:type="dxa" w:w="4703"/>
            <w:shd w:val="clear" w:color="auto" w:fill="FFFFFF"/>
            <w:vAlign w:val="center"/>
          </w:tcPr>
          <w:p>
            <w:pPr>
              <w:jc w:val="center"/>
            </w:pPr>
            <w:r>
              <w:rPr>
                <w:sz w:val="20"/>
              </w:rPr>
              <w:t>Missing values</w:t>
            </w:r>
          </w:p>
        </w:tc>
        <w:tc>
          <w:tcPr>
            <w:tcW w:type="dxa" w:w="4703"/>
            <w:shd w:val="clear" w:color="auto" w:fill="FFFFFF"/>
            <w:vAlign w:val="center"/>
          </w:tcPr>
          <w:p>
            <w:pPr>
              <w:jc w:val="center"/>
            </w:pPr>
            <w:r>
              <w:rPr>
                <w:sz w:val="20"/>
              </w:rPr>
              <w:t>None (0 in both columns)</w:t>
            </w:r>
          </w:p>
        </w:tc>
      </w:tr>
      <w:tr>
        <w:tc>
          <w:tcPr>
            <w:tcW w:type="dxa" w:w="4703"/>
            <w:shd w:val="clear" w:color="auto" w:fill="f8fafc"/>
            <w:vAlign w:val="center"/>
          </w:tcPr>
          <w:p>
            <w:pPr>
              <w:jc w:val="center"/>
            </w:pPr>
            <w:r>
              <w:rPr>
                <w:sz w:val="20"/>
              </w:rPr>
              <w:t>Number of job categories</w:t>
            </w:r>
          </w:p>
        </w:tc>
        <w:tc>
          <w:tcPr>
            <w:tcW w:type="dxa" w:w="4703"/>
            <w:shd w:val="clear" w:color="auto" w:fill="f8fafc"/>
            <w:vAlign w:val="center"/>
          </w:tcPr>
          <w:p>
            <w:pPr>
              <w:jc w:val="center"/>
            </w:pPr>
            <w:r>
              <w:rPr>
                <w:sz w:val="20"/>
              </w:rPr>
              <w:t>25</w:t>
            </w:r>
          </w:p>
        </w:tc>
      </w:tr>
      <w:tr>
        <w:tc>
          <w:tcPr>
            <w:tcW w:type="dxa" w:w="4703"/>
            <w:shd w:val="clear" w:color="auto" w:fill="FFFFFF"/>
            <w:vAlign w:val="center"/>
          </w:tcPr>
          <w:p>
            <w:pPr>
              <w:jc w:val="center"/>
            </w:pPr>
            <w:r>
              <w:rPr>
                <w:sz w:val="20"/>
              </w:rPr>
              <w:t>Training set size</w:t>
            </w:r>
          </w:p>
        </w:tc>
        <w:tc>
          <w:tcPr>
            <w:tcW w:type="dxa" w:w="4703"/>
            <w:shd w:val="clear" w:color="auto" w:fill="FFFFFF"/>
            <w:vAlign w:val="center"/>
          </w:tcPr>
          <w:p>
            <w:pPr>
              <w:jc w:val="center"/>
            </w:pPr>
            <w:r>
              <w:rPr>
                <w:sz w:val="20"/>
              </w:rPr>
              <w:t>5,538 samples (75%)</w:t>
            </w:r>
          </w:p>
        </w:tc>
      </w:tr>
      <w:tr>
        <w:tc>
          <w:tcPr>
            <w:tcW w:type="dxa" w:w="4703"/>
            <w:shd w:val="clear" w:color="auto" w:fill="f8fafc"/>
            <w:vAlign w:val="center"/>
          </w:tcPr>
          <w:p>
            <w:pPr>
              <w:jc w:val="center"/>
            </w:pPr>
            <w:r>
              <w:rPr>
                <w:sz w:val="20"/>
              </w:rPr>
              <w:t>Test set size</w:t>
            </w:r>
          </w:p>
        </w:tc>
        <w:tc>
          <w:tcPr>
            <w:tcW w:type="dxa" w:w="4703"/>
            <w:shd w:val="clear" w:color="auto" w:fill="f8fafc"/>
            <w:vAlign w:val="center"/>
          </w:tcPr>
          <w:p>
            <w:pPr>
              <w:jc w:val="center"/>
            </w:pPr>
            <w:r>
              <w:rPr>
                <w:sz w:val="20"/>
              </w:rPr>
              <w:t>1,846 samples (25%)</w:t>
            </w:r>
          </w:p>
        </w:tc>
      </w:tr>
    </w:tbl>
    <w:p>
      <w:pPr>
        <w:spacing w:after="120"/>
      </w:pPr>
    </w:p>
    <w:p>
      <w:pPr>
        <w:pStyle w:val="Heading2"/>
        <w:spacing w:before="200" w:after="120"/>
      </w:pPr>
      <w:r>
        <w:rPr>
          <w:color w:val="3730A3"/>
        </w:rPr>
        <w:t>3.2 Preprocessing Pipeline</w:t>
      </w:r>
    </w:p>
    <w:p>
      <w:pPr>
        <w:spacing w:before="0" w:after="80"/>
        <w:jc w:val="both"/>
      </w:pPr>
      <w:r>
        <w:rPr>
          <w:b w:val="0"/>
          <w:i w:val="0"/>
          <w:sz w:val="21"/>
        </w:rPr>
        <w:t>Ten sequential preprocessing steps were applied to transform raw resume text into clean, vectorizable tokens:</w:t>
      </w:r>
    </w:p>
    <w:p>
      <w:pPr>
        <w:spacing w:after="60"/>
        <w:ind w:left="288"/>
      </w:pPr>
      <w:r>
        <w:rPr>
          <w:b/>
          <w:color w:val="3B82F6"/>
          <w:sz w:val="21"/>
        </w:rPr>
        <w:t>Step 1 — Lowercase Conversion</w:t>
      </w:r>
      <w:r>
        <w:rPr>
          <w:sz w:val="21"/>
        </w:rPr>
        <w:t xml:space="preserve"> — Converts all characters to lowercase ensuring uniform token representation. Prevents "Python" and "python" from being treated as separate tokens.</w:t>
      </w:r>
    </w:p>
    <w:p>
      <w:pPr>
        <w:spacing w:after="60"/>
        <w:ind w:left="288"/>
      </w:pPr>
      <w:r>
        <w:rPr>
          <w:b/>
          <w:color w:val="3B82F6"/>
          <w:sz w:val="21"/>
        </w:rPr>
        <w:t>Step 2 — Short Word Removal</w:t>
      </w:r>
      <w:r>
        <w:rPr>
          <w:sz w:val="21"/>
        </w:rPr>
        <w:t xml:space="preserve"> — Removes tokens with fewer than 3 characters (e.g., "a", "is", "to") to eliminate uninformative noise terms.</w:t>
      </w:r>
    </w:p>
    <w:p>
      <w:pPr>
        <w:spacing w:after="60"/>
        <w:ind w:left="288"/>
      </w:pPr>
      <w:r>
        <w:rPr>
          <w:b/>
          <w:color w:val="3B82F6"/>
          <w:sz w:val="21"/>
        </w:rPr>
        <w:t>Step 3 — Punctuation Removal</w:t>
      </w:r>
      <w:r>
        <w:rPr>
          <w:sz w:val="21"/>
        </w:rPr>
        <w:t xml:space="preserve"> — Strips common punctuation characters (;, ?, ., :, !, ,) from token boundaries.</w:t>
      </w:r>
    </w:p>
    <w:p>
      <w:pPr>
        <w:spacing w:after="60"/>
        <w:ind w:left="288"/>
      </w:pPr>
      <w:r>
        <w:rPr>
          <w:b/>
          <w:color w:val="3B82F6"/>
          <w:sz w:val="21"/>
        </w:rPr>
        <w:t>Step 4 — Whitespace and Special Character Cleaning</w:t>
      </w:r>
      <w:r>
        <w:rPr>
          <w:sz w:val="21"/>
        </w:rPr>
        <w:t xml:space="preserve"> — Removes extra spaces, tab characters (\t), newlines (\n), possessive suffixes ('s), and double quotes to normalize whitespace.</w:t>
      </w:r>
    </w:p>
    <w:p>
      <w:pPr>
        <w:spacing w:after="60"/>
        <w:ind w:left="288"/>
      </w:pPr>
      <w:r>
        <w:rPr>
          <w:b/>
          <w:color w:val="3B82F6"/>
          <w:sz w:val="21"/>
        </w:rPr>
        <w:t>Step 5 — WordNet Lemmatization (NLTK)</w:t>
      </w:r>
      <w:r>
        <w:rPr>
          <w:sz w:val="21"/>
        </w:rPr>
        <w:t xml:space="preserve"> — Reduces words to their verb base form using NLTK's WordNetLemmatizer (e.g., "managing" → "manage", "developed" → "develop"), shrinking vocabulary dimensionality.</w:t>
      </w:r>
    </w:p>
    <w:p>
      <w:pPr>
        <w:spacing w:after="60"/>
        <w:ind w:left="288"/>
      </w:pPr>
      <w:r>
        <w:rPr>
          <w:b/>
          <w:color w:val="3B82F6"/>
          <w:sz w:val="21"/>
        </w:rPr>
        <w:t>Step 6 — English Stopword Removal (NLTK)</w:t>
      </w:r>
      <w:r>
        <w:rPr>
          <w:sz w:val="21"/>
        </w:rPr>
        <w:t xml:space="preserve"> — Removes 179 standard English stopwords, ensuring the model focuses on domain-specific technical keywords.</w:t>
      </w:r>
    </w:p>
    <w:p>
      <w:pPr>
        <w:spacing w:after="60"/>
        <w:ind w:left="288"/>
      </w:pPr>
      <w:r>
        <w:rPr>
          <w:b/>
          <w:color w:val="3B82F6"/>
          <w:sz w:val="21"/>
        </w:rPr>
        <w:t>Step 7 — Label Encoding</w:t>
      </w:r>
      <w:r>
        <w:rPr>
          <w:sz w:val="21"/>
        </w:rPr>
        <w:t xml:space="preserve"> — Encodes 25 categorical job role labels to integer indices using sklearn's LabelEncoder for compatibility with ML classifiers.</w:t>
      </w:r>
    </w:p>
    <w:p>
      <w:pPr>
        <w:spacing w:after="60"/>
        <w:ind w:left="288"/>
      </w:pPr>
      <w:r>
        <w:rPr>
          <w:b/>
          <w:color w:val="3B82F6"/>
          <w:sz w:val="21"/>
        </w:rPr>
        <w:t>Step 8 — TF-IDF Vectorization</w:t>
      </w:r>
      <w:r>
        <w:rPr>
          <w:sz w:val="21"/>
        </w:rPr>
        <w:t xml:space="preserve"> — Transforms preprocessed text to numerical feature vectors using Term Frequency–Inverse Document Frequency with max_features=20,000. Resulting shape: (3,446 × 20,000).</w:t>
      </w:r>
    </w:p>
    <w:p>
      <w:pPr>
        <w:spacing w:after="60"/>
        <w:ind w:left="288"/>
      </w:pPr>
      <w:r>
        <w:rPr>
          <w:b/>
          <w:color w:val="3B82F6"/>
          <w:sz w:val="21"/>
        </w:rPr>
        <w:t>Step 9 — SMOTE-Tomek Class Balancing</w:t>
      </w:r>
      <w:r>
        <w:rPr>
          <w:sz w:val="21"/>
        </w:rPr>
        <w:t xml:space="preserve"> — Applies hybrid oversampling (SMOTE generates synthetic minority samples) and undersampling (Tomek removes borderline majority pairs). Final shape: (7,384 × 20,000), more than doubling the dataset.</w:t>
      </w:r>
    </w:p>
    <w:p>
      <w:pPr>
        <w:spacing w:after="60"/>
        <w:ind w:left="288"/>
      </w:pPr>
      <w:r>
        <w:rPr>
          <w:b/>
          <w:color w:val="3B82F6"/>
          <w:sz w:val="21"/>
        </w:rPr>
        <w:t>Step 10 — Stratified Train/Test Split</w:t>
      </w:r>
      <w:r>
        <w:rPr>
          <w:sz w:val="21"/>
        </w:rPr>
        <w:t xml:space="preserve"> — Splits resampled data 75/25 with stratify=y_res to preserve class proportions. Result: 5,538 training / 1,846 test samples.</w:t>
      </w:r>
    </w:p>
    <w:p>
      <w:pPr>
        <w:pStyle w:val="Heading2"/>
        <w:spacing w:before="200" w:after="120"/>
      </w:pPr>
      <w:r>
        <w:rPr>
          <w:color w:val="3730A3"/>
        </w:rPr>
        <w:t>3.3 Model Selection and Training</w:t>
      </w:r>
    </w:p>
    <w:p>
      <w:pPr>
        <w:spacing w:before="0" w:after="80"/>
        <w:jc w:val="both"/>
      </w:pPr>
      <w:r>
        <w:rPr>
          <w:b w:val="0"/>
          <w:i w:val="0"/>
          <w:sz w:val="21"/>
        </w:rPr>
        <w:t>Five algorithms were selected to represent a spectrum of ML complexity for multi-class text classification. All models were trained and evaluated under strictly identical conditions: same SMOTE-Tomek resampled dataset, same TF-IDF feature matrix, same stratified 75/25 split, and same random seed (42).</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e3a8a"/>
            <w:vAlign w:val="center"/>
          </w:tcPr>
          <w:p>
            <w:pPr>
              <w:jc w:val="center"/>
            </w:pPr>
            <w:r>
              <w:rPr>
                <w:b/>
                <w:color w:val="FFFFFF"/>
                <w:sz w:val="20"/>
              </w:rPr>
              <w:t>Algorithm</w:t>
            </w:r>
          </w:p>
        </w:tc>
        <w:tc>
          <w:tcPr>
            <w:tcW w:type="dxa" w:w="3135"/>
            <w:shd w:val="clear" w:color="auto" w:fill="1e3a8a"/>
            <w:vAlign w:val="center"/>
          </w:tcPr>
          <w:p>
            <w:pPr>
              <w:jc w:val="center"/>
            </w:pPr>
            <w:r>
              <w:rPr>
                <w:b/>
                <w:color w:val="FFFFFF"/>
                <w:sz w:val="20"/>
              </w:rPr>
              <w:t>Configuration</w:t>
            </w:r>
          </w:p>
        </w:tc>
        <w:tc>
          <w:tcPr>
            <w:tcW w:type="dxa" w:w="3135"/>
            <w:shd w:val="clear" w:color="auto" w:fill="1e3a8a"/>
            <w:vAlign w:val="center"/>
          </w:tcPr>
          <w:p>
            <w:pPr>
              <w:jc w:val="center"/>
            </w:pPr>
            <w:r>
              <w:rPr>
                <w:b/>
                <w:color w:val="FFFFFF"/>
                <w:sz w:val="20"/>
              </w:rPr>
              <w:t>Justification</w:t>
            </w:r>
          </w:p>
        </w:tc>
      </w:tr>
      <w:tr>
        <w:tc>
          <w:tcPr>
            <w:tcW w:type="dxa" w:w="3135"/>
            <w:shd w:val="clear" w:color="auto" w:fill="f8fafc"/>
            <w:vAlign w:val="center"/>
          </w:tcPr>
          <w:p>
            <w:pPr>
              <w:jc w:val="center"/>
            </w:pPr>
            <w:r>
              <w:rPr>
                <w:sz w:val="20"/>
              </w:rPr>
              <w:t>K-Nearest Neighbors</w:t>
            </w:r>
          </w:p>
        </w:tc>
        <w:tc>
          <w:tcPr>
            <w:tcW w:type="dxa" w:w="3135"/>
            <w:shd w:val="clear" w:color="auto" w:fill="f8fafc"/>
            <w:vAlign w:val="center"/>
          </w:tcPr>
          <w:p>
            <w:pPr>
              <w:jc w:val="center"/>
            </w:pPr>
            <w:r>
              <w:rPr>
                <w:sz w:val="20"/>
              </w:rPr>
              <w:t>k=1 (tuned)</w:t>
            </w:r>
          </w:p>
        </w:tc>
        <w:tc>
          <w:tcPr>
            <w:tcW w:type="dxa" w:w="3135"/>
            <w:shd w:val="clear" w:color="auto" w:fill="f8fafc"/>
            <w:vAlign w:val="center"/>
          </w:tcPr>
          <w:p>
            <w:pPr>
              <w:jc w:val="center"/>
            </w:pPr>
            <w:r>
              <w:rPr>
                <w:sz w:val="20"/>
              </w:rPr>
              <w:t>Baseline non-parametric; sensitive to high-dimensional sparse vectors</w:t>
            </w:r>
          </w:p>
        </w:tc>
      </w:tr>
      <w:tr>
        <w:tc>
          <w:tcPr>
            <w:tcW w:type="dxa" w:w="3135"/>
            <w:shd w:val="clear" w:color="auto" w:fill="FFFFFF"/>
            <w:vAlign w:val="center"/>
          </w:tcPr>
          <w:p>
            <w:pPr>
              <w:jc w:val="center"/>
            </w:pPr>
            <w:r>
              <w:rPr>
                <w:sz w:val="20"/>
              </w:rPr>
              <w:t>Decision Tree</w:t>
            </w:r>
          </w:p>
        </w:tc>
        <w:tc>
          <w:tcPr>
            <w:tcW w:type="dxa" w:w="3135"/>
            <w:shd w:val="clear" w:color="auto" w:fill="FFFFFF"/>
            <w:vAlign w:val="center"/>
          </w:tcPr>
          <w:p>
            <w:pPr>
              <w:jc w:val="center"/>
            </w:pPr>
            <w:r>
              <w:rPr>
                <w:sz w:val="20"/>
              </w:rPr>
              <w:t>max_depth=100</w:t>
            </w:r>
          </w:p>
        </w:tc>
        <w:tc>
          <w:tcPr>
            <w:tcW w:type="dxa" w:w="3135"/>
            <w:shd w:val="clear" w:color="auto" w:fill="FFFFFF"/>
            <w:vAlign w:val="center"/>
          </w:tcPr>
          <w:p>
            <w:pPr>
              <w:jc w:val="center"/>
            </w:pPr>
            <w:r>
              <w:rPr>
                <w:sz w:val="20"/>
              </w:rPr>
              <w:t>Interpretable baseline; susceptible to overfitting on 20K features</w:t>
            </w:r>
          </w:p>
        </w:tc>
      </w:tr>
      <w:tr>
        <w:tc>
          <w:tcPr>
            <w:tcW w:type="dxa" w:w="3135"/>
            <w:shd w:val="clear" w:color="auto" w:fill="f8fafc"/>
            <w:vAlign w:val="center"/>
          </w:tcPr>
          <w:p>
            <w:pPr>
              <w:jc w:val="center"/>
            </w:pPr>
            <w:r>
              <w:rPr>
                <w:sz w:val="20"/>
              </w:rPr>
              <w:t>Support Vector Machine</w:t>
            </w:r>
          </w:p>
        </w:tc>
        <w:tc>
          <w:tcPr>
            <w:tcW w:type="dxa" w:w="3135"/>
            <w:shd w:val="clear" w:color="auto" w:fill="f8fafc"/>
            <w:vAlign w:val="center"/>
          </w:tcPr>
          <w:p>
            <w:pPr>
              <w:jc w:val="center"/>
            </w:pPr>
            <w:r>
              <w:rPr>
                <w:sz w:val="20"/>
              </w:rPr>
              <w:t>C=1, kernel=rbf</w:t>
            </w:r>
          </w:p>
        </w:tc>
        <w:tc>
          <w:tcPr>
            <w:tcW w:type="dxa" w:w="3135"/>
            <w:shd w:val="clear" w:color="auto" w:fill="f8fafc"/>
            <w:vAlign w:val="center"/>
          </w:tcPr>
          <w:p>
            <w:pPr>
              <w:jc w:val="center"/>
            </w:pPr>
            <w:r>
              <w:rPr>
                <w:sz w:val="20"/>
              </w:rPr>
              <w:t>Strong linear separator; computationally intensive on large sparse matrices</w:t>
            </w:r>
          </w:p>
        </w:tc>
      </w:tr>
      <w:tr>
        <w:tc>
          <w:tcPr>
            <w:tcW w:type="dxa" w:w="3135"/>
            <w:shd w:val="clear" w:color="auto" w:fill="FFFFFF"/>
            <w:vAlign w:val="center"/>
          </w:tcPr>
          <w:p>
            <w:pPr>
              <w:jc w:val="center"/>
            </w:pPr>
            <w:r>
              <w:rPr>
                <w:sz w:val="20"/>
              </w:rPr>
              <w:t>XGBoost</w:t>
            </w:r>
          </w:p>
        </w:tc>
        <w:tc>
          <w:tcPr>
            <w:tcW w:type="dxa" w:w="3135"/>
            <w:shd w:val="clear" w:color="auto" w:fill="FFFFFF"/>
            <w:vAlign w:val="center"/>
          </w:tcPr>
          <w:p>
            <w:pPr>
              <w:jc w:val="center"/>
            </w:pPr>
            <w:r>
              <w:rPr>
                <w:sz w:val="20"/>
              </w:rPr>
              <w:t>Default + tuned n_estimators</w:t>
            </w:r>
          </w:p>
        </w:tc>
        <w:tc>
          <w:tcPr>
            <w:tcW w:type="dxa" w:w="3135"/>
            <w:shd w:val="clear" w:color="auto" w:fill="FFFFFF"/>
            <w:vAlign w:val="center"/>
          </w:tcPr>
          <w:p>
            <w:pPr>
              <w:jc w:val="center"/>
            </w:pPr>
            <w:r>
              <w:rPr>
                <w:sz w:val="20"/>
              </w:rPr>
              <w:t>Gradient boosting ensemble; competitive with RF on tabular data</w:t>
            </w:r>
          </w:p>
        </w:tc>
      </w:tr>
      <w:tr>
        <w:tc>
          <w:tcPr>
            <w:tcW w:type="dxa" w:w="3135"/>
            <w:shd w:val="clear" w:color="auto" w:fill="f8fafc"/>
            <w:vAlign w:val="center"/>
          </w:tcPr>
          <w:p>
            <w:pPr>
              <w:jc w:val="center"/>
            </w:pPr>
            <w:r>
              <w:rPr>
                <w:b/>
                <w:color w:val="10B981"/>
                <w:sz w:val="20"/>
              </w:rPr>
              <w:t>Random Forest</w:t>
            </w:r>
          </w:p>
        </w:tc>
        <w:tc>
          <w:tcPr>
            <w:tcW w:type="dxa" w:w="3135"/>
            <w:shd w:val="clear" w:color="auto" w:fill="f8fafc"/>
            <w:vAlign w:val="center"/>
          </w:tcPr>
          <w:p>
            <w:pPr>
              <w:jc w:val="center"/>
            </w:pPr>
            <w:r>
              <w:rPr>
                <w:sz w:val="20"/>
              </w:rPr>
              <w:t>n_estimators=500 (GridSearchCV)</w:t>
            </w:r>
          </w:p>
        </w:tc>
        <w:tc>
          <w:tcPr>
            <w:tcW w:type="dxa" w:w="3135"/>
            <w:shd w:val="clear" w:color="auto" w:fill="f8fafc"/>
            <w:vAlign w:val="center"/>
          </w:tcPr>
          <w:p>
            <w:pPr>
              <w:jc w:val="center"/>
            </w:pPr>
            <w:r>
              <w:rPr>
                <w:b/>
                <w:color w:val="10B981"/>
                <w:sz w:val="20"/>
              </w:rPr>
              <w:t>Best ensemble method for sparse text; robust to overfitting</w:t>
            </w:r>
          </w:p>
        </w:tc>
      </w:tr>
    </w:tbl>
    <w:p>
      <w:pPr>
        <w:spacing w:after="120"/>
      </w:pPr>
    </w:p>
    <w:p>
      <w:pPr>
        <w:pStyle w:val="Heading2"/>
        <w:spacing w:before="200" w:after="120"/>
      </w:pPr>
      <w:r>
        <w:rPr>
          <w:color w:val="3730A3"/>
        </w:rPr>
        <w:t>3.4 Hyperparameter Tuning</w:t>
      </w:r>
    </w:p>
    <w:p>
      <w:pPr>
        <w:spacing w:before="0" w:after="80"/>
        <w:jc w:val="both"/>
      </w:pPr>
      <w:r>
        <w:rPr>
          <w:b w:val="0"/>
          <w:i w:val="0"/>
          <w:sz w:val="21"/>
        </w:rPr>
        <w:t>GridSearchCV with 5-fold cross-validation was applied to the Random Forest to identify the optimal number of estimators:</w:t>
      </w:r>
    </w:p>
    <w:p>
      <w:pPr>
        <w:spacing w:before="0" w:after="0"/>
        <w:shd w:val="clear" w:color="auto" w:fill="0f172a"/>
        <w:ind w:left="432"/>
      </w:pPr>
      <w:r>
        <w:rPr>
          <w:rFonts w:ascii="Courier New" w:hAnsi="Courier New"/>
          <w:color w:val="1ED760"/>
          <w:sz w:val="17"/>
        </w:rPr>
        <w:t>from sklearn.model_selection import GridSearchCV</w:t>
      </w:r>
    </w:p>
    <w:p>
      <w:pPr>
        <w:spacing w:before="0" w:after="0"/>
        <w:shd w:val="clear" w:color="auto" w:fill="0f172a"/>
        <w:ind w:left="432"/>
      </w:pPr>
      <w:r>
        <w:rPr>
          <w:rFonts w:ascii="Courier New" w:hAnsi="Courier New"/>
          <w:color w:val="1ED760"/>
          <w:sz w:val="17"/>
        </w:rPr>
        <w:t>from sklearn.ensemble import RandomForestClassifier</w:t>
      </w:r>
    </w:p>
    <w:p>
      <w:pPr>
        <w:spacing w:before="0" w:after="0"/>
        <w:shd w:val="clear" w:color="auto" w:fill="0f172a"/>
        <w:ind w:left="432"/>
      </w:pPr>
      <w:r>
        <w:rPr>
          <w:rFonts w:ascii="Courier New" w:hAnsi="Courier New"/>
          <w:color w:val="1ED760"/>
          <w:sz w:val="17"/>
        </w:rPr>
      </w:r>
    </w:p>
    <w:p>
      <w:pPr>
        <w:spacing w:before="0" w:after="0"/>
        <w:shd w:val="clear" w:color="auto" w:fill="0f172a"/>
        <w:ind w:left="432"/>
      </w:pPr>
      <w:r>
        <w:rPr>
          <w:rFonts w:ascii="Courier New" w:hAnsi="Courier New"/>
          <w:color w:val="1ED760"/>
          <w:sz w:val="17"/>
        </w:rPr>
        <w:t>model = RandomForestClassifier()</w:t>
      </w:r>
    </w:p>
    <w:p>
      <w:pPr>
        <w:spacing w:before="0" w:after="0"/>
        <w:shd w:val="clear" w:color="auto" w:fill="0f172a"/>
        <w:ind w:left="432"/>
      </w:pPr>
      <w:r>
        <w:rPr>
          <w:rFonts w:ascii="Courier New" w:hAnsi="Courier New"/>
          <w:color w:val="1ED760"/>
          <w:sz w:val="17"/>
        </w:rPr>
        <w:t>param_grid = {'n_estimators': [10, 50, 100, 300, 500]}</w:t>
      </w:r>
    </w:p>
    <w:p>
      <w:pPr>
        <w:spacing w:before="0" w:after="0"/>
        <w:shd w:val="clear" w:color="auto" w:fill="0f172a"/>
        <w:ind w:left="432"/>
      </w:pPr>
      <w:r>
        <w:rPr>
          <w:rFonts w:ascii="Courier New" w:hAnsi="Courier New"/>
          <w:color w:val="1ED760"/>
          <w:sz w:val="17"/>
        </w:rPr>
        <w:t>clf = GridSearchCV(model, param_grid, cv=5, scoring="accuracy")</w:t>
      </w:r>
    </w:p>
    <w:p>
      <w:pPr>
        <w:spacing w:before="0" w:after="0"/>
        <w:shd w:val="clear" w:color="auto" w:fill="0f172a"/>
        <w:ind w:left="432"/>
      </w:pPr>
      <w:r>
        <w:rPr>
          <w:rFonts w:ascii="Courier New" w:hAnsi="Courier New"/>
          <w:color w:val="1ED760"/>
          <w:sz w:val="17"/>
        </w:rPr>
        <w:t>clf.fit(X_res, y_res)</w:t>
      </w:r>
    </w:p>
    <w:p>
      <w:pPr>
        <w:spacing w:before="0" w:after="0"/>
        <w:shd w:val="clear" w:color="auto" w:fill="0f172a"/>
        <w:ind w:left="432"/>
      </w:pPr>
      <w:r>
        <w:rPr>
          <w:rFonts w:ascii="Courier New" w:hAnsi="Courier New"/>
          <w:color w:val="1ED760"/>
          <w:sz w:val="17"/>
        </w:rPr>
        <w:t># Best: RandomForestClassifier(n_estimators=500)</w:t>
      </w:r>
    </w:p>
    <w:p>
      <w:pPr>
        <w:spacing w:before="0" w:after="0"/>
        <w:shd w:val="clear" w:color="auto" w:fill="0f172a"/>
        <w:ind w:left="432"/>
      </w:pPr>
      <w:r>
        <w:rPr>
          <w:rFonts w:ascii="Courier New" w:hAnsi="Courier New"/>
          <w:color w:val="1ED760"/>
          <w:sz w:val="17"/>
        </w:rPr>
        <w:t># Best cross-val accuracy: ~87.3%</w:t>
      </w:r>
    </w:p>
    <w:p>
      <w:pPr>
        <w:spacing w:after="80"/>
      </w:pPr>
    </w:p>
    <w:p>
      <w:pPr>
        <w:spacing w:before="0" w:after="80"/>
        <w:jc w:val="both"/>
      </w:pPr>
      <w:r>
        <w:rPr>
          <w:b w:val="0"/>
          <w:i w:val="0"/>
          <w:sz w:val="21"/>
        </w:rPr>
        <w:t>GridSearchCV tuning results across estimator counts: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65f46"/>
            <w:vAlign w:val="center"/>
          </w:tcPr>
          <w:p>
            <w:pPr>
              <w:jc w:val="center"/>
            </w:pPr>
            <w:r>
              <w:rPr>
                <w:b/>
                <w:color w:val="FFFFFF"/>
                <w:sz w:val="20"/>
              </w:rPr>
              <w:t>n_estimators</w:t>
            </w:r>
          </w:p>
        </w:tc>
        <w:tc>
          <w:tcPr>
            <w:tcW w:type="dxa" w:w="2351"/>
            <w:shd w:val="clear" w:color="auto" w:fill="065f46"/>
            <w:vAlign w:val="center"/>
          </w:tcPr>
          <w:p>
            <w:pPr>
              <w:jc w:val="center"/>
            </w:pPr>
            <w:r>
              <w:rPr>
                <w:b/>
                <w:color w:val="FFFFFF"/>
                <w:sz w:val="20"/>
              </w:rPr>
              <w:t>5-Fold CV Accuracy</w:t>
            </w:r>
          </w:p>
        </w:tc>
        <w:tc>
          <w:tcPr>
            <w:tcW w:type="dxa" w:w="2351"/>
            <w:shd w:val="clear" w:color="auto" w:fill="065f46"/>
            <w:vAlign w:val="center"/>
          </w:tcPr>
          <w:p>
            <w:pPr>
              <w:jc w:val="center"/>
            </w:pPr>
            <w:r>
              <w:rPr>
                <w:b/>
                <w:color w:val="FFFFFF"/>
                <w:sz w:val="20"/>
              </w:rPr>
              <w:t>Training Time (rel.)</w:t>
            </w:r>
          </w:p>
        </w:tc>
        <w:tc>
          <w:tcPr>
            <w:tcW w:type="dxa" w:w="2351"/>
            <w:shd w:val="clear" w:color="auto" w:fill="065f46"/>
            <w:vAlign w:val="center"/>
          </w:tcPr>
          <w:p>
            <w:pPr>
              <w:jc w:val="center"/>
            </w:pPr>
            <w:r>
              <w:rPr>
                <w:b/>
                <w:color w:val="FFFFFF"/>
                <w:sz w:val="20"/>
              </w:rPr>
              <w:t>Selected</w:t>
            </w:r>
          </w:p>
        </w:tc>
      </w:tr>
      <w:tr>
        <w:tc>
          <w:tcPr>
            <w:tcW w:type="dxa" w:w="2351"/>
            <w:shd w:val="clear" w:color="auto" w:fill="f8fafc"/>
            <w:vAlign w:val="center"/>
          </w:tcPr>
          <w:p>
            <w:pPr>
              <w:jc w:val="center"/>
            </w:pPr>
            <w:r>
              <w:rPr>
                <w:sz w:val="20"/>
              </w:rPr>
              <w:t>10</w:t>
            </w:r>
          </w:p>
        </w:tc>
        <w:tc>
          <w:tcPr>
            <w:tcW w:type="dxa" w:w="2351"/>
            <w:shd w:val="clear" w:color="auto" w:fill="f8fafc"/>
            <w:vAlign w:val="center"/>
          </w:tcPr>
          <w:p>
            <w:pPr>
              <w:jc w:val="center"/>
            </w:pPr>
            <w:r>
              <w:rPr>
                <w:sz w:val="20"/>
              </w:rPr>
              <w:t>79.2%</w:t>
            </w:r>
          </w:p>
        </w:tc>
        <w:tc>
          <w:tcPr>
            <w:tcW w:type="dxa" w:w="2351"/>
            <w:shd w:val="clear" w:color="auto" w:fill="f8fafc"/>
            <w:vAlign w:val="center"/>
          </w:tcPr>
          <w:p>
            <w:pPr>
              <w:jc w:val="center"/>
            </w:pPr>
            <w:r>
              <w:rPr>
                <w:sz w:val="20"/>
              </w:rPr>
              <w:t>1×</w:t>
            </w:r>
          </w:p>
        </w:tc>
        <w:tc>
          <w:tcPr>
            <w:tcW w:type="dxa" w:w="2351"/>
            <w:shd w:val="clear" w:color="auto" w:fill="f8fafc"/>
            <w:vAlign w:val="center"/>
          </w:tcPr>
          <w:p>
            <w:pPr>
              <w:jc w:val="center"/>
            </w:pPr>
            <w:r>
              <w:rPr>
                <w:sz w:val="20"/>
              </w:rPr>
              <w:t>No</w:t>
            </w:r>
          </w:p>
        </w:tc>
      </w:tr>
      <w:tr>
        <w:tc>
          <w:tcPr>
            <w:tcW w:type="dxa" w:w="2351"/>
            <w:shd w:val="clear" w:color="auto" w:fill="FFFFFF"/>
            <w:vAlign w:val="center"/>
          </w:tcPr>
          <w:p>
            <w:pPr>
              <w:jc w:val="center"/>
            </w:pPr>
            <w:r>
              <w:rPr>
                <w:sz w:val="20"/>
              </w:rPr>
              <w:t>50</w:t>
            </w:r>
          </w:p>
        </w:tc>
        <w:tc>
          <w:tcPr>
            <w:tcW w:type="dxa" w:w="2351"/>
            <w:shd w:val="clear" w:color="auto" w:fill="FFFFFF"/>
            <w:vAlign w:val="center"/>
          </w:tcPr>
          <w:p>
            <w:pPr>
              <w:jc w:val="center"/>
            </w:pPr>
            <w:r>
              <w:rPr>
                <w:sz w:val="20"/>
              </w:rPr>
              <w:t>83.8%</w:t>
            </w:r>
          </w:p>
        </w:tc>
        <w:tc>
          <w:tcPr>
            <w:tcW w:type="dxa" w:w="2351"/>
            <w:shd w:val="clear" w:color="auto" w:fill="FFFFFF"/>
            <w:vAlign w:val="center"/>
          </w:tcPr>
          <w:p>
            <w:pPr>
              <w:jc w:val="center"/>
            </w:pPr>
            <w:r>
              <w:rPr>
                <w:sz w:val="20"/>
              </w:rPr>
              <w:t>5×</w:t>
            </w:r>
          </w:p>
        </w:tc>
        <w:tc>
          <w:tcPr>
            <w:tcW w:type="dxa" w:w="2351"/>
            <w:shd w:val="clear" w:color="auto" w:fill="FFFFFF"/>
            <w:vAlign w:val="center"/>
          </w:tcPr>
          <w:p>
            <w:pPr>
              <w:jc w:val="center"/>
            </w:pPr>
            <w:r>
              <w:rPr>
                <w:sz w:val="20"/>
              </w:rPr>
              <w:t>No</w:t>
            </w:r>
          </w:p>
        </w:tc>
      </w:tr>
      <w:tr>
        <w:tc>
          <w:tcPr>
            <w:tcW w:type="dxa" w:w="2351"/>
            <w:shd w:val="clear" w:color="auto" w:fill="f8fafc"/>
            <w:vAlign w:val="center"/>
          </w:tcPr>
          <w:p>
            <w:pPr>
              <w:jc w:val="center"/>
            </w:pPr>
            <w:r>
              <w:rPr>
                <w:sz w:val="20"/>
              </w:rPr>
              <w:t>100</w:t>
            </w:r>
          </w:p>
        </w:tc>
        <w:tc>
          <w:tcPr>
            <w:tcW w:type="dxa" w:w="2351"/>
            <w:shd w:val="clear" w:color="auto" w:fill="f8fafc"/>
            <w:vAlign w:val="center"/>
          </w:tcPr>
          <w:p>
            <w:pPr>
              <w:jc w:val="center"/>
            </w:pPr>
            <w:r>
              <w:rPr>
                <w:sz w:val="20"/>
              </w:rPr>
              <w:t>85.1%</w:t>
            </w:r>
          </w:p>
        </w:tc>
        <w:tc>
          <w:tcPr>
            <w:tcW w:type="dxa" w:w="2351"/>
            <w:shd w:val="clear" w:color="auto" w:fill="f8fafc"/>
            <w:vAlign w:val="center"/>
          </w:tcPr>
          <w:p>
            <w:pPr>
              <w:jc w:val="center"/>
            </w:pPr>
            <w:r>
              <w:rPr>
                <w:sz w:val="20"/>
              </w:rPr>
              <w:t>10×</w:t>
            </w:r>
          </w:p>
        </w:tc>
        <w:tc>
          <w:tcPr>
            <w:tcW w:type="dxa" w:w="2351"/>
            <w:shd w:val="clear" w:color="auto" w:fill="f8fafc"/>
            <w:vAlign w:val="center"/>
          </w:tcPr>
          <w:p>
            <w:pPr>
              <w:jc w:val="center"/>
            </w:pPr>
            <w:r>
              <w:rPr>
                <w:sz w:val="20"/>
              </w:rPr>
              <w:t>No</w:t>
            </w:r>
          </w:p>
        </w:tc>
      </w:tr>
      <w:tr>
        <w:tc>
          <w:tcPr>
            <w:tcW w:type="dxa" w:w="2351"/>
            <w:shd w:val="clear" w:color="auto" w:fill="FFFFFF"/>
            <w:vAlign w:val="center"/>
          </w:tcPr>
          <w:p>
            <w:pPr>
              <w:jc w:val="center"/>
            </w:pPr>
            <w:r>
              <w:rPr>
                <w:sz w:val="20"/>
              </w:rPr>
              <w:t>300</w:t>
            </w:r>
          </w:p>
        </w:tc>
        <w:tc>
          <w:tcPr>
            <w:tcW w:type="dxa" w:w="2351"/>
            <w:shd w:val="clear" w:color="auto" w:fill="FFFFFF"/>
            <w:vAlign w:val="center"/>
          </w:tcPr>
          <w:p>
            <w:pPr>
              <w:jc w:val="center"/>
            </w:pPr>
            <w:r>
              <w:rPr>
                <w:sz w:val="20"/>
              </w:rPr>
              <w:t>86.5%</w:t>
            </w:r>
          </w:p>
        </w:tc>
        <w:tc>
          <w:tcPr>
            <w:tcW w:type="dxa" w:w="2351"/>
            <w:shd w:val="clear" w:color="auto" w:fill="FFFFFF"/>
            <w:vAlign w:val="center"/>
          </w:tcPr>
          <w:p>
            <w:pPr>
              <w:jc w:val="center"/>
            </w:pPr>
            <w:r>
              <w:rPr>
                <w:sz w:val="20"/>
              </w:rPr>
              <w:t>30×</w:t>
            </w:r>
          </w:p>
        </w:tc>
        <w:tc>
          <w:tcPr>
            <w:tcW w:type="dxa" w:w="2351"/>
            <w:shd w:val="clear" w:color="auto" w:fill="FFFFFF"/>
            <w:vAlign w:val="center"/>
          </w:tcPr>
          <w:p>
            <w:pPr>
              <w:jc w:val="center"/>
            </w:pPr>
            <w:r>
              <w:rPr>
                <w:sz w:val="20"/>
              </w:rPr>
              <w:t>No</w:t>
            </w:r>
          </w:p>
        </w:tc>
      </w:tr>
      <w:tr>
        <w:tc>
          <w:tcPr>
            <w:tcW w:type="dxa" w:w="2351"/>
            <w:shd w:val="clear" w:color="auto" w:fill="f8fafc"/>
            <w:vAlign w:val="center"/>
          </w:tcPr>
          <w:p>
            <w:pPr>
              <w:jc w:val="center"/>
            </w:pPr>
            <w:r>
              <w:rPr>
                <w:sz w:val="20"/>
              </w:rPr>
              <w:t>500</w:t>
            </w:r>
          </w:p>
        </w:tc>
        <w:tc>
          <w:tcPr>
            <w:tcW w:type="dxa" w:w="2351"/>
            <w:shd w:val="clear" w:color="auto" w:fill="f8fafc"/>
            <w:vAlign w:val="center"/>
          </w:tcPr>
          <w:p>
            <w:pPr>
              <w:jc w:val="center"/>
            </w:pPr>
            <w:r>
              <w:rPr>
                <w:sz w:val="20"/>
              </w:rPr>
              <w:t>87.3%</w:t>
            </w:r>
          </w:p>
        </w:tc>
        <w:tc>
          <w:tcPr>
            <w:tcW w:type="dxa" w:w="2351"/>
            <w:shd w:val="clear" w:color="auto" w:fill="f8fafc"/>
            <w:vAlign w:val="center"/>
          </w:tcPr>
          <w:p>
            <w:pPr>
              <w:jc w:val="center"/>
            </w:pPr>
            <w:r>
              <w:rPr>
                <w:sz w:val="20"/>
              </w:rPr>
              <w:t>50×</w:t>
            </w:r>
          </w:p>
        </w:tc>
        <w:tc>
          <w:tcPr>
            <w:tcW w:type="dxa" w:w="2351"/>
            <w:shd w:val="clear" w:color="auto" w:fill="f8fafc"/>
            <w:vAlign w:val="center"/>
          </w:tcPr>
          <w:p>
            <w:pPr>
              <w:jc w:val="center"/>
            </w:pPr>
            <w:r>
              <w:rPr>
                <w:sz w:val="20"/>
              </w:rPr>
              <w:t>Yes ✓</w:t>
            </w:r>
          </w:p>
        </w:tc>
      </w:tr>
    </w:tbl>
    <w:p>
      <w:pPr>
        <w:spacing w:after="80"/>
      </w:pPr>
    </w:p>
    <w:p>
      <w:pPr>
        <w:spacing w:before="0" w:after="80"/>
        <w:jc w:val="both"/>
      </w:pPr>
      <w:r>
        <w:rPr>
          <w:b w:val="0"/>
          <w:i/>
          <w:sz w:val="21"/>
        </w:rPr>
        <w:t>The optimal configuration — 500 trees — was selected as the accuracy gain plateaued beyond this value, with diminishing returns observed. The final model was retrained on the full training set (5,538 samples) with n_estimators=500.</w:t>
      </w:r>
    </w:p>
    <w:p>
      <w:pPr>
        <w:pStyle w:val="Heading2"/>
        <w:spacing w:before="200" w:after="120"/>
      </w:pPr>
      <w:r>
        <w:rPr>
          <w:color w:val="3730A3"/>
        </w:rPr>
        <w:t>3.5 System Architecture and Scoring Pipeline</w:t>
      </w:r>
    </w:p>
    <w:p>
      <w:pPr>
        <w:spacing w:before="0" w:after="80"/>
        <w:jc w:val="both"/>
      </w:pPr>
      <w:r>
        <w:rPr>
          <w:b w:val="0"/>
          <w:i w:val="0"/>
          <w:sz w:val="21"/>
        </w:rPr>
        <w:t>The deployed system implements a three-signal scoring mechanism for each uploaded resume:</w:t>
      </w:r>
    </w:p>
    <w:p>
      <w:pPr>
        <w:spacing w:after="100"/>
        <w:ind w:left="288"/>
      </w:pPr>
      <w:r>
        <w:rPr>
          <w:b/>
          <w:color w:val="059669"/>
          <w:sz w:val="21"/>
        </w:rPr>
        <w:t xml:space="preserve">Signal 1 — ML Classification: </w:t>
      </w:r>
      <w:r>
        <w:rPr>
          <w:sz w:val="21"/>
        </w:rPr>
        <w:t>The TF-IDF vector of the cleaned resume text is passed to the Random Forest model (RF.joblib). The model returns a predicted job category and a confidence score via predict_proba(). The top-2 predictions are compared; if the gap is &lt;15%, a secondary category flag is raised indicating a multi-disciplinary profile.</w:t>
      </w:r>
    </w:p>
    <w:p>
      <w:pPr>
        <w:spacing w:after="100"/>
        <w:ind w:left="288"/>
      </w:pPr>
      <w:r>
        <w:rPr>
          <w:b/>
          <w:color w:val="059669"/>
          <w:sz w:val="21"/>
        </w:rPr>
        <w:t xml:space="preserve">Signal 2 — Keyword Match Score: </w:t>
      </w:r>
      <w:r>
        <w:rPr>
          <w:sz w:val="21"/>
        </w:rPr>
        <w:t>Required skills defined by HR are matched against the raw resume text. Score = (matched_skills / total_required_skills) × 100. A threshold of 50% determines Selected vs. Rejected status.</w:t>
      </w:r>
    </w:p>
    <w:p>
      <w:pPr>
        <w:spacing w:after="100"/>
        <w:ind w:left="288"/>
      </w:pPr>
      <w:r>
        <w:rPr>
          <w:b/>
          <w:color w:val="059669"/>
          <w:sz w:val="21"/>
        </w:rPr>
        <w:t xml:space="preserve">Signal 3 — TF-IDF Cosine Similarity: </w:t>
      </w:r>
      <w:r>
        <w:rPr>
          <w:sz w:val="21"/>
        </w:rPr>
        <w:t>The TF-IDF vector of the resume is compared to the TF-IDF vector of the required skills string using cosine_similarity(), providing a semantic proximity measure independent of exact keyword matching.</w:t>
      </w:r>
    </w:p>
    <w:p>
      <w:pPr>
        <w:spacing w:before="0" w:after="80"/>
        <w:jc w:val="both"/>
      </w:pPr>
      <w:r>
        <w:rPr>
          <w:b w:val="0"/>
          <w:i/>
          <w:color w:val="7C3AED"/>
          <w:sz w:val="21"/>
        </w:rPr>
        <w:t>Smart Override Logic: If the ML classifier predicts a category that does not match the HR target but the candidate achieves ≥50% keyword match OR the target role appears as the secondary prediction, the system overrides the classification to prevent false rejections for multi-disciplinary profiles.</w:t>
      </w:r>
    </w:p>
    <w:p>
      <w:pPr>
        <w:pBdr>
          <w:bottom w:val="single" w:sz="6" w:space="1" w:color="94a3b8"/>
        </w:pBdr>
        <w:spacing w:before="80" w:after="80"/>
      </w:pPr>
    </w:p>
    <w:p>
      <w:pPr>
        <w:pStyle w:val="Heading1"/>
        <w:spacing w:before="280" w:after="120"/>
      </w:pPr>
      <w:r>
        <w:rPr>
          <w:color w:val="1E3A8A"/>
        </w:rPr>
        <w:t>4. Experiments and Results</w:t>
      </w:r>
    </w:p>
    <w:p>
      <w:pPr>
        <w:pStyle w:val="Heading2"/>
        <w:spacing w:before="200" w:after="120"/>
      </w:pPr>
      <w:r>
        <w:rPr>
          <w:color w:val="3730A3"/>
        </w:rPr>
        <w:t>4.1 Model Comparison</w:t>
      </w:r>
    </w:p>
    <w:p>
      <w:pPr>
        <w:spacing w:before="0" w:after="80"/>
        <w:jc w:val="both"/>
      </w:pPr>
      <w:r>
        <w:rPr>
          <w:b w:val="0"/>
          <w:i w:val="0"/>
          <w:sz w:val="21"/>
        </w:rPr>
        <w:t>All five models were evaluated on the same held-out test set (1,846 samples). Weighted averaging across all 25 classes was used for Precision, Recall, and F1 to correctly handle the resampled but potentially unequal class distribution.</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e3a8a"/>
            <w:vAlign w:val="center"/>
          </w:tcPr>
          <w:p>
            <w:pPr>
              <w:jc w:val="center"/>
            </w:pPr>
            <w:r>
              <w:rPr>
                <w:b/>
                <w:color w:val="FFFFFF"/>
                <w:sz w:val="20"/>
              </w:rPr>
              <w:t>Model</w:t>
            </w:r>
          </w:p>
        </w:tc>
        <w:tc>
          <w:tcPr>
            <w:tcW w:type="dxa" w:w="1344"/>
            <w:shd w:val="clear" w:color="auto" w:fill="1e3a8a"/>
            <w:vAlign w:val="center"/>
          </w:tcPr>
          <w:p>
            <w:pPr>
              <w:jc w:val="center"/>
            </w:pPr>
            <w:r>
              <w:rPr>
                <w:b/>
                <w:color w:val="FFFFFF"/>
                <w:sz w:val="20"/>
              </w:rPr>
              <w:t>Test Accuracy</w:t>
            </w:r>
          </w:p>
        </w:tc>
        <w:tc>
          <w:tcPr>
            <w:tcW w:type="dxa" w:w="1344"/>
            <w:shd w:val="clear" w:color="auto" w:fill="1e3a8a"/>
            <w:vAlign w:val="center"/>
          </w:tcPr>
          <w:p>
            <w:pPr>
              <w:jc w:val="center"/>
            </w:pPr>
            <w:r>
              <w:rPr>
                <w:b/>
                <w:color w:val="FFFFFF"/>
                <w:sz w:val="20"/>
              </w:rPr>
              <w:t>Precision (W)</w:t>
            </w:r>
          </w:p>
        </w:tc>
        <w:tc>
          <w:tcPr>
            <w:tcW w:type="dxa" w:w="1344"/>
            <w:shd w:val="clear" w:color="auto" w:fill="1e3a8a"/>
            <w:vAlign w:val="center"/>
          </w:tcPr>
          <w:p>
            <w:pPr>
              <w:jc w:val="center"/>
            </w:pPr>
            <w:r>
              <w:rPr>
                <w:b/>
                <w:color w:val="FFFFFF"/>
                <w:sz w:val="20"/>
              </w:rPr>
              <w:t>Recall (W)</w:t>
            </w:r>
          </w:p>
        </w:tc>
        <w:tc>
          <w:tcPr>
            <w:tcW w:type="dxa" w:w="1344"/>
            <w:shd w:val="clear" w:color="auto" w:fill="1e3a8a"/>
            <w:vAlign w:val="center"/>
          </w:tcPr>
          <w:p>
            <w:pPr>
              <w:jc w:val="center"/>
            </w:pPr>
            <w:r>
              <w:rPr>
                <w:b/>
                <w:color w:val="FFFFFF"/>
                <w:sz w:val="20"/>
              </w:rPr>
              <w:t>F1-Score (W)</w:t>
            </w:r>
          </w:p>
        </w:tc>
        <w:tc>
          <w:tcPr>
            <w:tcW w:type="dxa" w:w="1344"/>
            <w:shd w:val="clear" w:color="auto" w:fill="1e3a8a"/>
            <w:vAlign w:val="center"/>
          </w:tcPr>
          <w:p>
            <w:pPr>
              <w:jc w:val="center"/>
            </w:pPr>
            <w:r>
              <w:rPr>
                <w:b/>
                <w:color w:val="FFFFFF"/>
                <w:sz w:val="20"/>
              </w:rPr>
              <w:t>Inference Speed</w:t>
            </w:r>
          </w:p>
        </w:tc>
        <w:tc>
          <w:tcPr>
            <w:tcW w:type="dxa" w:w="1344"/>
            <w:shd w:val="clear" w:color="auto" w:fill="1e3a8a"/>
            <w:vAlign w:val="center"/>
          </w:tcPr>
          <w:p>
            <w:pPr>
              <w:jc w:val="center"/>
            </w:pPr>
            <w:r>
              <w:rPr>
                <w:b/>
                <w:color w:val="FFFFFF"/>
                <w:sz w:val="20"/>
              </w:rPr>
              <w:t>Rank</w:t>
            </w:r>
          </w:p>
        </w:tc>
      </w:tr>
      <w:tr>
        <w:tc>
          <w:tcPr>
            <w:tcW w:type="dxa" w:w="1344"/>
            <w:shd w:val="clear" w:color="auto" w:fill="f8fafc"/>
            <w:vAlign w:val="center"/>
          </w:tcPr>
          <w:p>
            <w:pPr>
              <w:jc w:val="center"/>
            </w:pPr>
            <w:r>
              <w:rPr>
                <w:sz w:val="20"/>
              </w:rPr>
              <w:t>K-Nearest Neighbors (k=1)</w:t>
            </w:r>
          </w:p>
        </w:tc>
        <w:tc>
          <w:tcPr>
            <w:tcW w:type="dxa" w:w="1344"/>
            <w:shd w:val="clear" w:color="auto" w:fill="f8fafc"/>
            <w:vAlign w:val="center"/>
          </w:tcPr>
          <w:p>
            <w:pPr>
              <w:jc w:val="center"/>
            </w:pPr>
            <w:r>
              <w:rPr>
                <w:sz w:val="20"/>
              </w:rPr>
              <w:t>74.30%</w:t>
            </w:r>
          </w:p>
        </w:tc>
        <w:tc>
          <w:tcPr>
            <w:tcW w:type="dxa" w:w="1344"/>
            <w:shd w:val="clear" w:color="auto" w:fill="f8fafc"/>
            <w:vAlign w:val="center"/>
          </w:tcPr>
          <w:p>
            <w:pPr>
              <w:jc w:val="center"/>
            </w:pPr>
            <w:r>
              <w:rPr>
                <w:sz w:val="20"/>
              </w:rPr>
              <w:t>74.85%</w:t>
            </w:r>
          </w:p>
        </w:tc>
        <w:tc>
          <w:tcPr>
            <w:tcW w:type="dxa" w:w="1344"/>
            <w:shd w:val="clear" w:color="auto" w:fill="f8fafc"/>
            <w:vAlign w:val="center"/>
          </w:tcPr>
          <w:p>
            <w:pPr>
              <w:jc w:val="center"/>
            </w:pPr>
            <w:r>
              <w:rPr>
                <w:sz w:val="20"/>
              </w:rPr>
              <w:t>74.12%</w:t>
            </w:r>
          </w:p>
        </w:tc>
        <w:tc>
          <w:tcPr>
            <w:tcW w:type="dxa" w:w="1344"/>
            <w:shd w:val="clear" w:color="auto" w:fill="f8fafc"/>
            <w:vAlign w:val="center"/>
          </w:tcPr>
          <w:p>
            <w:pPr>
              <w:jc w:val="center"/>
            </w:pPr>
            <w:r>
              <w:rPr>
                <w:sz w:val="20"/>
              </w:rPr>
              <w:t>74.48%</w:t>
            </w:r>
          </w:p>
        </w:tc>
        <w:tc>
          <w:tcPr>
            <w:tcW w:type="dxa" w:w="1344"/>
            <w:shd w:val="clear" w:color="auto" w:fill="f8fafc"/>
            <w:vAlign w:val="center"/>
          </w:tcPr>
          <w:p>
            <w:pPr>
              <w:jc w:val="center"/>
            </w:pPr>
            <w:r>
              <w:rPr>
                <w:sz w:val="20"/>
              </w:rPr>
              <w:t>Slow</w:t>
            </w:r>
          </w:p>
        </w:tc>
        <w:tc>
          <w:tcPr>
            <w:tcW w:type="dxa" w:w="1344"/>
            <w:shd w:val="clear" w:color="auto" w:fill="f8fafc"/>
            <w:vAlign w:val="center"/>
          </w:tcPr>
          <w:p>
            <w:pPr>
              <w:jc w:val="center"/>
            </w:pPr>
            <w:r>
              <w:rPr>
                <w:sz w:val="20"/>
              </w:rPr>
              <w:t>#5</w:t>
            </w:r>
          </w:p>
        </w:tc>
      </w:tr>
      <w:tr>
        <w:tc>
          <w:tcPr>
            <w:tcW w:type="dxa" w:w="1344"/>
            <w:shd w:val="clear" w:color="auto" w:fill="FFFFFF"/>
            <w:vAlign w:val="center"/>
          </w:tcPr>
          <w:p>
            <w:pPr>
              <w:jc w:val="center"/>
            </w:pPr>
            <w:r>
              <w:rPr>
                <w:sz w:val="20"/>
              </w:rPr>
              <w:t>Decision Tree (depth=100)</w:t>
            </w:r>
          </w:p>
        </w:tc>
        <w:tc>
          <w:tcPr>
            <w:tcW w:type="dxa" w:w="1344"/>
            <w:shd w:val="clear" w:color="auto" w:fill="FFFFFF"/>
            <w:vAlign w:val="center"/>
          </w:tcPr>
          <w:p>
            <w:pPr>
              <w:jc w:val="center"/>
            </w:pPr>
            <w:r>
              <w:rPr>
                <w:sz w:val="20"/>
              </w:rPr>
              <w:t>76.50%</w:t>
            </w:r>
          </w:p>
        </w:tc>
        <w:tc>
          <w:tcPr>
            <w:tcW w:type="dxa" w:w="1344"/>
            <w:shd w:val="clear" w:color="auto" w:fill="FFFFFF"/>
            <w:vAlign w:val="center"/>
          </w:tcPr>
          <w:p>
            <w:pPr>
              <w:jc w:val="center"/>
            </w:pPr>
            <w:r>
              <w:rPr>
                <w:sz w:val="20"/>
              </w:rPr>
              <w:t>77.10%</w:t>
            </w:r>
          </w:p>
        </w:tc>
        <w:tc>
          <w:tcPr>
            <w:tcW w:type="dxa" w:w="1344"/>
            <w:shd w:val="clear" w:color="auto" w:fill="FFFFFF"/>
            <w:vAlign w:val="center"/>
          </w:tcPr>
          <w:p>
            <w:pPr>
              <w:jc w:val="center"/>
            </w:pPr>
            <w:r>
              <w:rPr>
                <w:sz w:val="20"/>
              </w:rPr>
              <w:t>76.62%</w:t>
            </w:r>
          </w:p>
        </w:tc>
        <w:tc>
          <w:tcPr>
            <w:tcW w:type="dxa" w:w="1344"/>
            <w:shd w:val="clear" w:color="auto" w:fill="FFFFFF"/>
            <w:vAlign w:val="center"/>
          </w:tcPr>
          <w:p>
            <w:pPr>
              <w:jc w:val="center"/>
            </w:pPr>
            <w:r>
              <w:rPr>
                <w:sz w:val="20"/>
              </w:rPr>
              <w:t>76.85%</w:t>
            </w:r>
          </w:p>
        </w:tc>
        <w:tc>
          <w:tcPr>
            <w:tcW w:type="dxa" w:w="1344"/>
            <w:shd w:val="clear" w:color="auto" w:fill="FFFFFF"/>
            <w:vAlign w:val="center"/>
          </w:tcPr>
          <w:p>
            <w:pPr>
              <w:jc w:val="center"/>
            </w:pPr>
            <w:r>
              <w:rPr>
                <w:sz w:val="20"/>
              </w:rPr>
              <w:t>Fast</w:t>
            </w:r>
          </w:p>
        </w:tc>
        <w:tc>
          <w:tcPr>
            <w:tcW w:type="dxa" w:w="1344"/>
            <w:shd w:val="clear" w:color="auto" w:fill="FFFFFF"/>
            <w:vAlign w:val="center"/>
          </w:tcPr>
          <w:p>
            <w:pPr>
              <w:jc w:val="center"/>
            </w:pPr>
            <w:r>
              <w:rPr>
                <w:sz w:val="20"/>
              </w:rPr>
              <w:t>#4</w:t>
            </w:r>
          </w:p>
        </w:tc>
      </w:tr>
      <w:tr>
        <w:tc>
          <w:tcPr>
            <w:tcW w:type="dxa" w:w="1344"/>
            <w:shd w:val="clear" w:color="auto" w:fill="f8fafc"/>
            <w:vAlign w:val="center"/>
          </w:tcPr>
          <w:p>
            <w:pPr>
              <w:jc w:val="center"/>
            </w:pPr>
            <w:r>
              <w:rPr>
                <w:sz w:val="20"/>
              </w:rPr>
              <w:t>XGBoost</w:t>
            </w:r>
          </w:p>
        </w:tc>
        <w:tc>
          <w:tcPr>
            <w:tcW w:type="dxa" w:w="1344"/>
            <w:shd w:val="clear" w:color="auto" w:fill="f8fafc"/>
            <w:vAlign w:val="center"/>
          </w:tcPr>
          <w:p>
            <w:pPr>
              <w:jc w:val="center"/>
            </w:pPr>
            <w:r>
              <w:rPr>
                <w:sz w:val="20"/>
              </w:rPr>
              <w:t>84.80%</w:t>
            </w:r>
          </w:p>
        </w:tc>
        <w:tc>
          <w:tcPr>
            <w:tcW w:type="dxa" w:w="1344"/>
            <w:shd w:val="clear" w:color="auto" w:fill="f8fafc"/>
            <w:vAlign w:val="center"/>
          </w:tcPr>
          <w:p>
            <w:pPr>
              <w:jc w:val="center"/>
            </w:pPr>
            <w:r>
              <w:rPr>
                <w:sz w:val="20"/>
              </w:rPr>
              <w:t>84.92%</w:t>
            </w:r>
          </w:p>
        </w:tc>
        <w:tc>
          <w:tcPr>
            <w:tcW w:type="dxa" w:w="1344"/>
            <w:shd w:val="clear" w:color="auto" w:fill="f8fafc"/>
            <w:vAlign w:val="center"/>
          </w:tcPr>
          <w:p>
            <w:pPr>
              <w:jc w:val="center"/>
            </w:pPr>
            <w:r>
              <w:rPr>
                <w:sz w:val="20"/>
              </w:rPr>
              <w:t>84.75%</w:t>
            </w:r>
          </w:p>
        </w:tc>
        <w:tc>
          <w:tcPr>
            <w:tcW w:type="dxa" w:w="1344"/>
            <w:shd w:val="clear" w:color="auto" w:fill="f8fafc"/>
            <w:vAlign w:val="center"/>
          </w:tcPr>
          <w:p>
            <w:pPr>
              <w:jc w:val="center"/>
            </w:pPr>
            <w:r>
              <w:rPr>
                <w:sz w:val="20"/>
              </w:rPr>
              <w:t>84.83%</w:t>
            </w:r>
          </w:p>
        </w:tc>
        <w:tc>
          <w:tcPr>
            <w:tcW w:type="dxa" w:w="1344"/>
            <w:shd w:val="clear" w:color="auto" w:fill="f8fafc"/>
            <w:vAlign w:val="center"/>
          </w:tcPr>
          <w:p>
            <w:pPr>
              <w:jc w:val="center"/>
            </w:pPr>
            <w:r>
              <w:rPr>
                <w:sz w:val="20"/>
              </w:rPr>
              <w:t>Moderate</w:t>
            </w:r>
          </w:p>
        </w:tc>
        <w:tc>
          <w:tcPr>
            <w:tcW w:type="dxa" w:w="1344"/>
            <w:shd w:val="clear" w:color="auto" w:fill="f8fafc"/>
            <w:vAlign w:val="center"/>
          </w:tcPr>
          <w:p>
            <w:pPr>
              <w:jc w:val="center"/>
            </w:pPr>
            <w:r>
              <w:rPr>
                <w:sz w:val="20"/>
              </w:rPr>
              <w:t>#3</w:t>
            </w:r>
          </w:p>
        </w:tc>
      </w:tr>
      <w:tr>
        <w:tc>
          <w:tcPr>
            <w:tcW w:type="dxa" w:w="1344"/>
            <w:shd w:val="clear" w:color="auto" w:fill="FFFFFF"/>
            <w:vAlign w:val="center"/>
          </w:tcPr>
          <w:p>
            <w:pPr>
              <w:jc w:val="center"/>
            </w:pPr>
            <w:r>
              <w:rPr>
                <w:sz w:val="20"/>
              </w:rPr>
              <w:t>SVM (C=1, rbf)</w:t>
            </w:r>
          </w:p>
        </w:tc>
        <w:tc>
          <w:tcPr>
            <w:tcW w:type="dxa" w:w="1344"/>
            <w:shd w:val="clear" w:color="auto" w:fill="FFFFFF"/>
            <w:vAlign w:val="center"/>
          </w:tcPr>
          <w:p>
            <w:pPr>
              <w:jc w:val="center"/>
            </w:pPr>
            <w:r>
              <w:rPr>
                <w:sz w:val="20"/>
              </w:rPr>
              <w:t>85.40%</w:t>
            </w:r>
          </w:p>
        </w:tc>
        <w:tc>
          <w:tcPr>
            <w:tcW w:type="dxa" w:w="1344"/>
            <w:shd w:val="clear" w:color="auto" w:fill="FFFFFF"/>
            <w:vAlign w:val="center"/>
          </w:tcPr>
          <w:p>
            <w:pPr>
              <w:jc w:val="center"/>
            </w:pPr>
            <w:r>
              <w:rPr>
                <w:sz w:val="20"/>
              </w:rPr>
              <w:t>85.72%</w:t>
            </w:r>
          </w:p>
        </w:tc>
        <w:tc>
          <w:tcPr>
            <w:tcW w:type="dxa" w:w="1344"/>
            <w:shd w:val="clear" w:color="auto" w:fill="FFFFFF"/>
            <w:vAlign w:val="center"/>
          </w:tcPr>
          <w:p>
            <w:pPr>
              <w:jc w:val="center"/>
            </w:pPr>
            <w:r>
              <w:rPr>
                <w:sz w:val="20"/>
              </w:rPr>
              <w:t>85.30%</w:t>
            </w:r>
          </w:p>
        </w:tc>
        <w:tc>
          <w:tcPr>
            <w:tcW w:type="dxa" w:w="1344"/>
            <w:shd w:val="clear" w:color="auto" w:fill="FFFFFF"/>
            <w:vAlign w:val="center"/>
          </w:tcPr>
          <w:p>
            <w:pPr>
              <w:jc w:val="center"/>
            </w:pPr>
            <w:r>
              <w:rPr>
                <w:sz w:val="20"/>
              </w:rPr>
              <w:t>85.51%</w:t>
            </w:r>
          </w:p>
        </w:tc>
        <w:tc>
          <w:tcPr>
            <w:tcW w:type="dxa" w:w="1344"/>
            <w:shd w:val="clear" w:color="auto" w:fill="FFFFFF"/>
            <w:vAlign w:val="center"/>
          </w:tcPr>
          <w:p>
            <w:pPr>
              <w:jc w:val="center"/>
            </w:pPr>
            <w:r>
              <w:rPr>
                <w:sz w:val="20"/>
              </w:rPr>
              <w:t>Slow (high-dim)</w:t>
            </w:r>
          </w:p>
        </w:tc>
        <w:tc>
          <w:tcPr>
            <w:tcW w:type="dxa" w:w="1344"/>
            <w:shd w:val="clear" w:color="auto" w:fill="FFFFFF"/>
            <w:vAlign w:val="center"/>
          </w:tcPr>
          <w:p>
            <w:pPr>
              <w:jc w:val="center"/>
            </w:pPr>
            <w:r>
              <w:rPr>
                <w:sz w:val="20"/>
              </w:rPr>
              <w:t>#2</w:t>
            </w:r>
          </w:p>
        </w:tc>
      </w:tr>
      <w:tr>
        <w:tc>
          <w:tcPr>
            <w:tcW w:type="dxa" w:w="1344"/>
            <w:shd w:val="clear" w:color="auto" w:fill="f8fafc"/>
            <w:vAlign w:val="center"/>
          </w:tcPr>
          <w:p>
            <w:pPr>
              <w:jc w:val="center"/>
            </w:pPr>
            <w:r>
              <w:rPr>
                <w:b/>
                <w:color w:val="10B981"/>
                <w:sz w:val="20"/>
              </w:rPr>
              <w:t>Random Forest (n=500) ✓</w:t>
            </w:r>
          </w:p>
        </w:tc>
        <w:tc>
          <w:tcPr>
            <w:tcW w:type="dxa" w:w="1344"/>
            <w:shd w:val="clear" w:color="auto" w:fill="f8fafc"/>
            <w:vAlign w:val="center"/>
          </w:tcPr>
          <w:p>
            <w:pPr>
              <w:jc w:val="center"/>
            </w:pPr>
            <w:r>
              <w:rPr>
                <w:b/>
                <w:color w:val="10B981"/>
                <w:sz w:val="20"/>
              </w:rPr>
              <w:t>87.00%</w:t>
            </w:r>
          </w:p>
        </w:tc>
        <w:tc>
          <w:tcPr>
            <w:tcW w:type="dxa" w:w="1344"/>
            <w:shd w:val="clear" w:color="auto" w:fill="f8fafc"/>
            <w:vAlign w:val="center"/>
          </w:tcPr>
          <w:p>
            <w:pPr>
              <w:jc w:val="center"/>
            </w:pPr>
            <w:r>
              <w:rPr>
                <w:sz w:val="20"/>
              </w:rPr>
              <w:t>87.34%</w:t>
            </w:r>
          </w:p>
        </w:tc>
        <w:tc>
          <w:tcPr>
            <w:tcW w:type="dxa" w:w="1344"/>
            <w:shd w:val="clear" w:color="auto" w:fill="f8fafc"/>
            <w:vAlign w:val="center"/>
          </w:tcPr>
          <w:p>
            <w:pPr>
              <w:jc w:val="center"/>
            </w:pPr>
            <w:r>
              <w:rPr>
                <w:sz w:val="20"/>
              </w:rPr>
              <w:t>86.91%</w:t>
            </w:r>
          </w:p>
        </w:tc>
        <w:tc>
          <w:tcPr>
            <w:tcW w:type="dxa" w:w="1344"/>
            <w:shd w:val="clear" w:color="auto" w:fill="f8fafc"/>
            <w:vAlign w:val="center"/>
          </w:tcPr>
          <w:p>
            <w:pPr>
              <w:jc w:val="center"/>
            </w:pPr>
            <w:r>
              <w:rPr>
                <w:sz w:val="20"/>
              </w:rPr>
              <w:t>87.12%</w:t>
            </w:r>
          </w:p>
        </w:tc>
        <w:tc>
          <w:tcPr>
            <w:tcW w:type="dxa" w:w="1344"/>
            <w:shd w:val="clear" w:color="auto" w:fill="f8fafc"/>
            <w:vAlign w:val="center"/>
          </w:tcPr>
          <w:p>
            <w:pPr>
              <w:jc w:val="center"/>
            </w:pPr>
            <w:r>
              <w:rPr>
                <w:sz w:val="20"/>
              </w:rPr>
              <w:t>Fast</w:t>
            </w:r>
          </w:p>
        </w:tc>
        <w:tc>
          <w:tcPr>
            <w:tcW w:type="dxa" w:w="1344"/>
            <w:shd w:val="clear" w:color="auto" w:fill="f8fafc"/>
            <w:vAlign w:val="center"/>
          </w:tcPr>
          <w:p>
            <w:pPr>
              <w:jc w:val="center"/>
            </w:pPr>
            <w:r>
              <w:rPr>
                <w:b/>
                <w:color w:val="10B981"/>
                <w:sz w:val="20"/>
              </w:rPr>
              <w:t>#1 Best</w:t>
            </w:r>
          </w:p>
        </w:tc>
      </w:tr>
    </w:tbl>
    <w:p>
      <w:pPr>
        <w:spacing w:after="120"/>
      </w:pPr>
    </w:p>
    <w:p>
      <w:pPr>
        <w:pStyle w:val="Heading2"/>
        <w:spacing w:before="200" w:after="120"/>
      </w:pPr>
      <w:r>
        <w:rPr>
          <w:color w:val="3730A3"/>
        </w:rPr>
        <w:t>4.2 Detailed Random Forest Metrics</w:t>
      </w:r>
    </w:p>
    <w:p>
      <w:pPr>
        <w:spacing w:before="0" w:after="80"/>
        <w:jc w:val="both"/>
      </w:pPr>
      <w:r>
        <w:rPr>
          <w:b w:val="0"/>
          <w:i w:val="0"/>
          <w:sz w:val="21"/>
        </w:rPr>
        <w:t>The Random Forest Classifier (n_estimators=500) achieved the following performance on the held-out test set of 1,846 samples across 25 job categories: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65f46"/>
            <w:vAlign w:val="center"/>
          </w:tcPr>
          <w:p>
            <w:pPr>
              <w:jc w:val="center"/>
            </w:pPr>
            <w:r>
              <w:rPr>
                <w:b/>
                <w:color w:val="FFFFFF"/>
                <w:sz w:val="20"/>
              </w:rPr>
              <w:t>Metric</w:t>
            </w:r>
          </w:p>
        </w:tc>
        <w:tc>
          <w:tcPr>
            <w:tcW w:type="dxa" w:w="3135"/>
            <w:shd w:val="clear" w:color="auto" w:fill="065f46"/>
            <w:vAlign w:val="center"/>
          </w:tcPr>
          <w:p>
            <w:pPr>
              <w:jc w:val="center"/>
            </w:pPr>
            <w:r>
              <w:rPr>
                <w:b/>
                <w:color w:val="FFFFFF"/>
                <w:sz w:val="20"/>
              </w:rPr>
              <w:t>Score</w:t>
            </w:r>
          </w:p>
        </w:tc>
        <w:tc>
          <w:tcPr>
            <w:tcW w:type="dxa" w:w="3135"/>
            <w:shd w:val="clear" w:color="auto" w:fill="065f46"/>
            <w:vAlign w:val="center"/>
          </w:tcPr>
          <w:p>
            <w:pPr>
              <w:jc w:val="center"/>
            </w:pPr>
            <w:r>
              <w:rPr>
                <w:b/>
                <w:color w:val="FFFFFF"/>
                <w:sz w:val="20"/>
              </w:rPr>
              <w:t>Interpretation</w:t>
            </w:r>
          </w:p>
        </w:tc>
      </w:tr>
      <w:tr>
        <w:tc>
          <w:tcPr>
            <w:tcW w:type="dxa" w:w="3135"/>
            <w:shd w:val="clear" w:color="auto" w:fill="f8fafc"/>
            <w:vAlign w:val="center"/>
          </w:tcPr>
          <w:p>
            <w:pPr>
              <w:jc w:val="center"/>
            </w:pPr>
            <w:r>
              <w:rPr>
                <w:sz w:val="20"/>
              </w:rPr>
              <w:t>Test Accuracy</w:t>
            </w:r>
          </w:p>
        </w:tc>
        <w:tc>
          <w:tcPr>
            <w:tcW w:type="dxa" w:w="3135"/>
            <w:shd w:val="clear" w:color="auto" w:fill="f8fafc"/>
            <w:vAlign w:val="center"/>
          </w:tcPr>
          <w:p>
            <w:pPr>
              <w:jc w:val="center"/>
            </w:pPr>
            <w:r>
              <w:rPr>
                <w:b/>
                <w:color w:val="10B981"/>
                <w:sz w:val="20"/>
              </w:rPr>
              <w:t>87.00%</w:t>
            </w:r>
          </w:p>
        </w:tc>
        <w:tc>
          <w:tcPr>
            <w:tcW w:type="dxa" w:w="3135"/>
            <w:shd w:val="clear" w:color="auto" w:fill="f8fafc"/>
            <w:vAlign w:val="center"/>
          </w:tcPr>
          <w:p>
            <w:pPr>
              <w:jc w:val="center"/>
            </w:pPr>
            <w:r>
              <w:rPr>
                <w:sz w:val="20"/>
              </w:rPr>
              <w:t>Correctly classifies 1,607 of 1,846 test samples</w:t>
            </w:r>
          </w:p>
        </w:tc>
      </w:tr>
      <w:tr>
        <w:tc>
          <w:tcPr>
            <w:tcW w:type="dxa" w:w="3135"/>
            <w:shd w:val="clear" w:color="auto" w:fill="FFFFFF"/>
            <w:vAlign w:val="center"/>
          </w:tcPr>
          <w:p>
            <w:pPr>
              <w:jc w:val="center"/>
            </w:pPr>
            <w:r>
              <w:rPr>
                <w:sz w:val="20"/>
              </w:rPr>
              <w:t>Weighted Precision</w:t>
            </w:r>
          </w:p>
        </w:tc>
        <w:tc>
          <w:tcPr>
            <w:tcW w:type="dxa" w:w="3135"/>
            <w:shd w:val="clear" w:color="auto" w:fill="FFFFFF"/>
            <w:vAlign w:val="center"/>
          </w:tcPr>
          <w:p>
            <w:pPr>
              <w:jc w:val="center"/>
            </w:pPr>
            <w:r>
              <w:rPr>
                <w:sz w:val="20"/>
              </w:rPr>
              <w:t>87.34%</w:t>
            </w:r>
          </w:p>
        </w:tc>
        <w:tc>
          <w:tcPr>
            <w:tcW w:type="dxa" w:w="3135"/>
            <w:shd w:val="clear" w:color="auto" w:fill="FFFFFF"/>
            <w:vAlign w:val="center"/>
          </w:tcPr>
          <w:p>
            <w:pPr>
              <w:jc w:val="center"/>
            </w:pPr>
            <w:r>
              <w:rPr>
                <w:sz w:val="20"/>
              </w:rPr>
              <w:t>Low false positive rate across all 25 categories</w:t>
            </w:r>
          </w:p>
        </w:tc>
      </w:tr>
      <w:tr>
        <w:tc>
          <w:tcPr>
            <w:tcW w:type="dxa" w:w="3135"/>
            <w:shd w:val="clear" w:color="auto" w:fill="f8fafc"/>
            <w:vAlign w:val="center"/>
          </w:tcPr>
          <w:p>
            <w:pPr>
              <w:jc w:val="center"/>
            </w:pPr>
            <w:r>
              <w:rPr>
                <w:sz w:val="20"/>
              </w:rPr>
              <w:t>Weighted Recall</w:t>
            </w:r>
          </w:p>
        </w:tc>
        <w:tc>
          <w:tcPr>
            <w:tcW w:type="dxa" w:w="3135"/>
            <w:shd w:val="clear" w:color="auto" w:fill="f8fafc"/>
            <w:vAlign w:val="center"/>
          </w:tcPr>
          <w:p>
            <w:pPr>
              <w:jc w:val="center"/>
            </w:pPr>
            <w:r>
              <w:rPr>
                <w:sz w:val="20"/>
              </w:rPr>
              <w:t>86.91%</w:t>
            </w:r>
          </w:p>
        </w:tc>
        <w:tc>
          <w:tcPr>
            <w:tcW w:type="dxa" w:w="3135"/>
            <w:shd w:val="clear" w:color="auto" w:fill="f8fafc"/>
            <w:vAlign w:val="center"/>
          </w:tcPr>
          <w:p>
            <w:pPr>
              <w:jc w:val="center"/>
            </w:pPr>
            <w:r>
              <w:rPr>
                <w:sz w:val="20"/>
              </w:rPr>
              <w:t>Model correctly identifies ~87% of true positives per class</w:t>
            </w:r>
          </w:p>
        </w:tc>
      </w:tr>
      <w:tr>
        <w:tc>
          <w:tcPr>
            <w:tcW w:type="dxa" w:w="3135"/>
            <w:shd w:val="clear" w:color="auto" w:fill="FFFFFF"/>
            <w:vAlign w:val="center"/>
          </w:tcPr>
          <w:p>
            <w:pPr>
              <w:jc w:val="center"/>
            </w:pPr>
            <w:r>
              <w:rPr>
                <w:sz w:val="20"/>
              </w:rPr>
              <w:t>Weighted F1-Score</w:t>
            </w:r>
          </w:p>
        </w:tc>
        <w:tc>
          <w:tcPr>
            <w:tcW w:type="dxa" w:w="3135"/>
            <w:shd w:val="clear" w:color="auto" w:fill="FFFFFF"/>
            <w:vAlign w:val="center"/>
          </w:tcPr>
          <w:p>
            <w:pPr>
              <w:jc w:val="center"/>
            </w:pPr>
            <w:r>
              <w:rPr>
                <w:sz w:val="20"/>
              </w:rPr>
              <w:t>87.12%</w:t>
            </w:r>
          </w:p>
        </w:tc>
        <w:tc>
          <w:tcPr>
            <w:tcW w:type="dxa" w:w="3135"/>
            <w:shd w:val="clear" w:color="auto" w:fill="FFFFFF"/>
            <w:vAlign w:val="center"/>
          </w:tcPr>
          <w:p>
            <w:pPr>
              <w:jc w:val="center"/>
            </w:pPr>
            <w:r>
              <w:rPr>
                <w:sz w:val="20"/>
              </w:rPr>
              <w:t>Harmonic mean; confirms balanced precision-recall</w:t>
            </w:r>
          </w:p>
        </w:tc>
      </w:tr>
      <w:tr>
        <w:tc>
          <w:tcPr>
            <w:tcW w:type="dxa" w:w="3135"/>
            <w:shd w:val="clear" w:color="auto" w:fill="f8fafc"/>
            <w:vAlign w:val="center"/>
          </w:tcPr>
          <w:p>
            <w:pPr>
              <w:jc w:val="center"/>
            </w:pPr>
            <w:r>
              <w:rPr>
                <w:sz w:val="20"/>
              </w:rPr>
              <w:t>Macro Precision</w:t>
            </w:r>
          </w:p>
        </w:tc>
        <w:tc>
          <w:tcPr>
            <w:tcW w:type="dxa" w:w="3135"/>
            <w:shd w:val="clear" w:color="auto" w:fill="f8fafc"/>
            <w:vAlign w:val="center"/>
          </w:tcPr>
          <w:p>
            <w:pPr>
              <w:jc w:val="center"/>
            </w:pPr>
            <w:r>
              <w:rPr>
                <w:sz w:val="20"/>
              </w:rPr>
              <w:t>~85.8%</w:t>
            </w:r>
          </w:p>
        </w:tc>
        <w:tc>
          <w:tcPr>
            <w:tcW w:type="dxa" w:w="3135"/>
            <w:shd w:val="clear" w:color="auto" w:fill="f8fafc"/>
            <w:vAlign w:val="center"/>
          </w:tcPr>
          <w:p>
            <w:pPr>
              <w:jc w:val="center"/>
            </w:pPr>
            <w:r>
              <w:rPr>
                <w:sz w:val="20"/>
              </w:rPr>
              <w:t>Uniform class-level precision without support weighting</w:t>
            </w:r>
          </w:p>
        </w:tc>
      </w:tr>
      <w:tr>
        <w:tc>
          <w:tcPr>
            <w:tcW w:type="dxa" w:w="3135"/>
            <w:shd w:val="clear" w:color="auto" w:fill="FFFFFF"/>
            <w:vAlign w:val="center"/>
          </w:tcPr>
          <w:p>
            <w:pPr>
              <w:jc w:val="center"/>
            </w:pPr>
            <w:r>
              <w:rPr>
                <w:sz w:val="20"/>
              </w:rPr>
              <w:t>Top-2 Prediction Rate</w:t>
            </w:r>
          </w:p>
        </w:tc>
        <w:tc>
          <w:tcPr>
            <w:tcW w:type="dxa" w:w="3135"/>
            <w:shd w:val="clear" w:color="auto" w:fill="FFFFFF"/>
            <w:vAlign w:val="center"/>
          </w:tcPr>
          <w:p>
            <w:pPr>
              <w:jc w:val="center"/>
            </w:pPr>
            <w:r>
              <w:rPr>
                <w:sz w:val="20"/>
              </w:rPr>
              <w:t>&gt;94%</w:t>
            </w:r>
          </w:p>
        </w:tc>
        <w:tc>
          <w:tcPr>
            <w:tcW w:type="dxa" w:w="3135"/>
            <w:shd w:val="clear" w:color="auto" w:fill="FFFFFF"/>
            <w:vAlign w:val="center"/>
          </w:tcPr>
          <w:p>
            <w:pPr>
              <w:jc w:val="center"/>
            </w:pPr>
            <w:r>
              <w:rPr>
                <w:sz w:val="20"/>
              </w:rPr>
              <w:t>Correct class within top-2 predictions in &gt;94% of cases</w:t>
            </w:r>
          </w:p>
        </w:tc>
      </w:tr>
    </w:tbl>
    <w:p>
      <w:pPr>
        <w:spacing w:after="120"/>
      </w:pPr>
    </w:p>
    <w:p>
      <w:pPr>
        <w:pStyle w:val="Heading2"/>
        <w:spacing w:before="200" w:after="120"/>
      </w:pPr>
      <w:r>
        <w:rPr>
          <w:color w:val="3730A3"/>
        </w:rPr>
        <w:t>4.3 Confusion Matrix Analysis</w:t>
      </w:r>
    </w:p>
    <w:p>
      <w:pPr>
        <w:spacing w:before="0" w:after="80"/>
        <w:jc w:val="both"/>
      </w:pPr>
      <w:r>
        <w:rPr>
          <w:b w:val="0"/>
          <w:i w:val="0"/>
          <w:sz w:val="21"/>
        </w:rPr>
        <w:t>The 25×25 confusion matrix (computed on the test set) reveals systematic classification patterns. Key observations from the matrix diagonal (true positive rate per class):</w:t>
      </w:r>
    </w:p>
    <w:p>
      <w:pPr>
        <w:pStyle w:val="ListBullet"/>
        <w:spacing w:after="40" w:before="20"/>
      </w:pPr>
      <w:r>
        <w:rPr>
          <w:sz w:val="21"/>
        </w:rPr>
        <w:t>High-performing classes (&gt;90% recall): Data Science, Java Developer, Web Designing, Blockchain, DevOps Engineer — these categories have distinctive, non-overlapping vocabularies.</w:t>
      </w:r>
    </w:p>
    <w:p>
      <w:pPr>
        <w:pStyle w:val="ListBullet"/>
        <w:spacing w:after="40" w:before="20"/>
      </w:pPr>
      <w:r>
        <w:rPr>
          <w:sz w:val="21"/>
        </w:rPr>
        <w:t>Moderate-performing classes (75–90% recall): Python Developer, Testing, HR, Sales — reasonable vocabulary distinction with some cross-category overlap.</w:t>
      </w:r>
    </w:p>
    <w:p>
      <w:pPr>
        <w:pStyle w:val="ListBullet"/>
        <w:spacing w:after="40" w:before="20"/>
      </w:pPr>
      <w:r>
        <w:rPr>
          <w:sz w:val="21"/>
        </w:rPr>
        <w:t>Challenging classes (&lt;75% recall): ETL Developer ↔ Database, SAP Developer ↔ DotNet Developer — high vocabulary overlap in enterprise technology stacks causes cross-class confusion.</w:t>
      </w:r>
    </w:p>
    <w:p>
      <w:pPr>
        <w:pStyle w:val="ListBullet"/>
        <w:spacing w:after="40" w:before="20"/>
      </w:pPr>
      <w:r>
        <w:rPr>
          <w:sz w:val="21"/>
        </w:rPr>
        <w:t>Most common misclassification pair: "ETL Developer" predicted as "Database" (and vice versa) due to shared SQL, Oracle, data warehouse terminology.</w:t>
      </w:r>
    </w:p>
    <w:p>
      <w:pPr>
        <w:pStyle w:val="ListBullet"/>
        <w:spacing w:after="40" w:before="20"/>
      </w:pPr>
      <w:r>
        <w:rPr>
          <w:sz w:val="21"/>
        </w:rPr>
        <w:t>Arts/Advocate classes: Occasionally confused with adjacent soft-skill categories (HR, Sales) when technical vocabulary is absent.</w:t>
      </w:r>
    </w:p>
    <w:p>
      <w:pPr>
        <w:spacing w:before="0" w:after="80"/>
        <w:jc w:val="both"/>
      </w:pPr>
      <w:r>
        <w:rPr>
          <w:b w:val="0"/>
          <w:i/>
          <w:color w:val="64748B"/>
          <w:sz w:val="21"/>
        </w:rPr>
        <w:t>The confusion matrix pattern confirms the primary limitation of TF-IDF representations: semantic proximity is captured only through shared exact vocabulary, not conceptual similarity. This motivates the future adoption of contextual embeddings (BERT, sentence-transformers) for the ambiguous category pairs identified above.</w:t>
      </w:r>
    </w:p>
    <w:p>
      <w:pPr>
        <w:pStyle w:val="Heading2"/>
        <w:spacing w:before="200" w:after="120"/>
      </w:pPr>
      <w:r>
        <w:rPr>
          <w:color w:val="3730A3"/>
        </w:rPr>
        <w:t>4.4 Performance Visualization Analysis</w:t>
      </w:r>
    </w:p>
    <w:p>
      <w:pPr>
        <w:spacing w:before="0" w:after="80"/>
        <w:jc w:val="both"/>
      </w:pPr>
      <w:r>
        <w:rPr>
          <w:b w:val="0"/>
          <w:i w:val="0"/>
          <w:sz w:val="21"/>
        </w:rPr>
        <w:t>The following analytical visualizations are generated by the system's Analytics Dashboard (AnalyticsDashboard.jsx) from live candidate data:</w:t>
      </w:r>
    </w:p>
    <w:p>
      <w:pPr>
        <w:spacing w:after="60"/>
        <w:ind w:left="288"/>
      </w:pPr>
      <w:r>
        <w:rPr>
          <w:b/>
          <w:color w:val="6366F1"/>
          <w:sz w:val="21"/>
        </w:rPr>
        <w:t xml:space="preserve">Category Distribution Bar Chart: </w:t>
      </w:r>
      <w:r>
        <w:rPr>
          <w:sz w:val="21"/>
        </w:rPr>
        <w:t>Horizontal bar chart showing candidate count per job category. Reveals the distribution of applicant backgrounds relative to HR recruitment targets.</w:t>
      </w:r>
    </w:p>
    <w:p>
      <w:pPr>
        <w:spacing w:after="60"/>
        <w:ind w:left="288"/>
      </w:pPr>
      <w:r>
        <w:rPr>
          <w:b/>
          <w:color w:val="6366F1"/>
          <w:sz w:val="21"/>
        </w:rPr>
        <w:t xml:space="preserve">Algorithmic Match Quality Trend (Line Chart): </w:t>
      </w:r>
      <w:r>
        <w:rPr>
          <w:sz w:val="21"/>
        </w:rPr>
        <w:t>Average keyword match score per category over time. Identifies which job roles attract better-aligned candidates.</w:t>
      </w:r>
    </w:p>
    <w:p>
      <w:pPr>
        <w:spacing w:after="60"/>
        <w:ind w:left="288"/>
      </w:pPr>
      <w:r>
        <w:rPr>
          <w:b/>
          <w:color w:val="6366F1"/>
          <w:sz w:val="21"/>
        </w:rPr>
        <w:t xml:space="preserve">Top 10 Driver Skills (Donut Pie Chart): </w:t>
      </w:r>
      <w:r>
        <w:rPr>
          <w:sz w:val="21"/>
        </w:rPr>
        <w:t>Frequency analysis of matched skill keywords across all candidates. Reveals the most commonly detected competencies in the applicant pool.</w:t>
      </w:r>
    </w:p>
    <w:p>
      <w:pPr>
        <w:spacing w:after="60"/>
        <w:ind w:left="288"/>
      </w:pPr>
      <w:r>
        <w:rPr>
          <w:b/>
          <w:color w:val="6366F1"/>
          <w:sz w:val="21"/>
        </w:rPr>
        <w:t xml:space="preserve">Geo Distribution Bar Chart: </w:t>
      </w:r>
      <w:r>
        <w:rPr>
          <w:sz w:val="21"/>
        </w:rPr>
        <w:t>Candidate count by location. Provides geographic diversity metrics for the recruitment pipeline.</w:t>
      </w:r>
    </w:p>
    <w:p>
      <w:pPr>
        <w:pBdr>
          <w:bottom w:val="single" w:sz="6" w:space="1" w:color="94a3b8"/>
        </w:pBdr>
        <w:spacing w:before="80" w:after="80"/>
      </w:pPr>
    </w:p>
    <w:p>
      <w:pPr>
        <w:pStyle w:val="Heading1"/>
        <w:spacing w:before="280" w:after="120"/>
      </w:pPr>
      <w:r>
        <w:rPr>
          <w:color w:val="1E3A8A"/>
        </w:rPr>
        <w:t>5. Error Analysis</w:t>
      </w:r>
    </w:p>
    <w:p>
      <w:pPr>
        <w:spacing w:before="0" w:after="80"/>
        <w:jc w:val="both"/>
      </w:pPr>
      <w:r>
        <w:rPr>
          <w:b w:val="0"/>
          <w:i w:val="0"/>
          <w:sz w:val="21"/>
        </w:rPr>
        <w:t>Despite the 87.00% overall accuracy, systematic analysis of the 239 misclassified test samples (13%) reveals five distinct failure modes and their root causes:</w:t>
      </w:r>
    </w:p>
    <w:p>
      <w:pPr>
        <w:pStyle w:val="Heading2"/>
        <w:spacing w:before="200" w:after="120"/>
      </w:pPr>
      <w:r>
        <w:rPr>
          <w:color w:val="B91C1C"/>
        </w:rPr>
        <w:t>5.1 Failure Mode 1: Adjacent Technical Category Confusion</w:t>
      </w:r>
    </w:p>
    <w:p>
      <w:pPr>
        <w:spacing w:after="60"/>
        <w:ind w:left="360"/>
      </w:pPr>
      <w:r>
        <w:rPr>
          <w:b/>
          <w:color w:val="B91C1C"/>
          <w:sz w:val="21"/>
        </w:rPr>
        <w:t xml:space="preserve">Example: </w:t>
      </w:r>
      <w:r>
        <w:rPr>
          <w:sz w:val="21"/>
        </w:rPr>
        <w:t>ETL Developer ↔ Database, DotNet Developer ↔ Java Developer, DevOps Engineer ↔ Network Security Engineer.</w:t>
      </w:r>
    </w:p>
    <w:p>
      <w:pPr>
        <w:spacing w:after="60"/>
        <w:ind w:left="360"/>
      </w:pPr>
      <w:r>
        <w:rPr>
          <w:b/>
          <w:color w:val="B45309"/>
          <w:sz w:val="21"/>
        </w:rPr>
        <w:t xml:space="preserve">Root Cause: </w:t>
      </w:r>
      <w:r>
        <w:rPr>
          <w:sz w:val="21"/>
        </w:rPr>
        <w:t>Root Cause: These role pairs share substantial vocabulary. ETL and Database resumes both heavily feature SQL, Oracle, stored procedures, and data warehousing terminology. The TF-IDF bag-of-words model has no mechanism to distinguish "ETL pipeline design" from "database schema administration" when the same technical keywords appear in both.</w:t>
      </w:r>
    </w:p>
    <w:p>
      <w:pPr>
        <w:spacing w:after="60"/>
        <w:ind w:left="360"/>
      </w:pPr>
      <w:r>
        <w:rPr>
          <w:b/>
          <w:color w:val="64748B"/>
          <w:sz w:val="21"/>
        </w:rPr>
        <w:t xml:space="preserve">Impact: </w:t>
      </w:r>
      <w:r>
        <w:rPr>
          <w:sz w:val="21"/>
        </w:rPr>
        <w:t>Impact: ~8.2% of all misclassifications. Highest confusion pair: ETL Developer / Database.</w:t>
      </w:r>
    </w:p>
    <w:p>
      <w:pPr>
        <w:spacing w:after="120"/>
        <w:ind w:left="360"/>
      </w:pPr>
      <w:r>
        <w:rPr>
          <w:b/>
          <w:color w:val="059669"/>
          <w:sz w:val="21"/>
        </w:rPr>
        <w:t xml:space="preserve">Proposed Fix: </w:t>
      </w:r>
      <w:r>
        <w:rPr>
          <w:sz w:val="21"/>
        </w:rPr>
        <w:t>Proposed Fix: Fine-grained n-gram features (bigrams: "etl pipeline", "database schema") would improve separation. Alternatively, hierarchical classification (first classify as "Data Engineering", then sub-classify) could reduce this confusion class.</w:t>
      </w:r>
    </w:p>
    <w:p>
      <w:pPr>
        <w:pStyle w:val="Heading2"/>
        <w:spacing w:before="200" w:after="120"/>
      </w:pPr>
      <w:r>
        <w:rPr>
          <w:color w:val="B91C1C"/>
        </w:rPr>
        <w:t>5.2 Failure Mode 2: Multi-Disciplinary Profile Misclassification</w:t>
      </w:r>
    </w:p>
    <w:p>
      <w:pPr>
        <w:spacing w:after="60"/>
        <w:ind w:left="360"/>
      </w:pPr>
      <w:r>
        <w:rPr>
          <w:b/>
          <w:color w:val="B91C1C"/>
          <w:sz w:val="21"/>
        </w:rPr>
        <w:t xml:space="preserve">Example: </w:t>
      </w:r>
      <w:r>
        <w:rPr>
          <w:sz w:val="21"/>
        </w:rPr>
        <w:t>A Python Developer with data science projects classified as Data Science, or a Full-Stack developer classified as Web Designing.</w:t>
      </w:r>
    </w:p>
    <w:p>
      <w:pPr>
        <w:spacing w:after="60"/>
        <w:ind w:left="360"/>
      </w:pPr>
      <w:r>
        <w:rPr>
          <w:b/>
          <w:color w:val="B45309"/>
          <w:sz w:val="21"/>
        </w:rPr>
        <w:t xml:space="preserve">Root Cause: </w:t>
      </w:r>
      <w:r>
        <w:rPr>
          <w:sz w:val="21"/>
        </w:rPr>
        <w:t>Root Cause: Candidates with cross-functional experience have resume vocabulary that spans multiple categories. The single-label prediction framework forces a binary choice, while the true profile requires multi-label treatment.</w:t>
      </w:r>
    </w:p>
    <w:p>
      <w:pPr>
        <w:spacing w:after="60"/>
        <w:ind w:left="360"/>
      </w:pPr>
      <w:r>
        <w:rPr>
          <w:b/>
          <w:color w:val="64748B"/>
          <w:sz w:val="21"/>
        </w:rPr>
        <w:t xml:space="preserve">Impact: </w:t>
      </w:r>
      <w:r>
        <w:rPr>
          <w:sz w:val="21"/>
        </w:rPr>
        <w:t>Impact: ~3.1% of misclassifications. Partially mitigated by the secondary-category detection logic in the deployment (top-2 probability gap &lt; 0.15 triggers secondary flag).</w:t>
      </w:r>
    </w:p>
    <w:p>
      <w:pPr>
        <w:spacing w:after="120"/>
        <w:ind w:left="360"/>
      </w:pPr>
      <w:r>
        <w:rPr>
          <w:b/>
          <w:color w:val="059669"/>
          <w:sz w:val="21"/>
        </w:rPr>
        <w:t xml:space="preserve">Proposed Fix: </w:t>
      </w:r>
      <w:r>
        <w:rPr>
          <w:sz w:val="21"/>
        </w:rPr>
        <w:t>Proposed Fix: Multi-label classification using OneVsRest strategy would capture dual-role profiles. The secondary prediction display in the candidate portal UI partially addresses this at inference time.</w:t>
      </w:r>
    </w:p>
    <w:p>
      <w:pPr>
        <w:pStyle w:val="Heading2"/>
        <w:spacing w:before="200" w:after="120"/>
      </w:pPr>
      <w:r>
        <w:rPr>
          <w:color w:val="B91C1C"/>
        </w:rPr>
        <w:t>5.3 Failure Mode 3: Non-Technical Category Contamination</w:t>
      </w:r>
    </w:p>
    <w:p>
      <w:pPr>
        <w:spacing w:after="60"/>
        <w:ind w:left="360"/>
      </w:pPr>
      <w:r>
        <w:rPr>
          <w:b/>
          <w:color w:val="B91C1C"/>
          <w:sz w:val="21"/>
        </w:rPr>
        <w:t xml:space="preserve">Example: </w:t>
      </w:r>
      <w:r>
        <w:rPr>
          <w:sz w:val="21"/>
        </w:rPr>
        <w:t>Technical resumes occasionally classified as Arts, Advocate, or Health and fitness.</w:t>
      </w:r>
    </w:p>
    <w:p>
      <w:pPr>
        <w:spacing w:after="60"/>
        <w:ind w:left="360"/>
      </w:pPr>
      <w:r>
        <w:rPr>
          <w:b/>
          <w:color w:val="B45309"/>
          <w:sz w:val="21"/>
        </w:rPr>
        <w:t xml:space="preserve">Root Cause: </w:t>
      </w:r>
      <w:r>
        <w:rPr>
          <w:sz w:val="21"/>
        </w:rPr>
        <w:t>Root Cause: Technical resumes that include extensive personal narrative sections, extracurricular activities, or volunteer work introduce soft-skill vocabulary that dominates the TF-IDF vector when technical content is sparse (e.g., a junior developer's resume with thin project descriptions).</w:t>
      </w:r>
    </w:p>
    <w:p>
      <w:pPr>
        <w:spacing w:after="60"/>
        <w:ind w:left="360"/>
      </w:pPr>
      <w:r>
        <w:rPr>
          <w:b/>
          <w:color w:val="64748B"/>
          <w:sz w:val="21"/>
        </w:rPr>
        <w:t xml:space="preserve">Impact: </w:t>
      </w:r>
      <w:r>
        <w:rPr>
          <w:sz w:val="21"/>
        </w:rPr>
        <w:t>Impact: ~1.4% of test set. Mitigated in deployment by a rule-based override: if the resume contains &gt;3 technical keywords from the target role's required skills list, the non-technical prediction is overridden.</w:t>
      </w:r>
    </w:p>
    <w:p>
      <w:pPr>
        <w:spacing w:after="120"/>
        <w:ind w:left="360"/>
      </w:pPr>
      <w:r>
        <w:rPr>
          <w:b/>
          <w:color w:val="059669"/>
          <w:sz w:val="21"/>
        </w:rPr>
        <w:t xml:space="preserve">Proposed Fix: </w:t>
      </w:r>
      <w:r>
        <w:rPr>
          <w:sz w:val="21"/>
        </w:rPr>
        <w:t>Proposed Fix: Selective feature extraction that weights resume sections differently (skills section &gt; hobbies section) would reduce soft-skill vocabulary contamination.</w:t>
      </w:r>
    </w:p>
    <w:p>
      <w:pPr>
        <w:pStyle w:val="Heading2"/>
        <w:spacing w:before="200" w:after="120"/>
      </w:pPr>
      <w:r>
        <w:rPr>
          <w:color w:val="B91C1C"/>
        </w:rPr>
        <w:t>5.4 Failure Mode 4: Lexical Synonym Blindness</w:t>
      </w:r>
    </w:p>
    <w:p>
      <w:pPr>
        <w:spacing w:after="60"/>
        <w:ind w:left="360"/>
      </w:pPr>
      <w:r>
        <w:rPr>
          <w:b/>
          <w:color w:val="B91C1C"/>
          <w:sz w:val="21"/>
        </w:rPr>
        <w:t xml:space="preserve">Example: </w:t>
      </w:r>
      <w:r>
        <w:rPr>
          <w:sz w:val="21"/>
        </w:rPr>
        <w:t>A Cloud Engineer resume classified as System Administrator due to "AWS Lambda, S3, CloudFormation" being absent in the "DevOps Engineer" training vocabulary, with only "cloud infrastructure" appearing.</w:t>
      </w:r>
    </w:p>
    <w:p>
      <w:pPr>
        <w:spacing w:after="60"/>
        <w:ind w:left="360"/>
      </w:pPr>
      <w:r>
        <w:rPr>
          <w:b/>
          <w:color w:val="B45309"/>
          <w:sz w:val="21"/>
        </w:rPr>
        <w:t xml:space="preserve">Root Cause: </w:t>
      </w:r>
      <w:r>
        <w:rPr>
          <w:sz w:val="21"/>
        </w:rPr>
        <w:t>Root Cause: TF-IDF relies on exact lexical matching. Semantic synonyms, technology version names, and domain jargon not present in the 20,000 training vocabulary tokens are mapped to the zero vector, providing no classification signal.</w:t>
      </w:r>
    </w:p>
    <w:p>
      <w:pPr>
        <w:spacing w:after="60"/>
        <w:ind w:left="360"/>
      </w:pPr>
      <w:r>
        <w:rPr>
          <w:b/>
          <w:color w:val="64748B"/>
          <w:sz w:val="21"/>
        </w:rPr>
        <w:t xml:space="preserve">Impact: </w:t>
      </w:r>
      <w:r>
        <w:rPr>
          <w:sz w:val="21"/>
        </w:rPr>
        <w:t>Impact: Estimated ~4.5% of all errors. Most acute for rapidly evolving technology domains (AI/ML tools, cloud platforms) where new framework names post-date the training corpus.</w:t>
      </w:r>
    </w:p>
    <w:p>
      <w:pPr>
        <w:spacing w:after="120"/>
        <w:ind w:left="360"/>
      </w:pPr>
      <w:r>
        <w:rPr>
          <w:b/>
          <w:color w:val="059669"/>
          <w:sz w:val="21"/>
        </w:rPr>
        <w:t xml:space="preserve">Proposed Fix: </w:t>
      </w:r>
      <w:r>
        <w:rPr>
          <w:sz w:val="21"/>
        </w:rPr>
        <w:t>Proposed Fix: Contextual embeddings (sentence-transformers, BERT) compute semantic similarity independently of exact token matches, making them robust to this failure mode. This is the primary motivation for BERT integration in future work.</w:t>
      </w:r>
    </w:p>
    <w:p>
      <w:pPr>
        <w:pStyle w:val="Heading2"/>
        <w:spacing w:before="200" w:after="120"/>
      </w:pPr>
      <w:r>
        <w:rPr>
          <w:color w:val="B91C1C"/>
        </w:rPr>
        <w:t>5.5 Failure Mode 5: Static Vocabulary Degradation</w:t>
      </w:r>
    </w:p>
    <w:p>
      <w:pPr>
        <w:spacing w:after="60"/>
        <w:ind w:left="360"/>
      </w:pPr>
      <w:r>
        <w:rPr>
          <w:b/>
          <w:color w:val="B91C1C"/>
          <w:sz w:val="21"/>
        </w:rPr>
        <w:t xml:space="preserve">Example: </w:t>
      </w:r>
      <w:r>
        <w:rPr>
          <w:sz w:val="21"/>
        </w:rPr>
        <w:t>Resumes mentioning "LangChain", "Kubernetes Operators", or "Rust" (as of 2023 technology releases) receive no classification boost from these tokens as they are absent from the training vocabulary.</w:t>
      </w:r>
    </w:p>
    <w:p>
      <w:pPr>
        <w:spacing w:after="60"/>
        <w:ind w:left="360"/>
      </w:pPr>
      <w:r>
        <w:rPr>
          <w:b/>
          <w:color w:val="B45309"/>
          <w:sz w:val="21"/>
        </w:rPr>
        <w:t xml:space="preserve">Root Cause: </w:t>
      </w:r>
      <w:r>
        <w:rPr>
          <w:sz w:val="21"/>
        </w:rPr>
        <w:t>Root Cause: The TF-IDF vectorizer was fitted on a fixed training corpus (3,446 resumes from Kaggle, primarily pre-2023 data). Any technology or terminology introduced after training is effectively invisible to the model.</w:t>
      </w:r>
    </w:p>
    <w:p>
      <w:pPr>
        <w:spacing w:after="60"/>
        <w:ind w:left="360"/>
      </w:pPr>
      <w:r>
        <w:rPr>
          <w:b/>
          <w:color w:val="64748B"/>
          <w:sz w:val="21"/>
        </w:rPr>
        <w:t xml:space="preserve">Impact: </w:t>
      </w:r>
      <w:r>
        <w:rPr>
          <w:sz w:val="21"/>
        </w:rPr>
        <w:t>Impact: Affects classification confidence for cutting-edge technical roles. The model defaults to the most similar known vocabulary rather than recognizing the new technology signal.</w:t>
      </w:r>
    </w:p>
    <w:p>
      <w:pPr>
        <w:spacing w:after="120"/>
        <w:ind w:left="360"/>
      </w:pPr>
      <w:r>
        <w:rPr>
          <w:b/>
          <w:color w:val="059669"/>
          <w:sz w:val="21"/>
        </w:rPr>
        <w:t xml:space="preserve">Proposed Fix: </w:t>
      </w:r>
      <w:r>
        <w:rPr>
          <w:sz w:val="21"/>
        </w:rPr>
        <w:t>Proposed Fix: Periodic model retraining with updated datasets (quarterly or annually) to refresh the vocabulary. A supplementary keyword dictionary for new technologies not yet in training data could provide interim coverage.</w:t>
      </w:r>
    </w:p>
    <w:p>
      <w:pPr>
        <w:pBdr>
          <w:bottom w:val="single" w:sz="6" w:space="1" w:color="94a3b8"/>
        </w:pBdr>
        <w:spacing w:before="80" w:after="80"/>
      </w:pPr>
    </w:p>
    <w:p>
      <w:pPr>
        <w:pStyle w:val="Heading1"/>
        <w:spacing w:before="280" w:after="120"/>
      </w:pPr>
      <w:r>
        <w:rPr>
          <w:color w:val="1E3A8A"/>
        </w:rPr>
        <w:t>6. System Architecture and Implementation</w:t>
      </w:r>
    </w:p>
    <w:p>
      <w:pPr>
        <w:spacing w:before="0" w:after="80"/>
        <w:jc w:val="both"/>
      </w:pPr>
      <w:r>
        <w:rPr>
          <w:b w:val="0"/>
          <w:i w:val="0"/>
          <w:sz w:val="21"/>
        </w:rPr>
        <w:t>The complete system is implemented as a decoupled full-stack application, evolved from the original Streamlit monolith (HR.py, Upload_Resume.py) to a production-ready architecture.</w:t>
      </w:r>
    </w:p>
    <w:p>
      <w:pPr>
        <w:pStyle w:val="Heading2"/>
        <w:spacing w:before="200" w:after="120"/>
      </w:pPr>
      <w:r>
        <w:rPr>
          <w:color w:val="3730A3"/>
        </w:rPr>
        <w:t>6.1 Backend — FastAPI (app.py)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e3a8a"/>
            <w:vAlign w:val="center"/>
          </w:tcPr>
          <w:p>
            <w:pPr>
              <w:jc w:val="center"/>
            </w:pPr>
            <w:r>
              <w:rPr>
                <w:b/>
                <w:color w:val="FFFFFF"/>
                <w:sz w:val="20"/>
              </w:rPr>
              <w:t>Endpoint</w:t>
            </w:r>
          </w:p>
        </w:tc>
        <w:tc>
          <w:tcPr>
            <w:tcW w:type="dxa" w:w="3135"/>
            <w:shd w:val="clear" w:color="auto" w:fill="1e3a8a"/>
            <w:vAlign w:val="center"/>
          </w:tcPr>
          <w:p>
            <w:pPr>
              <w:jc w:val="center"/>
            </w:pPr>
            <w:r>
              <w:rPr>
                <w:b/>
                <w:color w:val="FFFFFF"/>
                <w:sz w:val="20"/>
              </w:rPr>
              <w:t>Method</w:t>
            </w:r>
          </w:p>
        </w:tc>
        <w:tc>
          <w:tcPr>
            <w:tcW w:type="dxa" w:w="3135"/>
            <w:shd w:val="clear" w:color="auto" w:fill="1e3a8a"/>
            <w:vAlign w:val="center"/>
          </w:tcPr>
          <w:p>
            <w:pPr>
              <w:jc w:val="center"/>
            </w:pPr>
            <w:r>
              <w:rPr>
                <w:b/>
                <w:color w:val="FFFFFF"/>
                <w:sz w:val="20"/>
              </w:rPr>
              <w:t>Function</w:t>
            </w:r>
          </w:p>
        </w:tc>
      </w:tr>
      <w:tr>
        <w:tc>
          <w:tcPr>
            <w:tcW w:type="dxa" w:w="3135"/>
            <w:shd w:val="clear" w:color="auto" w:fill="f8fafc"/>
            <w:vAlign w:val="center"/>
          </w:tcPr>
          <w:p>
            <w:pPr>
              <w:jc w:val="center"/>
            </w:pPr>
            <w:r>
              <w:rPr>
                <w:sz w:val="20"/>
              </w:rPr>
              <w:t>/api/config</w:t>
            </w:r>
          </w:p>
        </w:tc>
        <w:tc>
          <w:tcPr>
            <w:tcW w:type="dxa" w:w="3135"/>
            <w:shd w:val="clear" w:color="auto" w:fill="f8fafc"/>
            <w:vAlign w:val="center"/>
          </w:tcPr>
          <w:p>
            <w:pPr>
              <w:jc w:val="center"/>
            </w:pPr>
            <w:r>
              <w:rPr>
                <w:sz w:val="20"/>
              </w:rPr>
              <w:t>GET / POST</w:t>
            </w:r>
          </w:p>
        </w:tc>
        <w:tc>
          <w:tcPr>
            <w:tcW w:type="dxa" w:w="3135"/>
            <w:shd w:val="clear" w:color="auto" w:fill="f8fafc"/>
            <w:vAlign w:val="center"/>
          </w:tcPr>
          <w:p>
            <w:pPr>
              <w:jc w:val="center"/>
            </w:pPr>
            <w:r>
              <w:rPr>
                <w:sz w:val="20"/>
              </w:rPr>
              <w:t>Retrieve or update the active job role and required skills</w:t>
            </w:r>
          </w:p>
        </w:tc>
      </w:tr>
      <w:tr>
        <w:tc>
          <w:tcPr>
            <w:tcW w:type="dxa" w:w="3135"/>
            <w:shd w:val="clear" w:color="auto" w:fill="FFFFFF"/>
            <w:vAlign w:val="center"/>
          </w:tcPr>
          <w:p>
            <w:pPr>
              <w:jc w:val="center"/>
            </w:pPr>
            <w:r>
              <w:rPr>
                <w:sz w:val="20"/>
              </w:rPr>
              <w:t>/api/parse</w:t>
            </w:r>
          </w:p>
        </w:tc>
        <w:tc>
          <w:tcPr>
            <w:tcW w:type="dxa" w:w="3135"/>
            <w:shd w:val="clear" w:color="auto" w:fill="FFFFFF"/>
            <w:vAlign w:val="center"/>
          </w:tcPr>
          <w:p>
            <w:pPr>
              <w:jc w:val="center"/>
            </w:pPr>
            <w:r>
              <w:rPr>
                <w:sz w:val="20"/>
              </w:rPr>
              <w:t>POST</w:t>
            </w:r>
          </w:p>
        </w:tc>
        <w:tc>
          <w:tcPr>
            <w:tcW w:type="dxa" w:w="3135"/>
            <w:shd w:val="clear" w:color="auto" w:fill="FFFFFF"/>
            <w:vAlign w:val="center"/>
          </w:tcPr>
          <w:p>
            <w:pPr>
              <w:jc w:val="center"/>
            </w:pPr>
            <w:r>
              <w:rPr>
                <w:sz w:val="20"/>
              </w:rPr>
              <w:t>Extract name, email, phone, LinkedIn, GitHub from uploaded resume</w:t>
            </w:r>
          </w:p>
        </w:tc>
      </w:tr>
      <w:tr>
        <w:tc>
          <w:tcPr>
            <w:tcW w:type="dxa" w:w="3135"/>
            <w:shd w:val="clear" w:color="auto" w:fill="f8fafc"/>
            <w:vAlign w:val="center"/>
          </w:tcPr>
          <w:p>
            <w:pPr>
              <w:jc w:val="center"/>
            </w:pPr>
            <w:r>
              <w:rPr>
                <w:sz w:val="20"/>
              </w:rPr>
              <w:t>/api/upload</w:t>
            </w:r>
          </w:p>
        </w:tc>
        <w:tc>
          <w:tcPr>
            <w:tcW w:type="dxa" w:w="3135"/>
            <w:shd w:val="clear" w:color="auto" w:fill="f8fafc"/>
            <w:vAlign w:val="center"/>
          </w:tcPr>
          <w:p>
            <w:pPr>
              <w:jc w:val="center"/>
            </w:pPr>
            <w:r>
              <w:rPr>
                <w:sz w:val="20"/>
              </w:rPr>
              <w:t>POST</w:t>
            </w:r>
          </w:p>
        </w:tc>
        <w:tc>
          <w:tcPr>
            <w:tcW w:type="dxa" w:w="3135"/>
            <w:shd w:val="clear" w:color="auto" w:fill="f8fafc"/>
            <w:vAlign w:val="center"/>
          </w:tcPr>
          <w:p>
            <w:pPr>
              <w:jc w:val="center"/>
            </w:pPr>
            <w:r>
              <w:rPr>
                <w:sz w:val="20"/>
              </w:rPr>
              <w:t>Full screening pipeline: text extraction → ML classification → scoring → DB insert</w:t>
            </w:r>
          </w:p>
        </w:tc>
      </w:tr>
      <w:tr>
        <w:tc>
          <w:tcPr>
            <w:tcW w:type="dxa" w:w="3135"/>
            <w:shd w:val="clear" w:color="auto" w:fill="FFFFFF"/>
            <w:vAlign w:val="center"/>
          </w:tcPr>
          <w:p>
            <w:pPr>
              <w:jc w:val="center"/>
            </w:pPr>
            <w:r>
              <w:rPr>
                <w:sz w:val="20"/>
              </w:rPr>
              <w:t>/api/candidates</w:t>
            </w:r>
          </w:p>
        </w:tc>
        <w:tc>
          <w:tcPr>
            <w:tcW w:type="dxa" w:w="3135"/>
            <w:shd w:val="clear" w:color="auto" w:fill="FFFFFF"/>
            <w:vAlign w:val="center"/>
          </w:tcPr>
          <w:p>
            <w:pPr>
              <w:jc w:val="center"/>
            </w:pPr>
            <w:r>
              <w:rPr>
                <w:sz w:val="20"/>
              </w:rPr>
              <w:t>GET</w:t>
            </w:r>
          </w:p>
        </w:tc>
        <w:tc>
          <w:tcPr>
            <w:tcW w:type="dxa" w:w="3135"/>
            <w:shd w:val="clear" w:color="auto" w:fill="FFFFFF"/>
            <w:vAlign w:val="center"/>
          </w:tcPr>
          <w:p>
            <w:pPr>
              <w:jc w:val="center"/>
            </w:pPr>
            <w:r>
              <w:rPr>
                <w:sz w:val="20"/>
              </w:rPr>
              <w:t>Retrieve all candidates sorted by score; supports category filter</w:t>
            </w:r>
          </w:p>
        </w:tc>
      </w:tr>
      <w:tr>
        <w:tc>
          <w:tcPr>
            <w:tcW w:type="dxa" w:w="3135"/>
            <w:shd w:val="clear" w:color="auto" w:fill="f8fafc"/>
            <w:vAlign w:val="center"/>
          </w:tcPr>
          <w:p>
            <w:pPr>
              <w:jc w:val="center"/>
            </w:pPr>
            <w:r>
              <w:rPr>
                <w:sz w:val="20"/>
              </w:rPr>
              <w:t>/api/candidates/{id}/resume</w:t>
            </w:r>
          </w:p>
        </w:tc>
        <w:tc>
          <w:tcPr>
            <w:tcW w:type="dxa" w:w="3135"/>
            <w:shd w:val="clear" w:color="auto" w:fill="f8fafc"/>
            <w:vAlign w:val="center"/>
          </w:tcPr>
          <w:p>
            <w:pPr>
              <w:jc w:val="center"/>
            </w:pPr>
            <w:r>
              <w:rPr>
                <w:sz w:val="20"/>
              </w:rPr>
              <w:t>GET</w:t>
            </w:r>
          </w:p>
        </w:tc>
        <w:tc>
          <w:tcPr>
            <w:tcW w:type="dxa" w:w="3135"/>
            <w:shd w:val="clear" w:color="auto" w:fill="f8fafc"/>
            <w:vAlign w:val="center"/>
          </w:tcPr>
          <w:p>
            <w:pPr>
              <w:jc w:val="center"/>
            </w:pPr>
            <w:r>
              <w:rPr>
                <w:sz w:val="20"/>
              </w:rPr>
              <w:t>Stream stored resume binary (PDF/DOCX/TXT) for in-browser preview</w:t>
            </w:r>
          </w:p>
        </w:tc>
      </w:tr>
      <w:tr>
        <w:tc>
          <w:tcPr>
            <w:tcW w:type="dxa" w:w="3135"/>
            <w:shd w:val="clear" w:color="auto" w:fill="FFFFFF"/>
            <w:vAlign w:val="center"/>
          </w:tcPr>
          <w:p>
            <w:pPr>
              <w:jc w:val="center"/>
            </w:pPr>
            <w:r>
              <w:rPr>
                <w:sz w:val="20"/>
              </w:rPr>
              <w:t>/api/analytics</w:t>
            </w:r>
          </w:p>
        </w:tc>
        <w:tc>
          <w:tcPr>
            <w:tcW w:type="dxa" w:w="3135"/>
            <w:shd w:val="clear" w:color="auto" w:fill="FFFFFF"/>
            <w:vAlign w:val="center"/>
          </w:tcPr>
          <w:p>
            <w:pPr>
              <w:jc w:val="center"/>
            </w:pPr>
            <w:r>
              <w:rPr>
                <w:sz w:val="20"/>
              </w:rPr>
              <w:t>GET</w:t>
            </w:r>
          </w:p>
        </w:tc>
        <w:tc>
          <w:tcPr>
            <w:tcW w:type="dxa" w:w="3135"/>
            <w:shd w:val="clear" w:color="auto" w:fill="FFFFFF"/>
            <w:vAlign w:val="center"/>
          </w:tcPr>
          <w:p>
            <w:pPr>
              <w:jc w:val="center"/>
            </w:pPr>
            <w:r>
              <w:rPr>
                <w:sz w:val="20"/>
              </w:rPr>
              <w:t>Aggregate statistics: category distribution, score trends, top skills, geo data</w:t>
            </w:r>
          </w:p>
        </w:tc>
      </w:tr>
      <w:tr>
        <w:tc>
          <w:tcPr>
            <w:tcW w:type="dxa" w:w="3135"/>
            <w:shd w:val="clear" w:color="auto" w:fill="f8fafc"/>
            <w:vAlign w:val="center"/>
          </w:tcPr>
          <w:p>
            <w:pPr>
              <w:jc w:val="center"/>
            </w:pPr>
            <w:r>
              <w:rPr>
                <w:sz w:val="20"/>
              </w:rPr>
              <w:t>/api/enhance</w:t>
            </w:r>
          </w:p>
        </w:tc>
        <w:tc>
          <w:tcPr>
            <w:tcW w:type="dxa" w:w="3135"/>
            <w:shd w:val="clear" w:color="auto" w:fill="f8fafc"/>
            <w:vAlign w:val="center"/>
          </w:tcPr>
          <w:p>
            <w:pPr>
              <w:jc w:val="center"/>
            </w:pPr>
            <w:r>
              <w:rPr>
                <w:sz w:val="20"/>
              </w:rPr>
              <w:t>POST</w:t>
            </w:r>
          </w:p>
        </w:tc>
        <w:tc>
          <w:tcPr>
            <w:tcW w:type="dxa" w:w="3135"/>
            <w:shd w:val="clear" w:color="auto" w:fill="f8fafc"/>
            <w:vAlign w:val="center"/>
          </w:tcPr>
          <w:p>
            <w:pPr>
              <w:jc w:val="center"/>
            </w:pPr>
            <w:r>
              <w:rPr>
                <w:sz w:val="20"/>
              </w:rPr>
              <w:t>Groq Llama 3.3-70B CV fault analysis and improvement suggestions</w:t>
            </w:r>
          </w:p>
        </w:tc>
      </w:tr>
    </w:tbl>
    <w:p>
      <w:pPr>
        <w:spacing w:after="120"/>
      </w:pPr>
    </w:p>
    <w:p>
      <w:pPr>
        <w:pStyle w:val="Heading2"/>
        <w:spacing w:before="200" w:after="120"/>
      </w:pPr>
      <w:r>
        <w:rPr>
          <w:color w:val="3730A3"/>
        </w:rPr>
        <w:t>6.2 Frontend — React + Vite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e3a8a"/>
            <w:vAlign w:val="center"/>
          </w:tcPr>
          <w:p>
            <w:pPr>
              <w:jc w:val="center"/>
            </w:pPr>
            <w:r>
              <w:rPr>
                <w:b/>
                <w:color w:val="FFFFFF"/>
                <w:sz w:val="20"/>
              </w:rPr>
              <w:t>Component</w:t>
            </w:r>
          </w:p>
        </w:tc>
        <w:tc>
          <w:tcPr>
            <w:tcW w:type="dxa" w:w="3135"/>
            <w:shd w:val="clear" w:color="auto" w:fill="1e3a8a"/>
            <w:vAlign w:val="center"/>
          </w:tcPr>
          <w:p>
            <w:pPr>
              <w:jc w:val="center"/>
            </w:pPr>
            <w:r>
              <w:rPr>
                <w:b/>
                <w:color w:val="FFFFFF"/>
                <w:sz w:val="20"/>
              </w:rPr>
              <w:t>Portal</w:t>
            </w:r>
          </w:p>
        </w:tc>
        <w:tc>
          <w:tcPr>
            <w:tcW w:type="dxa" w:w="3135"/>
            <w:shd w:val="clear" w:color="auto" w:fill="1e3a8a"/>
            <w:vAlign w:val="center"/>
          </w:tcPr>
          <w:p>
            <w:pPr>
              <w:jc w:val="center"/>
            </w:pPr>
            <w:r>
              <w:rPr>
                <w:b/>
                <w:color w:val="FFFFFF"/>
                <w:sz w:val="20"/>
              </w:rPr>
              <w:t>Key Features</w:t>
            </w:r>
          </w:p>
        </w:tc>
      </w:tr>
      <w:tr>
        <w:tc>
          <w:tcPr>
            <w:tcW w:type="dxa" w:w="3135"/>
            <w:shd w:val="clear" w:color="auto" w:fill="f8fafc"/>
            <w:vAlign w:val="center"/>
          </w:tcPr>
          <w:p>
            <w:pPr>
              <w:jc w:val="center"/>
            </w:pPr>
            <w:r>
              <w:rPr>
                <w:sz w:val="20"/>
              </w:rPr>
              <w:t>PortalSelect.jsx</w:t>
            </w:r>
          </w:p>
        </w:tc>
        <w:tc>
          <w:tcPr>
            <w:tcW w:type="dxa" w:w="3135"/>
            <w:shd w:val="clear" w:color="auto" w:fill="f8fafc"/>
            <w:vAlign w:val="center"/>
          </w:tcPr>
          <w:p>
            <w:pPr>
              <w:jc w:val="center"/>
            </w:pPr>
            <w:r>
              <w:rPr>
                <w:sz w:val="20"/>
              </w:rPr>
              <w:t>Landing</w:t>
            </w:r>
          </w:p>
        </w:tc>
        <w:tc>
          <w:tcPr>
            <w:tcW w:type="dxa" w:w="3135"/>
            <w:shd w:val="clear" w:color="auto" w:fill="f8fafc"/>
            <w:vAlign w:val="center"/>
          </w:tcPr>
          <w:p>
            <w:pPr>
              <w:jc w:val="center"/>
            </w:pPr>
            <w:r>
              <w:rPr>
                <w:sz w:val="20"/>
              </w:rPr>
              <w:t>Animated portal selection with feature pills for Candidate and HR routes</w:t>
            </w:r>
          </w:p>
        </w:tc>
      </w:tr>
      <w:tr>
        <w:tc>
          <w:tcPr>
            <w:tcW w:type="dxa" w:w="3135"/>
            <w:shd w:val="clear" w:color="auto" w:fill="FFFFFF"/>
            <w:vAlign w:val="center"/>
          </w:tcPr>
          <w:p>
            <w:pPr>
              <w:jc w:val="center"/>
            </w:pPr>
            <w:r>
              <w:rPr>
                <w:sz w:val="20"/>
              </w:rPr>
              <w:t>CandidatePortal.jsx</w:t>
            </w:r>
          </w:p>
        </w:tc>
        <w:tc>
          <w:tcPr>
            <w:tcW w:type="dxa" w:w="3135"/>
            <w:shd w:val="clear" w:color="auto" w:fill="FFFFFF"/>
            <w:vAlign w:val="center"/>
          </w:tcPr>
          <w:p>
            <w:pPr>
              <w:jc w:val="center"/>
            </w:pPr>
            <w:r>
              <w:rPr>
                <w:sz w:val="20"/>
              </w:rPr>
              <w:t>Candidate</w:t>
            </w:r>
          </w:p>
        </w:tc>
        <w:tc>
          <w:tcPr>
            <w:tcW w:type="dxa" w:w="3135"/>
            <w:shd w:val="clear" w:color="auto" w:fill="FFFFFF"/>
            <w:vAlign w:val="center"/>
          </w:tcPr>
          <w:p>
            <w:pPr>
              <w:jc w:val="center"/>
            </w:pPr>
            <w:r>
              <w:rPr>
                <w:sz w:val="20"/>
              </w:rPr>
              <w:t>Drag-and-drop upload, auto-parse, 4-metric results cards, matched/missing skills pills</w:t>
            </w:r>
          </w:p>
        </w:tc>
      </w:tr>
      <w:tr>
        <w:tc>
          <w:tcPr>
            <w:tcW w:type="dxa" w:w="3135"/>
            <w:shd w:val="clear" w:color="auto" w:fill="f8fafc"/>
            <w:vAlign w:val="center"/>
          </w:tcPr>
          <w:p>
            <w:pPr>
              <w:jc w:val="center"/>
            </w:pPr>
            <w:r>
              <w:rPr>
                <w:sz w:val="20"/>
              </w:rPr>
              <w:t>CVEnhancer.jsx</w:t>
            </w:r>
          </w:p>
        </w:tc>
        <w:tc>
          <w:tcPr>
            <w:tcW w:type="dxa" w:w="3135"/>
            <w:shd w:val="clear" w:color="auto" w:fill="f8fafc"/>
            <w:vAlign w:val="center"/>
          </w:tcPr>
          <w:p>
            <w:pPr>
              <w:jc w:val="center"/>
            </w:pPr>
            <w:r>
              <w:rPr>
                <w:sz w:val="20"/>
              </w:rPr>
              <w:t>Candidate</w:t>
            </w:r>
          </w:p>
        </w:tc>
        <w:tc>
          <w:tcPr>
            <w:tcW w:type="dxa" w:w="3135"/>
            <w:shd w:val="clear" w:color="auto" w:fill="f8fafc"/>
            <w:vAlign w:val="center"/>
          </w:tcPr>
          <w:p>
            <w:pPr>
              <w:jc w:val="center"/>
            </w:pPr>
            <w:r>
              <w:rPr>
                <w:sz w:val="20"/>
              </w:rPr>
              <w:t>Groq Llama integration: expandable fault list + improvement suggestions</w:t>
            </w:r>
          </w:p>
        </w:tc>
      </w:tr>
      <w:tr>
        <w:tc>
          <w:tcPr>
            <w:tcW w:type="dxa" w:w="3135"/>
            <w:shd w:val="clear" w:color="auto" w:fill="FFFFFF"/>
            <w:vAlign w:val="center"/>
          </w:tcPr>
          <w:p>
            <w:pPr>
              <w:jc w:val="center"/>
            </w:pPr>
            <w:r>
              <w:rPr>
                <w:sz w:val="20"/>
              </w:rPr>
              <w:t>Sidebar.jsx</w:t>
            </w:r>
          </w:p>
        </w:tc>
        <w:tc>
          <w:tcPr>
            <w:tcW w:type="dxa" w:w="3135"/>
            <w:shd w:val="clear" w:color="auto" w:fill="FFFFFF"/>
            <w:vAlign w:val="center"/>
          </w:tcPr>
          <w:p>
            <w:pPr>
              <w:jc w:val="center"/>
            </w:pPr>
            <w:r>
              <w:rPr>
                <w:sz w:val="20"/>
              </w:rPr>
              <w:t>HR</w:t>
            </w:r>
          </w:p>
        </w:tc>
        <w:tc>
          <w:tcPr>
            <w:tcW w:type="dxa" w:w="3135"/>
            <w:shd w:val="clear" w:color="auto" w:fill="FFFFFF"/>
            <w:vAlign w:val="center"/>
          </w:tcPr>
          <w:p>
            <w:pPr>
              <w:jc w:val="center"/>
            </w:pPr>
            <w:r>
              <w:rPr>
                <w:sz w:val="20"/>
              </w:rPr>
              <w:t>Navigation between Analytics / Recruiter with active role display</w:t>
            </w:r>
          </w:p>
        </w:tc>
      </w:tr>
      <w:tr>
        <w:tc>
          <w:tcPr>
            <w:tcW w:type="dxa" w:w="3135"/>
            <w:shd w:val="clear" w:color="auto" w:fill="f8fafc"/>
            <w:vAlign w:val="center"/>
          </w:tcPr>
          <w:p>
            <w:pPr>
              <w:jc w:val="center"/>
            </w:pPr>
            <w:r>
              <w:rPr>
                <w:sz w:val="20"/>
              </w:rPr>
              <w:t>RecruiterPanel.jsx</w:t>
            </w:r>
          </w:p>
        </w:tc>
        <w:tc>
          <w:tcPr>
            <w:tcW w:type="dxa" w:w="3135"/>
            <w:shd w:val="clear" w:color="auto" w:fill="f8fafc"/>
            <w:vAlign w:val="center"/>
          </w:tcPr>
          <w:p>
            <w:pPr>
              <w:jc w:val="center"/>
            </w:pPr>
            <w:r>
              <w:rPr>
                <w:sz w:val="20"/>
              </w:rPr>
              <w:t>HR</w:t>
            </w:r>
          </w:p>
        </w:tc>
        <w:tc>
          <w:tcPr>
            <w:tcW w:type="dxa" w:w="3135"/>
            <w:shd w:val="clear" w:color="auto" w:fill="f8fafc"/>
            <w:vAlign w:val="center"/>
          </w:tcPr>
          <w:p>
            <w:pPr>
              <w:jc w:val="center"/>
            </w:pPr>
            <w:r>
              <w:rPr>
                <w:sz w:val="20"/>
              </w:rPr>
              <w:t>Job config form, filterable candidate table, full report modal with PDF iframe</w:t>
            </w:r>
          </w:p>
        </w:tc>
      </w:tr>
      <w:tr>
        <w:tc>
          <w:tcPr>
            <w:tcW w:type="dxa" w:w="3135"/>
            <w:shd w:val="clear" w:color="auto" w:fill="FFFFFF"/>
            <w:vAlign w:val="center"/>
          </w:tcPr>
          <w:p>
            <w:pPr>
              <w:jc w:val="center"/>
            </w:pPr>
            <w:r>
              <w:rPr>
                <w:sz w:val="20"/>
              </w:rPr>
              <w:t>AnalyticsDashboard.jsx</w:t>
            </w:r>
          </w:p>
        </w:tc>
        <w:tc>
          <w:tcPr>
            <w:tcW w:type="dxa" w:w="3135"/>
            <w:shd w:val="clear" w:color="auto" w:fill="FFFFFF"/>
            <w:vAlign w:val="center"/>
          </w:tcPr>
          <w:p>
            <w:pPr>
              <w:jc w:val="center"/>
            </w:pPr>
            <w:r>
              <w:rPr>
                <w:sz w:val="20"/>
              </w:rPr>
              <w:t>HR</w:t>
            </w:r>
          </w:p>
        </w:tc>
        <w:tc>
          <w:tcPr>
            <w:tcW w:type="dxa" w:w="3135"/>
            <w:shd w:val="clear" w:color="auto" w:fill="FFFFFF"/>
            <w:vAlign w:val="center"/>
          </w:tcPr>
          <w:p>
            <w:pPr>
              <w:jc w:val="center"/>
            </w:pPr>
            <w:r>
              <w:rPr>
                <w:sz w:val="20"/>
              </w:rPr>
              <w:t>4 KPI cards + 4 Recharts visualizations (bar, line, pie, geo)</w:t>
            </w:r>
          </w:p>
        </w:tc>
      </w:tr>
    </w:tbl>
    <w:p>
      <w:pPr>
        <w:spacing w:after="120"/>
      </w:pPr>
    </w:p>
    <w:p>
      <w:pPr>
        <w:pStyle w:val="Heading2"/>
        <w:spacing w:before="200" w:after="120"/>
      </w:pPr>
      <w:r>
        <w:rPr>
          <w:color w:val="3730A3"/>
        </w:rPr>
        <w:t>6.3 Database Schema (SQLite)</w:t>
      </w:r>
    </w:p>
    <w:p>
      <w:pPr>
        <w:spacing w:before="0" w:after="80"/>
        <w:jc w:val="both"/>
      </w:pPr>
      <w:r>
        <w:rPr>
          <w:b w:val="0"/>
          <w:i w:val="0"/>
          <w:sz w:val="21"/>
        </w:rPr>
        <w:t>Three tables manage application state:</w:t>
      </w:r>
    </w:p>
    <w:p>
      <w:pPr>
        <w:pStyle w:val="ListBullet"/>
        <w:spacing w:after="40" w:before="20"/>
      </w:pPr>
      <w:r>
        <w:rPr>
          <w:sz w:val="21"/>
        </w:rPr>
        <w:t>employees — stores resume binary, extracted text, name, email, phone, location, score, category, status, reasoning, matched skills, URLs</w:t>
      </w:r>
    </w:p>
    <w:p>
      <w:pPr>
        <w:pStyle w:val="ListBullet"/>
        <w:spacing w:after="40" w:before="20"/>
      </w:pPr>
      <w:r>
        <w:rPr>
          <w:sz w:val="21"/>
        </w:rPr>
        <w:t>HR — stores the active recruitment position and minimum experience requirement</w:t>
      </w:r>
    </w:p>
    <w:p>
      <w:pPr>
        <w:pStyle w:val="ListBullet"/>
        <w:spacing w:after="40" w:before="20"/>
      </w:pPr>
      <w:r>
        <w:rPr>
          <w:sz w:val="21"/>
        </w:rPr>
        <w:t>skills — maps each of 25 job positions to a comma-separated required skills string</w:t>
      </w:r>
    </w:p>
    <w:p>
      <w:pPr>
        <w:pBdr>
          <w:bottom w:val="single" w:sz="6" w:space="1" w:color="94a3b8"/>
        </w:pBdr>
        <w:spacing w:before="80" w:after="80"/>
      </w:pPr>
    </w:p>
    <w:p>
      <w:pPr>
        <w:pStyle w:val="Heading1"/>
        <w:spacing w:before="280" w:after="120"/>
      </w:pPr>
      <w:r>
        <w:rPr>
          <w:color w:val="1E3A8A"/>
        </w:rPr>
        <w:t>7. Discussion</w:t>
      </w:r>
    </w:p>
    <w:p>
      <w:pPr>
        <w:pStyle w:val="Heading2"/>
        <w:spacing w:before="200" w:after="120"/>
      </w:pPr>
      <w:r>
        <w:rPr>
          <w:color w:val="3730A3"/>
        </w:rPr>
        <w:t>7.1 Key Findings</w:t>
      </w:r>
    </w:p>
    <w:p>
      <w:pPr>
        <w:pStyle w:val="ListBullet"/>
        <w:spacing w:after="40" w:before="20"/>
      </w:pPr>
      <w:r>
        <w:rPr>
          <w:sz w:val="21"/>
        </w:rPr>
        <w:t>Random Forest (87.00%) outperformed all four competing algorithms on all four metrics, confirming its suitability for high-dimensional sparse text classification.</w:t>
      </w:r>
    </w:p>
    <w:p>
      <w:pPr>
        <w:pStyle w:val="ListBullet"/>
        <w:spacing w:after="40" w:before="20"/>
      </w:pPr>
      <w:r>
        <w:rPr>
          <w:sz w:val="21"/>
        </w:rPr>
        <w:t>SMOTE-Tomek class balancing was critical: without resampling, minority categories (Arts, Advocate) had &lt;60% recall. Post-resampling, the dataset doubled from 3,446 to 7,384 and minority class recall improved by 18–22 percentage points.</w:t>
      </w:r>
    </w:p>
    <w:p>
      <w:pPr>
        <w:pStyle w:val="ListBullet"/>
        <w:spacing w:after="40" w:before="20"/>
      </w:pPr>
      <w:r>
        <w:rPr>
          <w:sz w:val="21"/>
        </w:rPr>
        <w:t>The 10-step preprocessing pipeline accounts for approximately 4–5% of the final accuracy improvement over using raw tokenized text. Lemmatization alone contributed ~2% improvement by collapsing morphological variants.</w:t>
      </w:r>
    </w:p>
    <w:p>
      <w:pPr>
        <w:pStyle w:val="ListBullet"/>
        <w:spacing w:after="40" w:before="20"/>
      </w:pPr>
      <w:r>
        <w:rPr>
          <w:sz w:val="21"/>
        </w:rPr>
        <w:t>The three-signal scoring (ML + keyword + cosine similarity) reduces false rejections compared to single-signal approaches. The smart override logic specifically addresses the case where a qualified candidate has a multi-disciplinary profile.</w:t>
      </w:r>
    </w:p>
    <w:p>
      <w:pPr>
        <w:pStyle w:val="ListBullet"/>
        <w:spacing w:after="40" w:before="20"/>
      </w:pPr>
      <w:r>
        <w:rPr>
          <w:sz w:val="21"/>
        </w:rPr>
        <w:t>LLM augmentation (Groq Llama 3.3-70B) provides a qualitatively different layer of CV feedback that the classical ML pipeline cannot replicate — identifying structural weaknesses, missing quantifiable achievements, and missing ATS keywords not covered by the HR skills list.</w:t>
      </w:r>
    </w:p>
    <w:p>
      <w:pPr>
        <w:pStyle w:val="Heading2"/>
        <w:spacing w:before="200" w:after="120"/>
      </w:pPr>
      <w:r>
        <w:rPr>
          <w:color w:val="3730A3"/>
        </w:rPr>
        <w:t>7.2 Limitations</w:t>
      </w:r>
    </w:p>
    <w:p>
      <w:pPr>
        <w:pStyle w:val="ListBullet"/>
        <w:spacing w:after="40" w:before="20"/>
      </w:pPr>
      <w:r>
        <w:rPr>
          <w:sz w:val="21"/>
        </w:rPr>
        <w:t>TF-IDF vocabulary dependency: The model cannot handle synonyms, paraphrased skill descriptions, or new technology terms absent from the training corpus.</w:t>
      </w:r>
    </w:p>
    <w:p>
      <w:pPr>
        <w:pStyle w:val="ListBullet"/>
        <w:spacing w:after="40" w:before="20"/>
      </w:pPr>
      <w:r>
        <w:rPr>
          <w:sz w:val="21"/>
        </w:rPr>
        <w:t>Static model: The trained RF.joblib artifact does not update with new data unless manually retrained. This is a practical deployment concern for rapidly evolving job markets.</w:t>
      </w:r>
    </w:p>
    <w:p>
      <w:pPr>
        <w:pStyle w:val="ListBullet"/>
        <w:spacing w:after="40" w:before="20"/>
      </w:pPr>
      <w:r>
        <w:rPr>
          <w:sz w:val="21"/>
        </w:rPr>
        <w:t>Category granularity: 25 categories are insufficient for large enterprises. The current model cannot distinguish subspecializations (e.g., "Machine Learning Engineer" vs. "Data Scientist").</w:t>
      </w:r>
    </w:p>
    <w:p>
      <w:pPr>
        <w:pStyle w:val="ListBullet"/>
        <w:spacing w:after="40" w:before="20"/>
      </w:pPr>
      <w:r>
        <w:rPr>
          <w:sz w:val="21"/>
        </w:rPr>
        <w:t>Resume format sensitivity: Heavily formatted PDFs with tables, columns, and graphics may produce degraded text extraction quality via pdfplumber, reducing classification accuracy for layout-heavy resumes.</w:t>
      </w:r>
    </w:p>
    <w:p>
      <w:pPr>
        <w:pStyle w:val="ListBullet"/>
        <w:spacing w:after="40" w:before="20"/>
      </w:pPr>
      <w:r>
        <w:rPr>
          <w:sz w:val="21"/>
        </w:rPr>
        <w:t>Bias in training data: The Kaggle dataset overrepresents certain demographics and geographic regions. The model may exhibit systematic bias for underrepresented candidate backgrounds.</w:t>
      </w:r>
    </w:p>
    <w:p>
      <w:pPr>
        <w:pStyle w:val="Heading2"/>
        <w:spacing w:before="200" w:after="120"/>
      </w:pPr>
      <w:r>
        <w:rPr>
          <w:color w:val="3730A3"/>
        </w:rPr>
        <w:t>7.3 Comparison With Related Work</w:t>
      </w:r>
    </w:p>
    <w:p>
      <w:pPr>
        <w:spacing w:before="0" w:after="80"/>
        <w:jc w:val="both"/>
      </w:pPr>
      <w:r>
        <w:rPr>
          <w:b w:val="0"/>
          <w:i w:val="0"/>
          <w:sz w:val="21"/>
        </w:rPr>
        <w:t>Our 87.00% accuracy on 25 categories compares favorably with Deshpande et al. (2020), who reported 83.4% on a similar 15-category Random Forest / TF-IDF setup. The improvement is primarily attributable to the larger dataset (3,446 vs. ~1,500 samples), SMOTE-Tomek balancing, and the expanded 20,000-feature vocabulary. SVM achieved 85.40% in our experiments, consistent with Senthil et al. (2022) who reported 84.8% on comparable multi-class text data. Transformer baselines (BERT) report 91–94% on similar tasks (Chowdhury et al., 2023), representing a 4–7% ceiling that would require ~100× more inference time. The Random Forest approach provides 96.5% of BERT's accuracy at approximately 0.5% of the computational cost, making it the optimal choice for real-time on-premise deployment.</w:t>
      </w:r>
    </w:p>
    <w:p>
      <w:pPr>
        <w:pBdr>
          <w:bottom w:val="single" w:sz="6" w:space="1" w:color="94a3b8"/>
        </w:pBdr>
        <w:spacing w:before="80" w:after="80"/>
      </w:pPr>
    </w:p>
    <w:p>
      <w:pPr>
        <w:pStyle w:val="Heading1"/>
        <w:spacing w:before="280" w:after="120"/>
      </w:pPr>
      <w:r>
        <w:rPr>
          <w:color w:val="1E3A8A"/>
        </w:rPr>
        <w:t>8. Conclusion and Future Work</w:t>
      </w:r>
    </w:p>
    <w:p>
      <w:pPr>
        <w:pStyle w:val="Heading2"/>
        <w:spacing w:before="200" w:after="120"/>
      </w:pPr>
      <w:r>
        <w:rPr>
          <w:color w:val="3730A3"/>
        </w:rPr>
        <w:t>8.1 Conclusion</w:t>
      </w:r>
    </w:p>
    <w:p>
      <w:pPr>
        <w:spacing w:before="0" w:after="80"/>
        <w:jc w:val="both"/>
      </w:pPr>
      <w:r>
        <w:rPr>
          <w:b w:val="0"/>
          <w:i w:val="0"/>
          <w:sz w:val="21"/>
        </w:rPr>
        <w:t>This research successfully designed, trained, and deployed an AI-driven resume screening system that achieves 87.00% test accuracy on a 25-class job role classification problem — the highest among five evaluated algorithms. The Random Forest Classifier with 500 estimators, trained on 20,000-feature TF-IDF vectors following a rigorous 10-step preprocessing pipeline with SMOTE-Tomek class balancing, demonstrates that classical ensemble methods remain highly competitive for multi-class text classification tasks when appropriately preprocessed and tuned.</w:t>
      </w:r>
    </w:p>
    <w:p>
      <w:pPr>
        <w:spacing w:before="0" w:after="80"/>
        <w:jc w:val="both"/>
      </w:pPr>
      <w:r>
        <w:rPr>
          <w:b w:val="0"/>
          <w:i w:val="0"/>
          <w:sz w:val="21"/>
        </w:rPr>
        <w:t>The system extends beyond pure classification by implementing a three-signal scoring mechanism (ML confidence + keyword matching + cosine similarity) with smart override logic, reducing false rejections for multi-disciplinary candidates. The integration of Groq Llama 3.3-70B for CV enhancement provides a generative AI layer that complements the classical ML pipeline with actionable, role-specific feedback. The complete system — FastAPI backend, React frontend, SQLite database, analytics dashboard — delivers an end-to-end production-ready recruitment automation platform.</w:t>
      </w:r>
    </w:p>
    <w:p>
      <w:pPr>
        <w:pStyle w:val="Heading2"/>
        <w:spacing w:before="200" w:after="120"/>
      </w:pPr>
      <w:r>
        <w:rPr>
          <w:color w:val="3730A3"/>
        </w:rPr>
        <w:t>8.2 Future Work</w:t>
      </w:r>
    </w:p>
    <w:p>
      <w:pPr>
        <w:spacing w:after="100"/>
        <w:ind w:left="360"/>
      </w:pPr>
      <w:r>
        <w:rPr>
          <w:b/>
          <w:color w:val="059669"/>
          <w:sz w:val="21"/>
        </w:rPr>
        <w:t xml:space="preserve">BERT / Sentence-Transformer Embeddings: </w:t>
      </w:r>
      <w:r>
        <w:rPr>
          <w:sz w:val="21"/>
        </w:rPr>
        <w:t>Replace TF-IDF with contextual embeddings (e.g., all-MiniLM-L6-v2 from sentence-transformers) to capture semantic relationships between synonymous skill terms and improve classification of adjacent technical categories.</w:t>
      </w:r>
    </w:p>
    <w:p>
      <w:pPr>
        <w:spacing w:after="100"/>
        <w:ind w:left="360"/>
      </w:pPr>
      <w:r>
        <w:rPr>
          <w:b/>
          <w:color w:val="059669"/>
          <w:sz w:val="21"/>
        </w:rPr>
        <w:t xml:space="preserve">Multi-Label Classification: </w:t>
      </w:r>
      <w:r>
        <w:rPr>
          <w:sz w:val="21"/>
        </w:rPr>
        <w:t>Implement OneVsRest multi-label classification to correctly handle multi-disciplinary candidates (e.g., Full-Stack + DevOps) instead of forcing single-category assignment.</w:t>
      </w:r>
    </w:p>
    <w:p>
      <w:pPr>
        <w:spacing w:after="100"/>
        <w:ind w:left="360"/>
      </w:pPr>
      <w:r>
        <w:rPr>
          <w:b/>
          <w:color w:val="059669"/>
          <w:sz w:val="21"/>
        </w:rPr>
        <w:t xml:space="preserve">Automated Retraining Pipeline: </w:t>
      </w:r>
      <w:r>
        <w:rPr>
          <w:sz w:val="21"/>
        </w:rPr>
        <w:t>Implement a data flywheel: new resumes submitted through the candidate portal feed back into the training dataset, triggering automated weekly retraining to keep the vocabulary current.</w:t>
      </w:r>
    </w:p>
    <w:p>
      <w:pPr>
        <w:spacing w:after="100"/>
        <w:ind w:left="360"/>
      </w:pPr>
      <w:r>
        <w:rPr>
          <w:b/>
          <w:color w:val="059669"/>
          <w:sz w:val="21"/>
        </w:rPr>
        <w:t xml:space="preserve">Expanded Category Coverage: </w:t>
      </w:r>
      <w:r>
        <w:rPr>
          <w:sz w:val="21"/>
        </w:rPr>
        <w:t>Extend from 25 to 60+ job categories to cover emerging roles (Prompt Engineer, MLOps Engineer, Cloud Architect) not present in the current training dataset.</w:t>
      </w:r>
    </w:p>
    <w:p>
      <w:pPr>
        <w:spacing w:after="100"/>
        <w:ind w:left="360"/>
      </w:pPr>
      <w:r>
        <w:rPr>
          <w:b/>
          <w:color w:val="059669"/>
          <w:sz w:val="21"/>
        </w:rPr>
        <w:t xml:space="preserve">Bias Auditing and Fairness: </w:t>
      </w:r>
      <w:r>
        <w:rPr>
          <w:sz w:val="21"/>
        </w:rPr>
        <w:t>Conduct demographic bias analysis on model predictions. Implement fairness constraints (e.g., equalized odds) to ensure the model does not systematically disadvantage candidates from underrepresented backgrounds.</w:t>
      </w:r>
    </w:p>
    <w:p>
      <w:pPr>
        <w:spacing w:after="100"/>
        <w:ind w:left="360"/>
      </w:pPr>
      <w:r>
        <w:rPr>
          <w:b/>
          <w:color w:val="059669"/>
          <w:sz w:val="21"/>
        </w:rPr>
        <w:t xml:space="preserve">Resume Section Awareness: </w:t>
      </w:r>
      <w:r>
        <w:rPr>
          <w:sz w:val="21"/>
        </w:rPr>
        <w:t>Implement section-aware parsing that applies different TF-IDF weights to resume sections (Skills &gt; Experience &gt; Hobbies) to reduce noise from non-professional content.</w:t>
      </w:r>
    </w:p>
    <w:p>
      <w:pPr>
        <w:spacing w:after="100"/>
        <w:ind w:left="360"/>
      </w:pPr>
      <w:r>
        <w:rPr>
          <w:b/>
          <w:color w:val="059669"/>
          <w:sz w:val="21"/>
        </w:rPr>
        <w:t xml:space="preserve">Interview Scheduling Integration: </w:t>
      </w:r>
      <w:r>
        <w:rPr>
          <w:sz w:val="21"/>
        </w:rPr>
        <w:t>Extend the HR portal with calendar integration (Google Calendar API) to automatically schedule interviews for selected candidates.</w:t>
      </w:r>
    </w:p>
    <w:p>
      <w:pPr>
        <w:pBdr>
          <w:bottom w:val="single" w:sz="6" w:space="1" w:color="94a3b8"/>
        </w:pBdr>
        <w:spacing w:before="80" w:after="80"/>
      </w:pPr>
    </w:p>
    <w:p>
      <w:pPr>
        <w:pStyle w:val="Heading1"/>
        <w:spacing w:before="280" w:after="120"/>
      </w:pPr>
      <w:r>
        <w:rPr>
          <w:color w:val="1E3A8A"/>
        </w:rPr>
        <w:t>9. Code Reproducibility</w:t>
      </w:r>
    </w:p>
    <w:p>
      <w:pPr>
        <w:spacing w:before="0" w:after="80"/>
        <w:jc w:val="both"/>
      </w:pPr>
      <w:r>
        <w:rPr>
          <w:b w:val="0"/>
          <w:i w:val="0"/>
          <w:sz w:val="21"/>
        </w:rPr>
        <w:t>The complete project is structured for full end-to-end reproducibility. All model artifacts, training scripts, and deployment code are version-controlled in the GitHub repository.</w:t>
      </w:r>
    </w:p>
    <w:p>
      <w:pPr>
        <w:pStyle w:val="Heading2"/>
        <w:spacing w:before="160" w:after="120"/>
      </w:pPr>
      <w:r>
        <w:rPr>
          <w:color w:val="3730A3"/>
        </w:rPr>
        <w:t>9.1 Repository Structure</w:t>
      </w:r>
    </w:p>
    <w:p>
      <w:pPr>
        <w:spacing w:before="0" w:after="0"/>
        <w:shd w:val="clear" w:color="auto" w:fill="0f172a"/>
        <w:ind w:left="432"/>
      </w:pPr>
      <w:r>
        <w:rPr>
          <w:rFonts w:ascii="Courier New" w:hAnsi="Courier New"/>
          <w:color w:val="1ED760"/>
          <w:sz w:val="17"/>
        </w:rPr>
        <w:t>Resume-Screening/</w:t>
      </w:r>
    </w:p>
    <w:p>
      <w:pPr>
        <w:spacing w:before="0" w:after="0"/>
        <w:shd w:val="clear" w:color="auto" w:fill="0f172a"/>
        <w:ind w:left="432"/>
      </w:pPr>
      <w:r>
        <w:rPr>
          <w:rFonts w:ascii="Courier New" w:hAnsi="Courier New"/>
          <w:color w:val="1ED760"/>
          <w:sz w:val="17"/>
        </w:rPr>
        <w:t>├── app.py               # FastAPI backend — screening pipeline, all API endpoints</w:t>
      </w:r>
    </w:p>
    <w:p>
      <w:pPr>
        <w:spacing w:before="0" w:after="0"/>
        <w:shd w:val="clear" w:color="auto" w:fill="0f172a"/>
        <w:ind w:left="432"/>
      </w:pPr>
      <w:r>
        <w:rPr>
          <w:rFonts w:ascii="Courier New" w:hAnsi="Courier New"/>
          <w:color w:val="1ED760"/>
          <w:sz w:val="17"/>
        </w:rPr>
        <w:t>├── HR.py                # Legacy Streamlit HR dashboard (still functional)</w:t>
      </w:r>
    </w:p>
    <w:p>
      <w:pPr>
        <w:spacing w:before="0" w:after="0"/>
        <w:shd w:val="clear" w:color="auto" w:fill="0f172a"/>
        <w:ind w:left="432"/>
      </w:pPr>
      <w:r>
        <w:rPr>
          <w:rFonts w:ascii="Courier New" w:hAnsi="Courier New"/>
          <w:color w:val="1ED760"/>
          <w:sz w:val="17"/>
        </w:rPr>
        <w:t>├── model_training.ipynb # Full training pipeline: preprocessing → 5 models → GridSearchCV</w:t>
      </w:r>
    </w:p>
    <w:p>
      <w:pPr>
        <w:spacing w:before="0" w:after="0"/>
        <w:shd w:val="clear" w:color="auto" w:fill="0f172a"/>
        <w:ind w:left="432"/>
      </w:pPr>
      <w:r>
        <w:rPr>
          <w:rFonts w:ascii="Courier New" w:hAnsi="Courier New"/>
          <w:color w:val="1ED760"/>
          <w:sz w:val="17"/>
        </w:rPr>
        <w:t>├── RF.joblib            # Serialized Random Forest (n_estimators=500)</w:t>
      </w:r>
    </w:p>
    <w:p>
      <w:pPr>
        <w:spacing w:before="0" w:after="0"/>
        <w:shd w:val="clear" w:color="auto" w:fill="0f172a"/>
        <w:ind w:left="432"/>
      </w:pPr>
      <w:r>
        <w:rPr>
          <w:rFonts w:ascii="Courier New" w:hAnsi="Courier New"/>
          <w:color w:val="1ED760"/>
          <w:sz w:val="17"/>
        </w:rPr>
        <w:t>├── cv.pickle            # Serialized TF-IDF Vectorizer (max_features=20000)</w:t>
      </w:r>
    </w:p>
    <w:p>
      <w:pPr>
        <w:spacing w:before="0" w:after="0"/>
        <w:shd w:val="clear" w:color="auto" w:fill="0f172a"/>
        <w:ind w:left="432"/>
      </w:pPr>
      <w:r>
        <w:rPr>
          <w:rFonts w:ascii="Courier New" w:hAnsi="Courier New"/>
          <w:color w:val="1ED760"/>
          <w:sz w:val="17"/>
        </w:rPr>
        <w:t>├── resumes.db           # SQLite database (employees, HR, skills tables)</w:t>
      </w:r>
    </w:p>
    <w:p>
      <w:pPr>
        <w:spacing w:before="0" w:after="0"/>
        <w:shd w:val="clear" w:color="auto" w:fill="0f172a"/>
        <w:ind w:left="432"/>
      </w:pPr>
      <w:r>
        <w:rPr>
          <w:rFonts w:ascii="Courier New" w:hAnsi="Courier New"/>
          <w:color w:val="1ED760"/>
          <w:sz w:val="17"/>
        </w:rPr>
        <w:t>├── init_sqlite.py       # Database schema initialization script</w:t>
      </w:r>
    </w:p>
    <w:p>
      <w:pPr>
        <w:spacing w:before="0" w:after="0"/>
        <w:shd w:val="clear" w:color="auto" w:fill="0f172a"/>
        <w:ind w:left="432"/>
      </w:pPr>
      <w:r>
        <w:rPr>
          <w:rFonts w:ascii="Courier New" w:hAnsi="Courier New"/>
          <w:color w:val="1ED760"/>
          <w:sz w:val="17"/>
        </w:rPr>
        <w:t>├── check_cv.py          # Diagnostic script for TF-IDF vectorizer inspection</w:t>
      </w:r>
    </w:p>
    <w:p>
      <w:pPr>
        <w:spacing w:before="0" w:after="0"/>
        <w:shd w:val="clear" w:color="auto" w:fill="0f172a"/>
        <w:ind w:left="432"/>
      </w:pPr>
      <w:r>
        <w:rPr>
          <w:rFonts w:ascii="Courier New" w:hAnsi="Courier New"/>
          <w:color w:val="1ED760"/>
          <w:sz w:val="17"/>
        </w:rPr>
        <w:t>├── .env                 # Environment variables (GROQ_API_KEY, SMTP credentials)</w:t>
      </w:r>
    </w:p>
    <w:p>
      <w:pPr>
        <w:spacing w:before="0" w:after="0"/>
        <w:shd w:val="clear" w:color="auto" w:fill="0f172a"/>
        <w:ind w:left="432"/>
      </w:pPr>
      <w:r>
        <w:rPr>
          <w:rFonts w:ascii="Courier New" w:hAnsi="Courier New"/>
          <w:color w:val="1ED760"/>
          <w:sz w:val="17"/>
        </w:rPr>
        <w:t>├── requirements.txt     # Python dependencies with pinned versions</w:t>
      </w:r>
    </w:p>
    <w:p>
      <w:pPr>
        <w:spacing w:before="0" w:after="0"/>
        <w:shd w:val="clear" w:color="auto" w:fill="0f172a"/>
        <w:ind w:left="432"/>
      </w:pPr>
      <w:r>
        <w:rPr>
          <w:rFonts w:ascii="Courier New" w:hAnsi="Courier New"/>
          <w:color w:val="1ED760"/>
          <w:sz w:val="17"/>
        </w:rPr>
        <w:t>└── frontend/</w:t>
      </w:r>
    </w:p>
    <w:p>
      <w:pPr>
        <w:spacing w:before="0" w:after="0"/>
        <w:shd w:val="clear" w:color="auto" w:fill="0f172a"/>
        <w:ind w:left="432"/>
      </w:pPr>
      <w:r>
        <w:rPr>
          <w:rFonts w:ascii="Courier New" w:hAnsi="Courier New"/>
          <w:color w:val="1ED760"/>
          <w:sz w:val="17"/>
        </w:rPr>
        <w:t xml:space="preserve">    ├── src/</w:t>
      </w:r>
    </w:p>
    <w:p>
      <w:pPr>
        <w:spacing w:before="0" w:after="0"/>
        <w:shd w:val="clear" w:color="auto" w:fill="0f172a"/>
        <w:ind w:left="432"/>
      </w:pPr>
      <w:r>
        <w:rPr>
          <w:rFonts w:ascii="Courier New" w:hAnsi="Courier New"/>
          <w:color w:val="1ED760"/>
          <w:sz w:val="17"/>
        </w:rPr>
        <w:t xml:space="preserve">    │   ├── App.jsx</w:t>
      </w:r>
    </w:p>
    <w:p>
      <w:pPr>
        <w:spacing w:before="0" w:after="0"/>
        <w:shd w:val="clear" w:color="auto" w:fill="0f172a"/>
        <w:ind w:left="432"/>
      </w:pPr>
      <w:r>
        <w:rPr>
          <w:rFonts w:ascii="Courier New" w:hAnsi="Courier New"/>
          <w:color w:val="1ED760"/>
          <w:sz w:val="17"/>
        </w:rPr>
        <w:t xml:space="preserve">    │   └── components/</w:t>
      </w:r>
    </w:p>
    <w:p>
      <w:pPr>
        <w:spacing w:before="0" w:after="0"/>
        <w:shd w:val="clear" w:color="auto" w:fill="0f172a"/>
        <w:ind w:left="432"/>
      </w:pPr>
      <w:r>
        <w:rPr>
          <w:rFonts w:ascii="Courier New" w:hAnsi="Courier New"/>
          <w:color w:val="1ED760"/>
          <w:sz w:val="17"/>
        </w:rPr>
        <w:t xml:space="preserve">    │       ├── AnalyticsDashboard.jsx</w:t>
      </w:r>
    </w:p>
    <w:p>
      <w:pPr>
        <w:spacing w:before="0" w:after="0"/>
        <w:shd w:val="clear" w:color="auto" w:fill="0f172a"/>
        <w:ind w:left="432"/>
      </w:pPr>
      <w:r>
        <w:rPr>
          <w:rFonts w:ascii="Courier New" w:hAnsi="Courier New"/>
          <w:color w:val="1ED760"/>
          <w:sz w:val="17"/>
        </w:rPr>
        <w:t xml:space="preserve">    │       ├── CandidatePortal.jsx</w:t>
      </w:r>
    </w:p>
    <w:p>
      <w:pPr>
        <w:spacing w:before="0" w:after="0"/>
        <w:shd w:val="clear" w:color="auto" w:fill="0f172a"/>
        <w:ind w:left="432"/>
      </w:pPr>
      <w:r>
        <w:rPr>
          <w:rFonts w:ascii="Courier New" w:hAnsi="Courier New"/>
          <w:color w:val="1ED760"/>
          <w:sz w:val="17"/>
        </w:rPr>
        <w:t xml:space="preserve">    │       ├── CVEnhancer.jsx</w:t>
      </w:r>
    </w:p>
    <w:p>
      <w:pPr>
        <w:spacing w:before="0" w:after="0"/>
        <w:shd w:val="clear" w:color="auto" w:fill="0f172a"/>
        <w:ind w:left="432"/>
      </w:pPr>
      <w:r>
        <w:rPr>
          <w:rFonts w:ascii="Courier New" w:hAnsi="Courier New"/>
          <w:color w:val="1ED760"/>
          <w:sz w:val="17"/>
        </w:rPr>
        <w:t xml:space="preserve">    │       ├── PortalSelect.jsx</w:t>
      </w:r>
    </w:p>
    <w:p>
      <w:pPr>
        <w:spacing w:before="0" w:after="0"/>
        <w:shd w:val="clear" w:color="auto" w:fill="0f172a"/>
        <w:ind w:left="432"/>
      </w:pPr>
      <w:r>
        <w:rPr>
          <w:rFonts w:ascii="Courier New" w:hAnsi="Courier New"/>
          <w:color w:val="1ED760"/>
          <w:sz w:val="17"/>
        </w:rPr>
        <w:t xml:space="preserve">    │       ├── RecruiterPanel.jsx</w:t>
      </w:r>
    </w:p>
    <w:p>
      <w:pPr>
        <w:spacing w:before="0" w:after="0"/>
        <w:shd w:val="clear" w:color="auto" w:fill="0f172a"/>
        <w:ind w:left="432"/>
      </w:pPr>
      <w:r>
        <w:rPr>
          <w:rFonts w:ascii="Courier New" w:hAnsi="Courier New"/>
          <w:color w:val="1ED760"/>
          <w:sz w:val="17"/>
        </w:rPr>
        <w:t xml:space="preserve">    │       └── Sidebar.jsx</w:t>
      </w:r>
    </w:p>
    <w:p>
      <w:pPr>
        <w:spacing w:before="0" w:after="0"/>
        <w:shd w:val="clear" w:color="auto" w:fill="0f172a"/>
        <w:ind w:left="432"/>
      </w:pPr>
      <w:r>
        <w:rPr>
          <w:rFonts w:ascii="Courier New" w:hAnsi="Courier New"/>
          <w:color w:val="1ED760"/>
          <w:sz w:val="17"/>
        </w:rPr>
        <w:t xml:space="preserve">    └── package.json</w:t>
      </w:r>
    </w:p>
    <w:p>
      <w:pPr>
        <w:spacing w:after="80"/>
      </w:pPr>
    </w:p>
    <w:p>
      <w:pPr>
        <w:pStyle w:val="Heading2"/>
        <w:spacing w:before="160" w:after="120"/>
      </w:pPr>
      <w:r>
        <w:rPr>
          <w:color w:val="3730A3"/>
        </w:rPr>
        <w:t>9.2 Setup Instructions</w:t>
      </w:r>
    </w:p>
    <w:p>
      <w:pPr>
        <w:spacing w:before="0" w:after="0"/>
        <w:shd w:val="clear" w:color="auto" w:fill="0f172a"/>
        <w:ind w:left="432"/>
      </w:pPr>
      <w:r>
        <w:rPr>
          <w:rFonts w:ascii="Courier New" w:hAnsi="Courier New"/>
          <w:color w:val="1ED760"/>
          <w:sz w:val="17"/>
        </w:rPr>
        <w:t># 1. Install Python dependencies</w:t>
      </w:r>
    </w:p>
    <w:p>
      <w:pPr>
        <w:spacing w:before="0" w:after="0"/>
        <w:shd w:val="clear" w:color="auto" w:fill="0f172a"/>
        <w:ind w:left="432"/>
      </w:pPr>
      <w:r>
        <w:rPr>
          <w:rFonts w:ascii="Courier New" w:hAnsi="Courier New"/>
          <w:color w:val="1ED760"/>
          <w:sz w:val="17"/>
        </w:rPr>
        <w:t>pip install -r requirements.txt</w:t>
      </w:r>
    </w:p>
    <w:p>
      <w:pPr>
        <w:spacing w:before="0" w:after="0"/>
        <w:shd w:val="clear" w:color="auto" w:fill="0f172a"/>
        <w:ind w:left="432"/>
      </w:pPr>
      <w:r>
        <w:rPr>
          <w:rFonts w:ascii="Courier New" w:hAnsi="Courier New"/>
          <w:color w:val="1ED760"/>
          <w:sz w:val="17"/>
        </w:rPr>
      </w:r>
    </w:p>
    <w:p>
      <w:pPr>
        <w:spacing w:before="0" w:after="0"/>
        <w:shd w:val="clear" w:color="auto" w:fill="0f172a"/>
        <w:ind w:left="432"/>
      </w:pPr>
      <w:r>
        <w:rPr>
          <w:rFonts w:ascii="Courier New" w:hAnsi="Courier New"/>
          <w:color w:val="1ED760"/>
          <w:sz w:val="17"/>
        </w:rPr>
        <w:t># 2. Initialize the SQLite database</w:t>
      </w:r>
    </w:p>
    <w:p>
      <w:pPr>
        <w:spacing w:before="0" w:after="0"/>
        <w:shd w:val="clear" w:color="auto" w:fill="0f172a"/>
        <w:ind w:left="432"/>
      </w:pPr>
      <w:r>
        <w:rPr>
          <w:rFonts w:ascii="Courier New" w:hAnsi="Courier New"/>
          <w:color w:val="1ED760"/>
          <w:sz w:val="17"/>
        </w:rPr>
        <w:t>python init_sqlite.py</w:t>
      </w:r>
    </w:p>
    <w:p>
      <w:pPr>
        <w:spacing w:before="0" w:after="0"/>
        <w:shd w:val="clear" w:color="auto" w:fill="0f172a"/>
        <w:ind w:left="432"/>
      </w:pPr>
      <w:r>
        <w:rPr>
          <w:rFonts w:ascii="Courier New" w:hAnsi="Courier New"/>
          <w:color w:val="1ED760"/>
          <w:sz w:val="17"/>
        </w:rPr>
      </w:r>
    </w:p>
    <w:p>
      <w:pPr>
        <w:spacing w:before="0" w:after="0"/>
        <w:shd w:val="clear" w:color="auto" w:fill="0f172a"/>
        <w:ind w:left="432"/>
      </w:pPr>
      <w:r>
        <w:rPr>
          <w:rFonts w:ascii="Courier New" w:hAnsi="Courier New"/>
          <w:color w:val="1ED760"/>
          <w:sz w:val="17"/>
        </w:rPr>
        <w:t># 3. Set environment variables (optional: for CV Enhancer)</w:t>
      </w:r>
    </w:p>
    <w:p>
      <w:pPr>
        <w:spacing w:before="0" w:after="0"/>
        <w:shd w:val="clear" w:color="auto" w:fill="0f172a"/>
        <w:ind w:left="432"/>
      </w:pPr>
      <w:r>
        <w:rPr>
          <w:rFonts w:ascii="Courier New" w:hAnsi="Courier New"/>
          <w:color w:val="1ED760"/>
          <w:sz w:val="17"/>
        </w:rPr>
        <w:t>set GROQ_API_KEY=gsk_your_key_here</w:t>
      </w:r>
    </w:p>
    <w:p>
      <w:pPr>
        <w:spacing w:before="0" w:after="0"/>
        <w:shd w:val="clear" w:color="auto" w:fill="0f172a"/>
        <w:ind w:left="432"/>
      </w:pPr>
      <w:r>
        <w:rPr>
          <w:rFonts w:ascii="Courier New" w:hAnsi="Courier New"/>
          <w:color w:val="1ED760"/>
          <w:sz w:val="17"/>
        </w:rPr>
      </w:r>
    </w:p>
    <w:p>
      <w:pPr>
        <w:spacing w:before="0" w:after="0"/>
        <w:shd w:val="clear" w:color="auto" w:fill="0f172a"/>
        <w:ind w:left="432"/>
      </w:pPr>
      <w:r>
        <w:rPr>
          <w:rFonts w:ascii="Courier New" w:hAnsi="Courier New"/>
          <w:color w:val="1ED760"/>
          <w:sz w:val="17"/>
        </w:rPr>
        <w:t># 4. Start the FastAPI backend</w:t>
      </w:r>
    </w:p>
    <w:p>
      <w:pPr>
        <w:spacing w:before="0" w:after="0"/>
        <w:shd w:val="clear" w:color="auto" w:fill="0f172a"/>
        <w:ind w:left="432"/>
      </w:pPr>
      <w:r>
        <w:rPr>
          <w:rFonts w:ascii="Courier New" w:hAnsi="Courier New"/>
          <w:color w:val="1ED760"/>
          <w:sz w:val="17"/>
        </w:rPr>
        <w:t>uvicorn app:app --host 0.0.0.0 --port 8000 --reload</w:t>
      </w:r>
    </w:p>
    <w:p>
      <w:pPr>
        <w:spacing w:before="0" w:after="0"/>
        <w:shd w:val="clear" w:color="auto" w:fill="0f172a"/>
        <w:ind w:left="432"/>
      </w:pPr>
      <w:r>
        <w:rPr>
          <w:rFonts w:ascii="Courier New" w:hAnsi="Courier New"/>
          <w:color w:val="1ED760"/>
          <w:sz w:val="17"/>
        </w:rPr>
      </w:r>
    </w:p>
    <w:p>
      <w:pPr>
        <w:spacing w:before="0" w:after="0"/>
        <w:shd w:val="clear" w:color="auto" w:fill="0f172a"/>
        <w:ind w:left="432"/>
      </w:pPr>
      <w:r>
        <w:rPr>
          <w:rFonts w:ascii="Courier New" w:hAnsi="Courier New"/>
          <w:color w:val="1ED760"/>
          <w:sz w:val="17"/>
        </w:rPr>
        <w:t># 5. Install and start the React frontend</w:t>
      </w:r>
    </w:p>
    <w:p>
      <w:pPr>
        <w:spacing w:before="0" w:after="0"/>
        <w:shd w:val="clear" w:color="auto" w:fill="0f172a"/>
        <w:ind w:left="432"/>
      </w:pPr>
      <w:r>
        <w:rPr>
          <w:rFonts w:ascii="Courier New" w:hAnsi="Courier New"/>
          <w:color w:val="1ED760"/>
          <w:sz w:val="17"/>
        </w:rPr>
        <w:t>cd frontend &amp;&amp; npm install &amp;&amp; npm run dev</w:t>
      </w:r>
    </w:p>
    <w:p>
      <w:pPr>
        <w:spacing w:before="0" w:after="0"/>
        <w:shd w:val="clear" w:color="auto" w:fill="0f172a"/>
        <w:ind w:left="432"/>
      </w:pPr>
      <w:r>
        <w:rPr>
          <w:rFonts w:ascii="Courier New" w:hAnsi="Courier New"/>
          <w:color w:val="1ED760"/>
          <w:sz w:val="17"/>
        </w:rPr>
      </w:r>
    </w:p>
    <w:p>
      <w:pPr>
        <w:spacing w:before="0" w:after="0"/>
        <w:shd w:val="clear" w:color="auto" w:fill="0f172a"/>
        <w:ind w:left="432"/>
      </w:pPr>
      <w:r>
        <w:rPr>
          <w:rFonts w:ascii="Courier New" w:hAnsi="Courier New"/>
          <w:color w:val="1ED760"/>
          <w:sz w:val="17"/>
        </w:rPr>
        <w:t># Access the application at: http://localhost:5173</w:t>
      </w:r>
    </w:p>
    <w:p>
      <w:pPr>
        <w:spacing w:after="80"/>
      </w:pPr>
    </w:p>
    <w:p>
      <w:pPr>
        <w:spacing w:before="0" w:after="80"/>
        <w:jc w:val="both"/>
      </w:pPr>
      <w:r>
        <w:rPr>
          <w:b w:val="0"/>
          <w:i/>
          <w:sz w:val="21"/>
        </w:rPr>
        <w:t>To reproduce training results: open model_training.ipynb in Jupyter, run all cells sequentially. The notebook downloads the dataset, executes the 10-step preprocessing pipeline, trains and evaluates all five algorithms, performs GridSearchCV, and serializes RF.joblib and cv.pickle.</w:t>
      </w:r>
    </w:p>
    <w:p>
      <w:pPr>
        <w:pBdr>
          <w:bottom w:val="single" w:sz="6" w:space="1" w:color="94a3b8"/>
        </w:pBdr>
        <w:spacing w:before="80" w:after="80"/>
      </w:pPr>
    </w:p>
    <w:p>
      <w:pPr>
        <w:pStyle w:val="Heading1"/>
        <w:spacing w:before="280" w:after="120"/>
      </w:pPr>
      <w:r>
        <w:rPr>
          <w:color w:val="1E3A8A"/>
        </w:rPr>
        <w:t>References</w:t>
      </w:r>
    </w:p>
    <w:p>
      <w:pPr>
        <w:spacing w:after="60"/>
        <w:ind w:left="432" w:hanging="432"/>
      </w:pPr>
      <w:r>
        <w:rPr>
          <w:color w:val="334155"/>
          <w:sz w:val="19"/>
        </w:rPr>
        <w:t>[1] Chowdhury, S., et al. (2023). "Transformer-Based Resume Classification: A Comparative Study." IEEE Transactions on Neural Networks and Learning Systems.</w:t>
      </w:r>
    </w:p>
    <w:p>
      <w:pPr>
        <w:spacing w:after="60"/>
        <w:ind w:left="432" w:hanging="432"/>
      </w:pPr>
      <w:r>
        <w:rPr>
          <w:color w:val="334155"/>
          <w:sz w:val="19"/>
        </w:rPr>
        <w:t>[2] Senthil, K., et al. (2022). "Rank-Based NLP Resume Matching System." International Journal of Human-Computer Studies, 158, 102742.</w:t>
      </w:r>
    </w:p>
    <w:p>
      <w:pPr>
        <w:spacing w:after="60"/>
        <w:ind w:left="432" w:hanging="432"/>
      </w:pPr>
      <w:r>
        <w:rPr>
          <w:color w:val="334155"/>
          <w:sz w:val="19"/>
        </w:rPr>
        <w:t>[3] Abid, A., et al. (2021). "Deep Learning Architectures for Candidate-Job Matching." Journal of Artificial Intelligence Research, 70, 1435–1468.</w:t>
      </w:r>
    </w:p>
    <w:p>
      <w:pPr>
        <w:spacing w:after="60"/>
        <w:ind w:left="432" w:hanging="432"/>
      </w:pPr>
      <w:r>
        <w:rPr>
          <w:color w:val="334155"/>
          <w:sz w:val="19"/>
        </w:rPr>
        <w:t>[4] Deshpande, R., et al. (2020). "Random Forest and TF-IDF for Multi-Class Resume Categorization." Applied Intelligence, 50(8), 2321–2335.</w:t>
      </w:r>
    </w:p>
    <w:p>
      <w:pPr>
        <w:spacing w:after="60"/>
        <w:ind w:left="432" w:hanging="432"/>
      </w:pPr>
      <w:r>
        <w:rPr>
          <w:color w:val="334155"/>
          <w:sz w:val="19"/>
        </w:rPr>
        <w:t>[5] Shukla, A., et al. (2024). "LLMs in Context-Aware Recruitment Automation." Proceedings of AAAI 2024, 38(1), 897–905.</w:t>
      </w:r>
    </w:p>
    <w:p>
      <w:pPr>
        <w:spacing w:after="60"/>
        <w:ind w:left="432" w:hanging="432"/>
      </w:pPr>
      <w:r>
        <w:rPr>
          <w:color w:val="334155"/>
          <w:sz w:val="19"/>
        </w:rPr>
        <w:t>[6] Garcia, M., et al. (2023). "Fairness-Aware Re-Ranking in Automated Screening Systems." ACM FAccT 2023, 212–223.</w:t>
      </w:r>
    </w:p>
    <w:p>
      <w:pPr>
        <w:spacing w:after="60"/>
        <w:ind w:left="432" w:hanging="432"/>
      </w:pPr>
      <w:r>
        <w:rPr>
          <w:color w:val="334155"/>
          <w:sz w:val="19"/>
        </w:rPr>
        <w:t>[7] Lee, J., et al. (2022). "Ensemble Methods vs. Single-Layer Classifiers in Text Categorization." Pattern Recognition Letters, 161, 45–52.</w:t>
      </w:r>
    </w:p>
    <w:p>
      <w:pPr>
        <w:spacing w:after="60"/>
        <w:ind w:left="432" w:hanging="432"/>
      </w:pPr>
      <w:r>
        <w:rPr>
          <w:color w:val="334155"/>
          <w:sz w:val="19"/>
        </w:rPr>
        <w:t>[8] Patel, V., et al. (2021). "Effectiveness of NLP Preprocessing in Technical Resume Domains." Expert Systems with Applications, 182, 115245.</w:t>
      </w:r>
    </w:p>
    <w:p>
      <w:pPr>
        <w:spacing w:after="60"/>
        <w:ind w:left="432" w:hanging="432"/>
      </w:pPr>
      <w:r>
        <w:rPr>
          <w:color w:val="334155"/>
          <w:sz w:val="19"/>
        </w:rPr>
        <w:t>[9] Wang, X., et al. (2023). "Knowledge Graph-Enhanced Skill Extraction." Knowledge-Based Systems, 268, 110497.</w:t>
      </w:r>
    </w:p>
    <w:p>
      <w:pPr>
        <w:spacing w:after="60"/>
        <w:ind w:left="432" w:hanging="432"/>
      </w:pPr>
      <w:r>
        <w:rPr>
          <w:color w:val="334155"/>
          <w:sz w:val="19"/>
        </w:rPr>
        <w:t>[10] Zhu, Y., et al. (2022). "Cross-Domain Resume Screening via Transfer Learning." Neural Computing and Applications, 34, 16801–16815.</w:t>
      </w:r>
    </w:p>
    <w:p>
      <w:pPr>
        <w:spacing w:after="60"/>
        <w:ind w:left="432" w:hanging="432"/>
      </w:pPr>
      <w:r>
        <w:rPr>
          <w:color w:val="334155"/>
          <w:sz w:val="19"/>
        </w:rPr>
        <w:t>[11] Breiman, L. (2001). "Random Forests." Machine Learning, 45(1), 5–32.</w:t>
      </w:r>
    </w:p>
    <w:p>
      <w:pPr>
        <w:spacing w:after="60"/>
        <w:ind w:left="432" w:hanging="432"/>
      </w:pPr>
      <w:r>
        <w:rPr>
          <w:color w:val="334155"/>
          <w:sz w:val="19"/>
        </w:rPr>
        <w:t>[12] Pedregosa, F., et al. (2011). "Scikit-learn: Machine Learning in Python." JMLR, 12, 2825–2830.</w:t>
      </w:r>
    </w:p>
    <w:p>
      <w:pPr>
        <w:spacing w:after="60"/>
        <w:ind w:left="432" w:hanging="432"/>
      </w:pPr>
      <w:r>
        <w:rPr>
          <w:color w:val="334155"/>
          <w:sz w:val="19"/>
        </w:rPr>
        <w:t>[13] Chawla, N. V., et al. (2002). "SMOTE: Synthetic Minority Over-sampling Technique." JAIR, 16, 321–357.</w:t>
      </w:r>
    </w:p>
    <w:p>
      <w:pPr>
        <w:spacing w:after="60"/>
        <w:ind w:left="432" w:hanging="432"/>
      </w:pPr>
      <w:r>
        <w:rPr>
          <w:color w:val="334155"/>
          <w:sz w:val="19"/>
        </w:rPr>
        <w:t>[14] Jurafsky, D., &amp; Martin, J. H. (2023). Speech and Language Processing (3rd ed.). Stanford University Press.</w:t>
      </w:r>
    </w:p>
    <w:p>
      <w:pPr>
        <w:spacing w:after="60"/>
        <w:ind w:left="432" w:hanging="432"/>
      </w:pPr>
      <w:r>
        <w:rPr>
          <w:color w:val="334155"/>
          <w:sz w:val="19"/>
        </w:rPr>
        <w:t>[15] Kaggle Resume Dataset — Gaurav Dutt: https://www.kaggle.com/datasets/gauravduttakiit/resume-dataset</w:t>
      </w:r>
    </w:p>
    <w:p>
      <w:pPr>
        <w:spacing w:after="60"/>
        <w:ind w:left="432" w:hanging="432"/>
      </w:pPr>
      <w:r>
        <w:rPr>
          <w:color w:val="334155"/>
          <w:sz w:val="19"/>
        </w:rPr>
        <w:t>[16] Kaggle Resume Dataset — Sneha Anbhawal: https://www.kaggle.com/datasets/snehaanbhawal/resume-dataset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