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SUPPLEMENTARY METHODS AND QUALITY CONTROL</w:t>
      </w:r>
    </w:p>
    <w:p>
      <w:pPr>
        <w:jc w:val="center"/>
      </w:pPr>
      <w:r>
        <w:rPr>
          <w:rFonts w:ascii="Times New Roman" w:hAnsi="Times New Roman"/>
          <w:i/>
          <w:sz w:val="22"/>
        </w:rPr>
        <w:t>Supporting evidence for the revised Indus Basin crop water-accounting manuscript</w:t>
      </w:r>
    </w:p>
    <w:p>
      <w:pPr>
        <w:pStyle w:val="Heading1"/>
      </w:pPr>
      <w:r>
        <w:t>S1. Analytical scope and reproducibility</w:t>
      </w:r>
    </w:p>
    <w:p>
      <w:pPr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The analytical support is cropland within the Pakistan portion of the Indus drainage basin. It is not an official canal-command delineation. The crop map describes the 2023 seasonal extent: crop-hectares can exceed unique physical area under double cropping, maize combines spring and autumn cycles, and sugarcane is treated as annual. Water accounting is crop-season based and residual blue ET is not measured irrigation withdrawal.</w:t>
      </w:r>
    </w:p>
    <w:p>
      <w:pPr>
        <w:pStyle w:val="Heading1"/>
      </w:pPr>
      <w:r>
        <w:t>S2. Predictor and classification details</w:t>
      </w:r>
    </w:p>
    <w:p>
      <w:pPr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The Rabi stack contains 42 predictors and the Kharif stack 47. Predictor families include period-specific Sentinel-2 NDVI, EVI, NDWI, LSWI, and SAVI; full-season Sentinel-2 and Landsat optical bands and indices; Sentinel-1 median VV, VH, and VV-VH; and SRTM elevation and slope. Missing predictors were filled with -0.25 before sampling. Both models used 300 trees, minimum leaf population 2, bag fraction 0.70, default variables per split, no maximum-node limit, and classifier seed 20230709. Reference points were assigned by whole 0.05-degree blocks using a deterministic SHA-256 rule with seed 20230709.</w:t>
      </w:r>
    </w:p>
    <w:p>
      <w:pPr>
        <w:pStyle w:val="Heading2"/>
      </w:pPr>
      <w:r>
        <w:t>Table S1. Class-level validation diagnostics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blHeader w:val="true"/>
          <w:cantSplit/>
        </w:trPr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Season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Class Code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Crop Name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Validation Support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Predicted Support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Correct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Producer Accuracy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User Accuracy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F1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Rabi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Wheat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467.000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549.000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438.000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0.938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0.798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0.862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Rabi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Sugarcane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125.000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115.000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97.000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0.776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0.843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0.808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Rabi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Maize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214.000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203.000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193.000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0.902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0.951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0.926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Rabi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Other cropland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474.000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413.000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365.000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0.770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0.884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0.823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Kharif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Rice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517.000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523.000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478.000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0.925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0.914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0.919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Kharif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Cotton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320.000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339.000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284.000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0.887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0.838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0.862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Kharif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Sugarcane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436.000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454.000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397.000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0.911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0.874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0.892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Kharif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Maize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587.000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614.000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491.000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0.836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0.818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Kharif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Other cropland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529.000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459.000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380.000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0.718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0.828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0.769</w:t>
            </w:r>
          </w:p>
        </w:tc>
      </w:tr>
    </w:tbl>
    <w:p/>
    <w:p>
      <w:pPr>
        <w:pStyle w:val="Heading2"/>
      </w:pPr>
      <w:r>
        <w:t>Table S2. Season-level validation diagnostics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blHeader w:val="true"/>
          <w:cantSplit/>
        </w:trPr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Season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Overall Accuracy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Kappa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Balanced Accuracy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Macro F1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Training Samples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Validation Samples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Validation Blocks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Interpretation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Rabi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0.854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0.788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0.846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0.855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5535.000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1280.000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spatial-block holdout; not area-probability sampled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Kharif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0.850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0.811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0.855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0.852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9763.000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2389.000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spatial-block holdout; not area-probability sampled</w:t>
            </w:r>
          </w:p>
        </w:tc>
      </w:tr>
    </w:tbl>
    <w:p/>
    <w:p>
      <w:pPr>
        <w:pStyle w:val="Heading1"/>
      </w:pPr>
      <w:r>
        <w:t>S3. Crop-area scenario</w:t>
      </w:r>
    </w:p>
    <w:p>
      <w:pPr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The official-area-constrained scenario multiplies mapped mean crop water depth and mapped yield composition by the ratio of official harvested area to mapped crop-season area. It is a first-order structural scenario, not a confidence interval. Because area and production are scaled by the same factor, crop-level VWF remains unchanged while water volume and production scale directly.</w:t>
      </w:r>
    </w:p>
    <w:p>
      <w:pPr>
        <w:pStyle w:val="Heading2"/>
      </w:pPr>
      <w:r>
        <w:t>Table S3. Mapped and official-area-constrained crop scenarios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  <w:cantSplit/>
        </w:trPr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Crop Name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Mapped Area Ha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Official Harvested Area Ha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Mapped Minus Official Pct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Mapped Total Water Km3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Official Area Scaled Total Water Km3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Mapped Total Vwf M3 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Wheat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7,930,296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8,477,154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-6.451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26.468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28.293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1066.851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Rice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4,156,694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2,969,151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39.996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15.284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10.918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1548.604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Cotton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1,293,009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1,978,787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-34.656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5.662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8.665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2076.197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Sugarcane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1,647,041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1,284,439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28.230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12.965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10.110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125.629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Maize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2,770,262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1,710,539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61.953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19.635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12.124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1237.948</w:t>
            </w:r>
          </w:p>
        </w:tc>
      </w:tr>
    </w:tbl>
    <w:p/>
    <w:p>
      <w:pPr>
        <w:pStyle w:val="Heading1"/>
      </w:pPr>
      <w:r>
        <w:t>S4. Product-chain structural sensitivity</w:t>
      </w:r>
    </w:p>
    <w:p>
      <w:pPr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The primary endpoint combines WaPOR v3 AETI with CHIRPS rainfall; the comparison endpoint combines MODIS ET with ERA5-Land rainfall. Endpoints are reported directly. No uniform interpolation, Monte Carlo distribution, or confidence interval is used.</w:t>
      </w:r>
    </w:p>
    <w:p>
      <w:pPr>
        <w:pStyle w:val="Heading2"/>
      </w:pPr>
      <w:r>
        <w:t>Table S4. Product-chain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  <w:cantSplit/>
        </w:trPr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Crop Name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Product Chain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Total Water Mm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Green Water Mm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Blue Water Mm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Total Vwf M3 T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Water Productivity Kg M3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Wheat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WaPOR-CHIRPS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333.753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86.571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247.182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1066.851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0.937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Wheat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MODIS-ERA5-Land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133.591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86.845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46.746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427.028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2.342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Rice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WaPOR-CHIRPS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367.707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225.058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142.649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1548.604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0.646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Rice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MODIS-ERA5-Land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98.240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97.696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0.544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413.738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2.417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Cotton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WaPOR-CHIRPS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437.882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197.116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240.766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2076.197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0.482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Cotton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MODIS-ERA5-Land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116.879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113.785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3.094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554.177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1.804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Sugarcane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WaPOR-CHIRPS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787.152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321.902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465.251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125.629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7.960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Sugarcane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MODIS-ERA5-Land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241.894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226.641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15.253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38.606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25.903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Maize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WaPOR-CHIRPS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708.773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371.337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337.436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1237.948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0.808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Maize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MODIS-ERA5-Land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258.035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255.168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2.867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450.686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2.219</w:t>
            </w:r>
          </w:p>
        </w:tc>
      </w:tr>
    </w:tbl>
    <w:p/>
    <w:p>
      <w:pPr>
        <w:pStyle w:val="Heading2"/>
      </w:pPr>
      <w:r>
        <w:t>Table S5. Direct endpoint structural envelope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1656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Crop Name</w:t>
            </w:r>
          </w:p>
        </w:tc>
        <w:tc>
          <w:tcPr>
            <w:tcW w:type="dxa" w:w="1656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Metric</w:t>
            </w:r>
          </w:p>
        </w:tc>
        <w:tc>
          <w:tcPr>
            <w:tcW w:type="dxa" w:w="1656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Primary Wapor Chirps</w:t>
            </w:r>
          </w:p>
        </w:tc>
        <w:tc>
          <w:tcPr>
            <w:tcW w:type="dxa" w:w="1656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Comparison Modis Era5 Land</w:t>
            </w:r>
          </w:p>
        </w:tc>
        <w:tc>
          <w:tcPr>
            <w:tcW w:type="dxa" w:w="1656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Absolute Difference</w:t>
            </w:r>
          </w:p>
        </w:tc>
        <w:tc>
          <w:tcPr>
            <w:tcW w:type="dxa" w:w="1656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Comparison Minus Primary Pct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Wheat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green_water_mm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86.571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86.845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0.274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0.317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Wheat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247.182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46.746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-200.436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-81.088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Wheat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total_water_mm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333.753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133.591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-200.162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-59.973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Wheat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green_vwf_m3_t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276.726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277.603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0.877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0.317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Wheat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790.125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149.426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-640.699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-81.088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Wheat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total_vwf_m3_t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1066.851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427.028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-639.823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-59.973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Wheat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water_productivity_kg_m3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0.937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2.342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1.404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149.831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Wheat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blue_dependency_pct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74.061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34.992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-39.069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-52.753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Rice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green_water_mm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225.058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97.696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-127.362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-56.591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Rice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142.649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0.544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-142.105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-99.619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Rice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total_water_mm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367.707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98.240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-269.467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-73.283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Rice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green_vwf_m3_t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947.836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411.448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-536.387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-56.591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Rice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600.768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2.289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-598.479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-99.619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Rice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total_vwf_m3_t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1548.604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413.738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-1134.866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-73.283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Rice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water_productivity_kg_m3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0.646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2.417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1.771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274.296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Rice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blue_dependency_pct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38.794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0.553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-38.241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-98.574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Cotton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green_water_mm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197.116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113.785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-83.331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-42.275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Cotton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240.766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3.094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-237.672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-98.715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Cotton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total_water_mm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437.882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116.879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-321.003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-73.308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Cotton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green_vwf_m3_t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934.614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539.506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-395.108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-42.275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Cotton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1141.583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14.670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-1126.912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-98.715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Cotton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total_vwf_m3_t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2076.197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554.177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-1522.020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-73.308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Cotton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water_productivity_kg_m3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0.482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1.804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1.323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274.645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Cotton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blue_dependency_pct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54.984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2.647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-52.337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-95.185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Sugarcane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green_water_mm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321.902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226.641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-95.260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-29.593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Sugarcane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465.251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15.253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-449.998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-96.722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Sugarcane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total_water_mm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787.152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241.894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-545.259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-69.270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Sugarcane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green_vwf_m3_t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51.375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36.172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-15.203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-29.593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Sugarcane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74.254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2.434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-71.819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-96.722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Sugarcane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total_vwf_m3_t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125.629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38.606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-87.023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-69.270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Sugarcane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water_productivity_kg_m3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7.960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25.903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17.943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225.412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Sugarcane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blue_dependency_pct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59.106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6.305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-52.800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-89.332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Maize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green_water_mm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371.337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255.168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-116.169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-31.284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Maize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337.436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2.867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-334.569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-99.150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Maize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total_water_mm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708.773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258.035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-450.738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-63.594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Maize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green_vwf_m3_t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648.580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445.678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-202.902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-31.284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Maize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589.367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-584.360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-99.150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Maize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total_vwf_m3_t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1237.948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450.686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-787.262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-63.594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Maize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water_productivity_kg_m3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0.808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2.219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1.411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174.681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Maize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blue_dependency_pct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47.608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1.111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-46.497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-97.666</w:t>
            </w:r>
          </w:p>
        </w:tc>
      </w:tr>
    </w:tbl>
    <w:p/>
    <w:p>
      <w:pPr>
        <w:pStyle w:val="Heading1"/>
      </w:pPr>
      <w:r>
        <w:t>S5. Fixed-extent temporal context</w:t>
      </w:r>
    </w:p>
    <w:p>
      <w:pPr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The 2018-2022 baseline and 2023 values use the fixed 2023 crop masks. They describe hydroclimatic/product variation over a short context window, not historical crop-area change or a long-term climatology.</w:t>
      </w:r>
    </w:p>
    <w:p>
      <w:pPr>
        <w:pStyle w:val="Heading2"/>
      </w:pPr>
      <w:r>
        <w:t>Table S6. Fixed-2023-extent temporal context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 w:val="true"/>
          <w:cantSplit/>
        </w:trPr>
        <w:tc>
          <w:tcPr>
            <w:tcW w:type="dxa" w:w="903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Crop Name</w:t>
            </w:r>
          </w:p>
        </w:tc>
        <w:tc>
          <w:tcPr>
            <w:tcW w:type="dxa" w:w="903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Metric</w:t>
            </w:r>
          </w:p>
        </w:tc>
        <w:tc>
          <w:tcPr>
            <w:tcW w:type="dxa" w:w="903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Baseline Years</w:t>
            </w:r>
          </w:p>
        </w:tc>
        <w:tc>
          <w:tcPr>
            <w:tcW w:type="dxa" w:w="903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Baseline N</w:t>
            </w:r>
          </w:p>
        </w:tc>
        <w:tc>
          <w:tcPr>
            <w:tcW w:type="dxa" w:w="903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Baseline Mean</w:t>
            </w:r>
          </w:p>
        </w:tc>
        <w:tc>
          <w:tcPr>
            <w:tcW w:type="dxa" w:w="903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Baseline Sd</w:t>
            </w:r>
          </w:p>
        </w:tc>
        <w:tc>
          <w:tcPr>
            <w:tcW w:type="dxa" w:w="903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Value 2023</w:t>
            </w:r>
          </w:p>
        </w:tc>
        <w:tc>
          <w:tcPr>
            <w:tcW w:type="dxa" w:w="903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Departure</w:t>
            </w:r>
          </w:p>
        </w:tc>
        <w:tc>
          <w:tcPr>
            <w:tcW w:type="dxa" w:w="903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Departure Pct</w:t>
            </w:r>
          </w:p>
        </w:tc>
        <w:tc>
          <w:tcPr>
            <w:tcW w:type="dxa" w:w="903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Standardized Departure</w:t>
            </w:r>
          </w:p>
        </w:tc>
        <w:tc>
          <w:tcPr>
            <w:tcW w:type="dxa" w:w="903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Scope Note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Wheat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WaPOR AETI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282.907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23.375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305.578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22.670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8.013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0.970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Wheat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CHIRPS rainfall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171.499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57.682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115.911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-55.589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-32.413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-0.964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Wheat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blue dependency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48.902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11.581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59.804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10.903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22.295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0.941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Rice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WaPOR AETI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447.013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18.216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385.396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-61.617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-13.784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-3.383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Rice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CHIRPS rainfall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307.427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47.088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318.187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10.760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3.500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0.229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Rice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blue dependency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47.872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7.600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39.174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-8.698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-18.169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-1.144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Cotton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WaPOR AETI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501.249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38.568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408.743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-92.506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-18.455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-2.398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Cotton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CHIRPS rainfall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197.525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86.609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202.559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5.034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2.549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0.058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Cotton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blue dependency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62.038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9.703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51.626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-10.412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-16.783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-1.073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Sugarcane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WaPOR AETI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876.973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34.337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798.408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-78.564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-8.959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-2.288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Sugarcane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CHIRPS rainfall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384.319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78.809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359.750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-24.569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-6.393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-0.312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Sugarcane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blue dependency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59.253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7.086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57.298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-1.955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-3.299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-0.276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Maize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WaPOR AETI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713.881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16.826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665.658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-48.223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-6.755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-2.866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Maize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CHIRPS rainfall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642.683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63.916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574.696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-67.986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-10.579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-1.064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Maize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Primary blue dependency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2018-2022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5.000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32.323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4.722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31.807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-0.516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-1.595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-0.109</w:t>
            </w:r>
          </w:p>
        </w:tc>
        <w:tc>
          <w:tcPr>
            <w:tcW w:type="dxa" w:w="903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fixed validated 2023 crop extent; short product context, not long-term climatology</w:t>
            </w:r>
          </w:p>
        </w:tc>
      </w:tr>
    </w:tbl>
    <w:p/>
    <w:p>
      <w:pPr>
        <w:pStyle w:val="Heading1"/>
      </w:pPr>
      <w:r>
        <w:t>S6. Hotspot threshold sensitivity</w:t>
      </w:r>
    </w:p>
    <w:p>
      <w:pPr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The district score adds one point each for high blue-water volume, high total VWF, and low WP. Threshold pairs 70/30, 75/25, 80/20, and 90/10 were applied both to all 108 computable districts and to the 76 districts with at least 25,000 mapped crop-hectares. These are internal diagnostic priorities, not environmental or legal thresholds.</w:t>
      </w:r>
    </w:p>
    <w:p>
      <w:pPr>
        <w:pStyle w:val="Heading2"/>
      </w:pPr>
      <w:r>
        <w:t>Table S7. Hotspot-count sensitivity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>
        <w:trPr>
          <w:tblHeader w:val="true"/>
          <w:cantSplit/>
        </w:trPr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Scope</w:t>
            </w:r>
          </w:p>
        </w:tc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District Count</w:t>
            </w:r>
          </w:p>
        </w:tc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Threshold Pair</w:t>
            </w:r>
          </w:p>
        </w:tc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High Quantile</w:t>
            </w:r>
          </w:p>
        </w:tc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Low Quantile</w:t>
            </w:r>
          </w:p>
        </w:tc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Blue Volume Cutoff Km3</w:t>
            </w:r>
          </w:p>
        </w:tc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Total Vwf Cutoff M3 T</w:t>
            </w:r>
          </w:p>
        </w:tc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Water Productivity Cutoff Kg M3</w:t>
            </w:r>
          </w:p>
        </w:tc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Score 0 Count</w:t>
            </w:r>
          </w:p>
        </w:tc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Score 1 Count</w:t>
            </w:r>
          </w:p>
        </w:tc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Score 2 Count</w:t>
            </w:r>
          </w:p>
        </w:tc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Score 3 Count</w:t>
            </w:r>
          </w:p>
        </w:tc>
        <w:tc>
          <w:tcPr>
            <w:tcW w:type="dxa" w:w="76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Priority Score Ge 2 Count</w:t>
            </w:r>
          </w:p>
        </w:tc>
      </w:tr>
      <w:tr>
        <w:trPr>
          <w:cantSplit/>
        </w:trPr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108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70/30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0.700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0.300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0.606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1658.319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0.603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42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33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33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33</w:t>
            </w:r>
          </w:p>
        </w:tc>
      </w:tr>
      <w:tr>
        <w:trPr>
          <w:cantSplit/>
        </w:trPr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108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75/25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0.750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0.250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0.713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2012.244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0.497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54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27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27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27</w:t>
            </w:r>
          </w:p>
        </w:tc>
      </w:tr>
      <w:tr>
        <w:trPr>
          <w:cantSplit/>
        </w:trPr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108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80/20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0.800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0.200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0.818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2302.369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0.434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64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22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22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108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90/10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0.900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0.100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1.181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3122.410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0.320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86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11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11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districts with mapped area &gt;=25,000 ha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76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70/30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0.700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0.300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0.791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988.038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1.015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31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22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22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23</w:t>
            </w:r>
          </w:p>
        </w:tc>
      </w:tr>
      <w:tr>
        <w:trPr>
          <w:cantSplit/>
        </w:trPr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districts with mapped area &gt;=25,000 ha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76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75/25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0.750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0.250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0.996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1148.249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0.872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38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19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19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19</w:t>
            </w:r>
          </w:p>
        </w:tc>
      </w:tr>
      <w:tr>
        <w:trPr>
          <w:cantSplit/>
        </w:trPr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districts with mapped area &gt;=25,000 ha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76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80/20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0.800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0.200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1.139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1444.592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0.692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44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16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16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16</w:t>
            </w:r>
          </w:p>
        </w:tc>
      </w:tr>
      <w:tr>
        <w:trPr>
          <w:cantSplit/>
        </w:trPr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districts with mapped area &gt;=25,000 ha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76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90/10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0.900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0.100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1.281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2451.910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0.408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76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</w:tr>
    </w:tbl>
    <w:p/>
    <w:p>
      <w:pPr>
        <w:pStyle w:val="Heading2"/>
      </w:pPr>
      <w:r>
        <w:t>Table S8. District hotspot stability (first 40 rows; complete CSV supplied separately)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blHeader w:val="true"/>
          <w:cantSplit/>
        </w:trPr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Scope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Gaul1 Name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Gaul2 Name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Mapped Area Ha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Threshold Tests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Priority Count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Minimum Score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Maximum Score</w:t>
            </w:r>
          </w:p>
        </w:tc>
        <w:tc>
          <w:tcPr>
            <w:tcW w:type="dxa" w:w="1104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4"/>
              </w:rPr>
              <w:t>Priority Stability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Buner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64,589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priority under all thresholds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Islamabad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Islamabad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32,749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priority under all thresholds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15,704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priority under all thresholds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Orakzai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14,550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priority under all thresholds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Abbottabad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14,007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priority under all thresholds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South Waziristan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11,463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priority under all thresholds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Karak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10,357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priority under all thresholds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Batagram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6,423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priority under all thresholds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Shangla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5,773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priority under all thresholds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Tor Ghar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1,762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priority under all thresholds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Balochistan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Pishin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154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priority under all thresholds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Punjab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Rawalpindi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246,278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Haripur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66,371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Bajaur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59,996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Lower Dir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52,253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Mansehra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43,831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Swat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43,208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Kurram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29,969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Hangu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24,869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Balochistan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Kachhi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21,531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Balochistan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Ziarat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6,593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Kolai Palas Kohistan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1,072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Balochistan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Jhal Magsi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40,466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Mohmand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22,926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Balochistan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Sibi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20,280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Upper Dir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13,051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Khyber Pakhtunkhwa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North Waziristan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13,000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Punjab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Chakwal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188,878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Balochistan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Nasirabad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166,279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Balochistan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Killa Saifullah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24,526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Balochistan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Musakhel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9,878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Balochistan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Mastung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2,891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Balochistan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Sherani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1,090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threshold-sensitive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Punjab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Jhang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590,741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never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Punjab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Muzaffargarh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576,725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never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Punjab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Okara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552,483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never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Punjab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Faisalabad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531,342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never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Punjab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Sargodha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518,491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never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Punjab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Sheikhupura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510,194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never priority</w:t>
            </w:r>
          </w:p>
        </w:tc>
      </w:tr>
      <w:tr>
        <w:trPr>
          <w:cantSplit/>
        </w:trPr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all computable districts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Punjab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Vehari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508,577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1.000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never priority</w:t>
            </w:r>
          </w:p>
        </w:tc>
      </w:tr>
    </w:tbl>
    <w:p/>
    <w:p>
      <w:pPr>
        <w:pStyle w:val="Heading1"/>
      </w:pPr>
      <w:r>
        <w:t>S7. Yield coverage</w:t>
      </w:r>
    </w:p>
    <w:p>
      <w:pPr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Production-dependent indicators were calculated only for positive matched district yields. No unsupported yield was imputed. Of 580 district-crop combinations, 379 were computable and 201 lacked a positive matched yield or mapped crop area.</w:t>
      </w:r>
    </w:p>
    <w:p>
      <w:pPr>
        <w:pStyle w:val="Heading2"/>
      </w:pPr>
      <w:r>
        <w:t>Table S9. Yield coverage by crop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  <w:cantSplit/>
        </w:trPr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Crop Name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District Crop Rows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Rows With Mapped Crop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Rows With Positive Yield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Computable Rows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Mapped Area Ha</w:t>
            </w:r>
          </w:p>
        </w:tc>
        <w:tc>
          <w:tcPr>
            <w:tcW w:type="dxa" w:w="1419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Computable Row Pct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Cotton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116.000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116.000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46.000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46.000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1,293,009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39.655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Maize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116.000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115.000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81.000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80.000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2,770,262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68.966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Rice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116.000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114.000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78.000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78.000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4,156,694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67.241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Sugarcane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116.000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115.000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68.000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67.000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1,647,041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57.759</w:t>
            </w:r>
          </w:p>
        </w:tc>
      </w:tr>
      <w:tr>
        <w:trPr>
          <w:cantSplit/>
        </w:trPr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Wheat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116.000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116.000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108.000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108.000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7,930,296</w:t>
            </w:r>
          </w:p>
        </w:tc>
        <w:tc>
          <w:tcPr>
            <w:tcW w:type="dxa" w:w="1419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93.103</w:t>
            </w:r>
          </w:p>
        </w:tc>
      </w:tr>
    </w:tbl>
    <w:p/>
    <w:p>
      <w:pPr>
        <w:pStyle w:val="Heading2"/>
      </w:pPr>
      <w:r>
        <w:t>Table S10. Yield coverage by district (first 50 rows; complete CSV supplied separately)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1656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Gaul1 Name</w:t>
            </w:r>
          </w:p>
        </w:tc>
        <w:tc>
          <w:tcPr>
            <w:tcW w:type="dxa" w:w="1656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Gaul2 Name</w:t>
            </w:r>
          </w:p>
        </w:tc>
        <w:tc>
          <w:tcPr>
            <w:tcW w:type="dxa" w:w="1656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Crop Rows</w:t>
            </w:r>
          </w:p>
        </w:tc>
        <w:tc>
          <w:tcPr>
            <w:tcW w:type="dxa" w:w="1656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Computable Crop Rows</w:t>
            </w:r>
          </w:p>
        </w:tc>
        <w:tc>
          <w:tcPr>
            <w:tcW w:type="dxa" w:w="1656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Mapped Area Ha</w:t>
            </w:r>
          </w:p>
        </w:tc>
        <w:tc>
          <w:tcPr>
            <w:tcW w:type="dxa" w:w="1656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6"/>
              </w:rPr>
              <w:t>Any Computable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Barkhan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39,240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Dera Bugti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22,754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Duki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16,889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Harnai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3,163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Jaffarabad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137,821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Jhal Magsi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40,466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Kachhi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21,531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Kalat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3,603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Khuzdar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32,972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Killa Saifullah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24,526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Kohlu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11,602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Lasbela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Lehri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11,313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Loralai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14,367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Mastung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2,891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Musakhel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9,878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Nasirabad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166,279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Pishin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154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Quetta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Shaheed Sikandarabad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2,560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Sherani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1,090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Sibi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20,280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Sohbatpur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69,023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Zhob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7,671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Balochistan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Ziarat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6,593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Islamabad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Islamabad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32,749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Abbottabad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14,007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Bajaur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59,996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Bannu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47,372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Batagram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6,423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Buner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64,589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Charsadda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73,660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Chitral Lower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2,783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Chitral Upper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1,657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D. I. Khan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244,506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Hangu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24,869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Haripur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66,371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Karak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10,357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15,704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Kohat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39,270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Kohistan Lower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460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Kohistan Upper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1,331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Kolai Palas Kohistan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1,072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Kurram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29,969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Lakki Marwat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38,615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Lower Dir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52,253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Malakand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25,220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Mansehra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43,831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Mardan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124,589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Khyber Pakhtunkhwa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Mohmand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2.000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22,926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1.000</w:t>
            </w:r>
          </w:p>
        </w:tc>
      </w:tr>
    </w:tbl>
    <w:p/>
    <w:p>
      <w:pPr>
        <w:pStyle w:val="Heading1"/>
      </w:pPr>
      <w:r>
        <w:t>S8. Numerical QC identities</w:t>
      </w:r>
    </w:p>
    <w:p>
      <w:pPr>
        <w:pStyle w:val="ListBullet"/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Green volume + residual-blue volume = total crop water volume within floating-point tolerance.</w:t>
      </w:r>
    </w:p>
    <w:p>
      <w:pPr>
        <w:pStyle w:val="ListBullet"/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Mapped crop area x matched district yield = mapped production.</w:t>
      </w:r>
    </w:p>
    <w:p>
      <w:pPr>
        <w:pStyle w:val="ListBullet"/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Total water volume / mapped production = total VWF.</w:t>
      </w:r>
    </w:p>
    <w:p>
      <w:pPr>
        <w:pStyle w:val="ListBullet"/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Mapped production mass / total water volume = water productivity.</w:t>
      </w:r>
    </w:p>
    <w:p>
      <w:pPr>
        <w:pStyle w:val="ListBullet"/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Unavailable yield remains unavailable rather than being displayed as zero.</w:t>
      </w:r>
    </w:p>
    <w:p>
      <w:pPr>
        <w:pStyle w:val="Heading1"/>
      </w:pPr>
      <w:r>
        <w:t>S9. Software and execution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Component</w:t>
            </w:r>
          </w:p>
        </w:tc>
        <w:tc>
          <w:tcPr>
            <w:tcW w:type="dxa" w:w="4968"/>
            <w:vAlign w:val="center"/>
            <w:shd w:fill="E6E6E6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Record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Operating system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Windows-11-10.0.26200-SP0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Python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3.12.13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Word automation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Microsoft Word 16.0 COM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Geospatial processing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Google Earth Engine JavaScript/Python APIs; versions recorded in project environment files where available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Classification/block seed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20230709 (authoritative archived output provenance)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Structural sensitivity seed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Not applicable; direct endpoints only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Primary CRS</w:t>
            </w:r>
          </w:p>
        </w:tc>
        <w:tc>
          <w:tcPr>
            <w:tcW w:type="dxa" w:w="4968"/>
            <w:vAlign w:val="center"/>
            <w:shd w:fill="FFFFFF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EPSG:32642; source geographic products retained in their documented CRSs</w:t>
            </w:r>
          </w:p>
        </w:tc>
      </w:tr>
    </w:tbl>
    <w:p/>
    <w:p>
      <w:pPr>
        <w:pStyle w:val="Heading1"/>
      </w:pPr>
      <w:r>
        <w:t>S10. Supplementary figures</w:t>
      </w:r>
    </w:p>
    <w:p>
      <w:pPr>
        <w:spacing w:after="80" w:line="259" w:lineRule="auto"/>
        <w:jc w:val="both"/>
      </w:pPr>
      <w:r>
        <w:rPr>
          <w:rFonts w:ascii="Times New Roman" w:hAnsi="Times New Roman" w:eastAsia="Times New Roman"/>
          <w:sz w:val="21"/>
        </w:rPr>
        <w:t>Figure S1 is the full 116-district blue-VWF ranking retained outside the main manuscript because journal-scale labels are not readable in a standard figure panel. Figure S2 shows threshold sensitivity for the relative district priority score. High-resolution PNG, TIFF, PDF, and SVG versions are supplied where available.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