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after="120" w:before="480" w:lineRule="auto"/>
        <w:rPr>
          <w:rFonts w:ascii="Montserrat" w:cs="Montserrat" w:eastAsia="Montserrat" w:hAnsi="Montserrat"/>
          <w:b w:val="1"/>
          <w:bCs w:val="1"/>
          <w:color w:val="154360"/>
          <w:sz w:val="48"/>
          <w:szCs w:val="48"/>
        </w:rPr>
      </w:pPr>
      <w:r w:rsidDel="00000000" w:rsidR="00000000" w:rsidRPr="00000000">
        <w:rPr>
          <w:rFonts w:ascii="Montserrat" w:cs="Montserrat" w:eastAsia="Montserrat" w:hAnsi="Montserrat"/>
          <w:b w:val="1"/>
          <w:bCs w:val="1"/>
          <w:color w:val="154360"/>
          <w:sz w:val="48"/>
          <w:szCs w:val="48"/>
          <w:rtl w:val="0"/>
        </w:rPr>
        <w:t xml:space="preserve">Literature Review: Machine Learning for Predicting Myocardial Infarction Complications</w:t>
      </w:r>
    </w:p>
    <w:p w:rsidR="00000000" w:rsidDel="00000000" w:rsidP="00000000" w:rsidRDefault="00000000" w:rsidRPr="00000000" w14:paraId="00000002">
      <w:pPr>
        <w:pStyle w:val="Heading2"/>
        <w:keepNext w:val="1"/>
        <w:keepLines w:val="1"/>
        <w:spacing w:after="80" w:before="360" w:lineRule="auto"/>
        <w:rPr>
          <w:rFonts w:ascii="Montserrat" w:cs="Montserrat" w:eastAsia="Montserrat" w:hAnsi="Montserrat"/>
          <w:b w:val="1"/>
          <w:bCs w:val="1"/>
          <w:color w:val="2471a3"/>
          <w:sz w:val="28"/>
          <w:szCs w:val="28"/>
        </w:rPr>
      </w:pPr>
      <w:r w:rsidDel="00000000" w:rsidR="00000000" w:rsidRPr="00000000">
        <w:rPr>
          <w:rFonts w:ascii="Montserrat" w:cs="Montserrat" w:eastAsia="Montserrat" w:hAnsi="Montserrat"/>
          <w:b w:val="1"/>
          <w:bCs w:val="1"/>
          <w:color w:val="2471a3"/>
          <w:sz w:val="28"/>
          <w:szCs w:val="28"/>
          <w:rtl w:val="0"/>
        </w:rPr>
        <w:t xml:space="preserve">Introduction</w:t>
      </w:r>
    </w:p>
    <w:p w:rsidR="00000000" w:rsidDel="00000000" w:rsidP="00000000" w:rsidRDefault="00000000" w:rsidRPr="00000000" w14:paraId="00000003">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04">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Myocardial Infarction (MI), commonly referred to as a heart attack, remains a leading cause of morbidity and mortality globally. While modern emergency interventions, such as primary percutaneous coronary intervention (PCI), have significantly improved acute survival rates, the subsequent development of post-MI complications—including cardiogenic shock, lethal arrhythmias, or chronic heart failure—significantly impacts long-term patient prognosis and healthcare costs. Traditionally, clinical risk scores like GRACE or TIMI have been employed for patient stratification; however, these conventional statistical models are often limited by their linear nature, failing to capture the complex, non-linear interactions within heterogeneous, high-dimensional clinical data derived from Electronic Health Records (EHRs). Recent advancements in machine learning (ML) present a powerful opportunity to automate and refine risk assessment, potentially identifying high-risk patients earlier than standard clinical practice by leveraging complex tabular data. This literature review synthesizes key studies applying ML techniques to the prediction of MI and its subsequent complications, focusing on model performance, common preprocessing methodologies, and persistent challenges within the domain.</w:t>
      </w:r>
    </w:p>
    <w:p w:rsidR="00000000" w:rsidDel="00000000" w:rsidP="00000000" w:rsidRDefault="00000000" w:rsidRPr="00000000" w14:paraId="00000005">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06">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Our Dataset: </w:t>
      </w:r>
      <w:hyperlink r:id="rId6">
        <w:r w:rsidDel="00000000" w:rsidR="00000000" w:rsidRPr="00000000">
          <w:rPr>
            <w:rFonts w:ascii="Merriweather" w:cs="Merriweather" w:eastAsia="Merriweather" w:hAnsi="Merriweather"/>
            <w:color w:val="1155cc"/>
            <w:sz w:val="22"/>
            <w:szCs w:val="22"/>
            <w:u w:val="single"/>
            <w:rtl w:val="0"/>
          </w:rPr>
          <w:t xml:space="preserve">https://www.kaggle.com/datasets/rafatashrafjoy/myocardial-infarction-complications/data</w:t>
        </w:r>
      </w:hyperlink>
      <w:r w:rsidDel="00000000" w:rsidR="00000000" w:rsidRPr="00000000">
        <w:rPr>
          <w:rtl w:val="0"/>
        </w:rPr>
      </w:r>
    </w:p>
    <w:p w:rsidR="00000000" w:rsidDel="00000000" w:rsidP="00000000" w:rsidRDefault="00000000" w:rsidRPr="00000000" w14:paraId="00000007">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08">
      <w:pPr>
        <w:pStyle w:val="Heading2"/>
        <w:keepNext w:val="1"/>
        <w:keepLines w:val="1"/>
        <w:spacing w:after="80" w:before="360" w:lineRule="auto"/>
        <w:rPr>
          <w:rFonts w:ascii="Montserrat" w:cs="Montserrat" w:eastAsia="Montserrat" w:hAnsi="Montserrat"/>
          <w:b w:val="1"/>
          <w:bCs w:val="1"/>
          <w:color w:val="2471a3"/>
          <w:sz w:val="28"/>
          <w:szCs w:val="28"/>
        </w:rPr>
      </w:pPr>
      <w:r w:rsidDel="00000000" w:rsidR="00000000" w:rsidRPr="00000000">
        <w:rPr>
          <w:rFonts w:ascii="Montserrat" w:cs="Montserrat" w:eastAsia="Montserrat" w:hAnsi="Montserrat"/>
          <w:b w:val="1"/>
          <w:bCs w:val="1"/>
          <w:color w:val="2471a3"/>
          <w:sz w:val="28"/>
          <w:szCs w:val="28"/>
          <w:rtl w:val="0"/>
        </w:rPr>
        <w:t xml:space="preserve">Review of Research Papers</w:t>
      </w:r>
    </w:p>
    <w:p w:rsidR="00000000" w:rsidDel="00000000" w:rsidP="00000000" w:rsidRDefault="00000000" w:rsidRPr="00000000" w14:paraId="00000009">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The application of machine learning to cardiovascular risk stratification has been investigated across multiple scales, ranging from general MI prediction to highly specific complication forecasting.</w:t>
      </w:r>
    </w:p>
    <w:p w:rsidR="00000000" w:rsidDel="00000000" w:rsidP="00000000" w:rsidRDefault="00000000" w:rsidRPr="00000000" w14:paraId="0000000A">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A pivotal study directly relevant to the current assignment, by Golovenkin et al. (2020), tackled the multivariate problem of </w:t>
      </w:r>
      <w:r w:rsidDel="00000000" w:rsidR="00000000" w:rsidRPr="00000000">
        <w:rPr>
          <w:rFonts w:ascii="Merriweather" w:cs="Merriweather" w:eastAsia="Merriweather" w:hAnsi="Merriweather"/>
          <w:b w:val="1"/>
          <w:bCs w:val="1"/>
          <w:color w:val="2c3e50"/>
          <w:sz w:val="22"/>
          <w:szCs w:val="22"/>
          <w:rtl w:val="0"/>
        </w:rPr>
        <w:t xml:space="preserve">Predicting Complications of Myocardial Infarction Using Machine Learning</w:t>
      </w:r>
      <w:r w:rsidDel="00000000" w:rsidR="00000000" w:rsidRPr="00000000">
        <w:rPr>
          <w:rFonts w:ascii="Merriweather" w:cs="Merriweather" w:eastAsia="Merriweather" w:hAnsi="Merriweather"/>
          <w:color w:val="2c3e50"/>
          <w:sz w:val="22"/>
          <w:szCs w:val="22"/>
          <w:rtl w:val="0"/>
        </w:rPr>
        <w:t xml:space="preserve">. The researchers’ primary objective was the automated prediction of 11 distinct types of MI complications, alongside hospital lethality. The study leveraged the high-dimensional Chelyabinsk dataset, comprising clinical history, laboratory results, and ECG data from 1,700 patients, described by 124 features. The methodology compared several classifiers, including Random Forests (RF), Support Vector Machines (SVM), and Gradient Boosting Decision Trees (GBDT). Preprocessing was rigorous, including the removal of variables exceeding 30% missing values, followed by K-Nearest Neighbors (KNN) imputation for the remainder. Due to pronounced class imbalance (most patients do not develop all complications), evaluation relied heavily on the F1-score and Sensitivity. The findings highlighted that tree-based ensembles, particularly GBDT, provided the highest performance, achieving F1-scores between 0.45 and 0.78 depending on the specific complication predicted, concluding that predictability varies significantly based on complication type and data sparsity.</w:t>
      </w:r>
    </w:p>
    <w:p w:rsidR="00000000" w:rsidDel="00000000" w:rsidP="00000000" w:rsidRDefault="00000000" w:rsidRPr="00000000" w14:paraId="0000000B">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Broadening the scope to general cardiovascular mortality prediction, Muhammad Ali et al. (2021) published research aimed at </w:t>
      </w:r>
      <w:r w:rsidDel="00000000" w:rsidR="00000000" w:rsidRPr="00000000">
        <w:rPr>
          <w:rFonts w:ascii="Merriweather" w:cs="Merriweather" w:eastAsia="Merriweather" w:hAnsi="Merriweather"/>
          <w:b w:val="1"/>
          <w:bCs w:val="1"/>
          <w:color w:val="2c3e50"/>
          <w:sz w:val="22"/>
          <w:szCs w:val="22"/>
          <w:rtl w:val="0"/>
        </w:rPr>
        <w:t xml:space="preserve">Predicting Myocardial Infarction Using Machine Learning Techniques</w:t>
      </w:r>
      <w:r w:rsidDel="00000000" w:rsidR="00000000" w:rsidRPr="00000000">
        <w:rPr>
          <w:rFonts w:ascii="Merriweather" w:cs="Merriweather" w:eastAsia="Merriweather" w:hAnsi="Merriweather"/>
          <w:color w:val="2c3e50"/>
          <w:sz w:val="22"/>
          <w:szCs w:val="22"/>
          <w:rtl w:val="0"/>
        </w:rPr>
        <w:t xml:space="preserve">. This study focused on classifying general MI risk using a relatively concise tabular clinical dataset characterized by just 14 essential attributes. The implemented models included traditional statistical ML classifiers such as Logistic Regression, Decision Trees, and Naive Bayes. Preprocessing centered on essential steps like feature normalization and outlier detection, critical for maintaining the stability and reliability of classical models. Utilizing Accuracy and the Area Under the Receiver Operating Characteristic curve (ROC-AUC) as primary benchmarks, the study reported that the Decision Tree model delivered superior performance, achieving an Accuracy of 92% and underscoring that high predictive power can be achieved even with simplified, judiciously selected clinical features.</w:t>
      </w:r>
    </w:p>
    <w:p w:rsidR="00000000" w:rsidDel="00000000" w:rsidP="00000000" w:rsidRDefault="00000000" w:rsidRPr="00000000" w14:paraId="0000000C">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Finally, Nishat et al. (2022) explored the potential of deep learning in their work, </w:t>
      </w:r>
      <w:r w:rsidDel="00000000" w:rsidR="00000000" w:rsidRPr="00000000">
        <w:rPr>
          <w:rFonts w:ascii="Merriweather" w:cs="Merriweather" w:eastAsia="Merriweather" w:hAnsi="Merriweather"/>
          <w:b w:val="1"/>
          <w:bCs w:val="1"/>
          <w:color w:val="2c3e50"/>
          <w:sz w:val="22"/>
          <w:szCs w:val="22"/>
          <w:rtl w:val="0"/>
        </w:rPr>
        <w:t xml:space="preserve">An Intelligent System for Predicting Myocardial Infarction</w:t>
      </w:r>
      <w:r w:rsidDel="00000000" w:rsidR="00000000" w:rsidRPr="00000000">
        <w:rPr>
          <w:rFonts w:ascii="Merriweather" w:cs="Merriweather" w:eastAsia="Merriweather" w:hAnsi="Merriweather"/>
          <w:color w:val="2c3e50"/>
          <w:sz w:val="22"/>
          <w:szCs w:val="22"/>
          <w:rtl w:val="0"/>
        </w:rPr>
        <w:t xml:space="preserve">. Addressing the challenge of early diagnosis, their approach employed a dataset of 1,319 patients. The methodology involved a two-stage hybrid pipeline: an initial Feature Importance-based selection using the Extra Trees Classifier to mitigate the high dimensionality, followed by classification via an Artificial Neural Network (ANN). Crucial preprocessing steps included Standard Scaling and the application of the Synthetic Minority Over-sampling Technique (SMOTE) to effectively counter severe class imbalance. The resulting model achieved a high level of discriminative power, indicated by a remarkable ROC-AUC of 0.98 and an Accuracy of 97%. This study serves as a critical affirmation that deep learning architectures can yield superior results on tabular medical data, provided that rigorous feature engineering and robust handling of class imbalance are prioritized.</w:t>
      </w:r>
    </w:p>
    <w:p w:rsidR="00000000" w:rsidDel="00000000" w:rsidP="00000000" w:rsidRDefault="00000000" w:rsidRPr="00000000" w14:paraId="0000000D">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0E">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0F">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0">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1">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2">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3">
      <w:pPr>
        <w:spacing w:after="240" w:before="0" w:lineRule="auto"/>
        <w:jc w:val="center"/>
        <w:rPr>
          <w:b w:val="1"/>
          <w:bCs w:val="1"/>
          <w:color w:val="1f3864"/>
          <w:sz w:val="26"/>
          <w:szCs w:val="26"/>
        </w:rPr>
      </w:pPr>
      <w:r w:rsidDel="00000000" w:rsidR="00000000" w:rsidRPr="00000000">
        <w:rPr>
          <w:rtl w:val="0"/>
        </w:rPr>
      </w:r>
    </w:p>
    <w:p w:rsidR="00000000" w:rsidDel="00000000" w:rsidP="00000000" w:rsidRDefault="00000000" w:rsidRPr="00000000" w14:paraId="00000014">
      <w:pPr>
        <w:spacing w:after="240" w:before="0" w:lineRule="auto"/>
        <w:jc w:val="center"/>
        <w:rPr/>
      </w:pPr>
      <w:r w:rsidDel="00000000" w:rsidR="00000000" w:rsidRPr="00000000">
        <w:rPr>
          <w:rFonts w:ascii="Arial" w:cs="Arial" w:eastAsia="Arial" w:hAnsi="Arial"/>
          <w:b w:val="1"/>
          <w:bCs w:val="1"/>
          <w:color w:val="1f3864"/>
          <w:sz w:val="26"/>
          <w:szCs w:val="26"/>
          <w:rtl w:val="0"/>
        </w:rPr>
        <w:t xml:space="preserve">Comparative Literature Review: Machine Learning for Myocardial Infarction Complication Prediction</w:t>
      </w:r>
      <w:r w:rsidDel="00000000" w:rsidR="00000000" w:rsidRPr="00000000">
        <w:rPr>
          <w:rtl w:val="0"/>
        </w:rPr>
      </w:r>
    </w:p>
    <w:p w:rsidR="00000000" w:rsidDel="00000000" w:rsidP="00000000" w:rsidRDefault="00000000" w:rsidRPr="00000000" w14:paraId="00000015">
      <w:pPr>
        <w:spacing w:after="300" w:before="0" w:lineRule="auto"/>
        <w:jc w:val="center"/>
        <w:rPr/>
      </w:pPr>
      <w:r w:rsidDel="00000000" w:rsidR="00000000" w:rsidRPr="00000000">
        <w:rPr>
          <w:rFonts w:ascii="Arial" w:cs="Arial" w:eastAsia="Arial" w:hAnsi="Arial"/>
          <w:sz w:val="20"/>
          <w:szCs w:val="20"/>
          <w:rtl w:val="0"/>
        </w:rPr>
        <w:t xml:space="preserve">Strengths highlighted in </w:t>
      </w:r>
      <w:r w:rsidDel="00000000" w:rsidR="00000000" w:rsidRPr="00000000">
        <w:rPr>
          <w:rFonts w:ascii="Arial" w:cs="Arial" w:eastAsia="Arial" w:hAnsi="Arial"/>
          <w:b w:val="1"/>
          <w:bCs w:val="1"/>
          <w:color w:val="375623"/>
          <w:sz w:val="20"/>
          <w:szCs w:val="20"/>
          <w:rtl w:val="0"/>
        </w:rPr>
        <w:t xml:space="preserve">green</w:t>
      </w:r>
      <w:r w:rsidDel="00000000" w:rsidR="00000000" w:rsidRPr="00000000">
        <w:rPr>
          <w:rFonts w:ascii="Arial" w:cs="Arial" w:eastAsia="Arial" w:hAnsi="Arial"/>
          <w:sz w:val="20"/>
          <w:szCs w:val="20"/>
          <w:rtl w:val="0"/>
        </w:rPr>
        <w:t xml:space="preserve">   |   Limitations highlighted in </w:t>
      </w:r>
      <w:r w:rsidDel="00000000" w:rsidR="00000000" w:rsidRPr="00000000">
        <w:rPr>
          <w:rFonts w:ascii="Arial" w:cs="Arial" w:eastAsia="Arial" w:hAnsi="Arial"/>
          <w:b w:val="1"/>
          <w:bCs w:val="1"/>
          <w:color w:val="833c00"/>
          <w:sz w:val="20"/>
          <w:szCs w:val="20"/>
          <w:rtl w:val="0"/>
        </w:rPr>
        <w:t xml:space="preserve">red/orange</w:t>
      </w:r>
      <w:r w:rsidDel="00000000" w:rsidR="00000000" w:rsidRPr="00000000">
        <w:rPr>
          <w:rtl w:val="0"/>
        </w:rPr>
      </w:r>
    </w:p>
    <w:tbl>
      <w:tblPr>
        <w:tblStyle w:val="Table1"/>
        <w:tblW w:w="11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1600"/>
        <w:gridCol w:w="1600"/>
        <w:gridCol w:w="1200"/>
        <w:gridCol w:w="1600"/>
        <w:gridCol w:w="1680"/>
        <w:gridCol w:w="1480"/>
        <w:tblGridChange w:id="0">
          <w:tblGrid>
            <w:gridCol w:w="1400"/>
            <w:gridCol w:w="1400"/>
            <w:gridCol w:w="1600"/>
            <w:gridCol w:w="1600"/>
            <w:gridCol w:w="1200"/>
            <w:gridCol w:w="1600"/>
            <w:gridCol w:w="1680"/>
            <w:gridCol w:w="1480"/>
          </w:tblGrid>
        </w:tblGridChange>
      </w:tblGrid>
      <w:tr>
        <w:trPr>
          <w:cantSplit w:val="0"/>
          <w:tblHeader w:val="1"/>
        </w:trPr>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18"/>
                <w:szCs w:val="18"/>
                <w:rtl w:val="0"/>
              </w:rPr>
              <w:t xml:space="preserve">Study &amp; Source</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18"/>
                <w:szCs w:val="18"/>
                <w:rtl w:val="0"/>
              </w:rPr>
              <w:t xml:space="preserve">Dataset</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18"/>
                <w:szCs w:val="18"/>
                <w:rtl w:val="0"/>
              </w:rPr>
              <w:t xml:space="preserve">ML Models Used</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18"/>
                <w:szCs w:val="18"/>
                <w:rtl w:val="0"/>
              </w:rPr>
              <w:t xml:space="preserve">Preprocessing</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18"/>
                <w:szCs w:val="18"/>
                <w:rtl w:val="0"/>
              </w:rPr>
              <w:t xml:space="preserve">Metrics</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18"/>
                <w:szCs w:val="18"/>
                <w:rtl w:val="0"/>
              </w:rPr>
              <w:t xml:space="preserve">Key Results</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18"/>
                <w:szCs w:val="18"/>
                <w:rtl w:val="0"/>
              </w:rPr>
              <w:t xml:space="preserve">Strengths</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18"/>
                <w:szCs w:val="18"/>
                <w:rtl w:val="0"/>
              </w:rPr>
              <w:t xml:space="preserve">Limitations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line="240" w:lineRule="auto"/>
              <w:jc w:val="left"/>
              <w:rPr/>
            </w:pPr>
            <w:r w:rsidDel="00000000" w:rsidR="00000000" w:rsidRPr="00000000">
              <w:rPr>
                <w:rFonts w:ascii="Arial" w:cs="Arial" w:eastAsia="Arial" w:hAnsi="Arial"/>
                <w:b w:val="1"/>
                <w:bCs w:val="1"/>
                <w:sz w:val="17"/>
                <w:szCs w:val="17"/>
                <w:rtl w:val="0"/>
              </w:rPr>
              <w:t xml:space="preserve">Soleimani et al. (2025)Clinical Cardiology (Wiley)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F">
            <w:pPr>
              <w:spacing w:line="240" w:lineRule="auto"/>
              <w:jc w:val="left"/>
              <w:rPr/>
            </w:pPr>
            <w:r w:rsidDel="00000000" w:rsidR="00000000" w:rsidRPr="00000000">
              <w:rPr>
                <w:rFonts w:ascii="Arial" w:cs="Arial" w:eastAsia="Arial" w:hAnsi="Arial"/>
                <w:b w:val="0"/>
                <w:bCs w:val="0"/>
                <w:sz w:val="17"/>
                <w:szCs w:val="17"/>
                <w:rtl w:val="0"/>
              </w:rPr>
              <w:t xml:space="preserve">7,422 AMI patients, Tehran Heart Center (2015–2021); 58 clinical, demographic &amp; lab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0">
            <w:pPr>
              <w:spacing w:line="240" w:lineRule="auto"/>
              <w:jc w:val="left"/>
              <w:rPr/>
            </w:pPr>
            <w:r w:rsidDel="00000000" w:rsidR="00000000" w:rsidRPr="00000000">
              <w:rPr>
                <w:rFonts w:ascii="Arial" w:cs="Arial" w:eastAsia="Arial" w:hAnsi="Arial"/>
                <w:b w:val="0"/>
                <w:bCs w:val="0"/>
                <w:sz w:val="17"/>
                <w:szCs w:val="17"/>
                <w:rtl w:val="0"/>
              </w:rPr>
              <w:t xml:space="preserve">Random Forest, XGBoost, Logistic Regression (LASSO), Neural Network, SVM (linear &amp; radial)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line="240" w:lineRule="auto"/>
              <w:jc w:val="left"/>
              <w:rPr/>
            </w:pPr>
            <w:r w:rsidDel="00000000" w:rsidR="00000000" w:rsidRPr="00000000">
              <w:rPr>
                <w:rFonts w:ascii="Arial" w:cs="Arial" w:eastAsia="Arial" w:hAnsi="Arial"/>
                <w:b w:val="0"/>
                <w:bCs w:val="0"/>
                <w:sz w:val="17"/>
                <w:szCs w:val="17"/>
                <w:rtl w:val="0"/>
              </w:rPr>
              <w:t xml:space="preserve">SMOTE (class balancing); 70/30 train-test split; 5-fold cross-validation; SHAP for interpretability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line="240" w:lineRule="auto"/>
              <w:jc w:val="left"/>
              <w:rPr/>
            </w:pPr>
            <w:r w:rsidDel="00000000" w:rsidR="00000000" w:rsidRPr="00000000">
              <w:rPr>
                <w:rFonts w:ascii="Arial" w:cs="Arial" w:eastAsia="Arial" w:hAnsi="Arial"/>
                <w:b w:val="0"/>
                <w:bCs w:val="0"/>
                <w:sz w:val="17"/>
                <w:szCs w:val="17"/>
                <w:rtl w:val="0"/>
              </w:rPr>
              <w:t xml:space="preserve">AUC-ROC, AUC-PR, F1-score, sensitivity, specificity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3">
            <w:pPr>
              <w:spacing w:line="240" w:lineRule="auto"/>
              <w:jc w:val="left"/>
              <w:rPr/>
            </w:pPr>
            <w:r w:rsidDel="00000000" w:rsidR="00000000" w:rsidRPr="00000000">
              <w:rPr>
                <w:rFonts w:ascii="Arial" w:cs="Arial" w:eastAsia="Arial" w:hAnsi="Arial"/>
                <w:b w:val="0"/>
                <w:bCs w:val="0"/>
                <w:sz w:val="17"/>
                <w:szCs w:val="17"/>
                <w:rtl w:val="0"/>
              </w:rPr>
              <w:t xml:space="preserve">RF: AUC = 0.924 (best); XGBoost: 0.905; LR-LASSO: 0.893. Key predictors: LVEF, blood glucose, creatinine,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24">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Large, real-world single-centre cohort✔ Comprehensive model comparison✔ SHAP improves clinical interpretability✔ SMOTE explicitly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25">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Single-centre → limited generalisability✗ In-hospital mortality only (no long-term follow-up)✗ No external validation set✗ Class imbalance very severe (1.74% mortality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6">
            <w:pPr>
              <w:spacing w:line="240" w:lineRule="auto"/>
              <w:jc w:val="left"/>
              <w:rPr/>
            </w:pPr>
            <w:r w:rsidDel="00000000" w:rsidR="00000000" w:rsidRPr="00000000">
              <w:rPr>
                <w:rFonts w:ascii="Arial" w:cs="Arial" w:eastAsia="Arial" w:hAnsi="Arial"/>
                <w:b w:val="1"/>
                <w:bCs w:val="1"/>
                <w:sz w:val="17"/>
                <w:szCs w:val="17"/>
                <w:rtl w:val="0"/>
              </w:rPr>
              <w:t xml:space="preserve">Diakou et al. (2022)IEEE Conference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7">
            <w:pPr>
              <w:spacing w:line="240" w:lineRule="auto"/>
              <w:jc w:val="left"/>
              <w:rPr/>
            </w:pPr>
            <w:r w:rsidDel="00000000" w:rsidR="00000000" w:rsidRPr="00000000">
              <w:rPr>
                <w:rFonts w:ascii="Arial" w:cs="Arial" w:eastAsia="Arial" w:hAnsi="Arial"/>
                <w:b w:val="0"/>
                <w:bCs w:val="0"/>
                <w:sz w:val="17"/>
                <w:szCs w:val="17"/>
                <w:rtl w:val="0"/>
              </w:rPr>
              <w:t xml:space="preserve">~1,700 AMI patients (same database as Kaggle Myocardial Infarction Complications Dataset); 5 complication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8">
            <w:pPr>
              <w:spacing w:line="240" w:lineRule="auto"/>
              <w:jc w:val="left"/>
              <w:rPr/>
            </w:pPr>
            <w:r w:rsidDel="00000000" w:rsidR="00000000" w:rsidRPr="00000000">
              <w:rPr>
                <w:rFonts w:ascii="Arial" w:cs="Arial" w:eastAsia="Arial" w:hAnsi="Arial"/>
                <w:b w:val="0"/>
                <w:bCs w:val="0"/>
                <w:sz w:val="17"/>
                <w:szCs w:val="17"/>
                <w:rtl w:val="0"/>
              </w:rPr>
              <w:t xml:space="preserve">One-vs-Rest XGBoost, shallow neural network, compact deep learning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9">
            <w:pPr>
              <w:spacing w:line="240" w:lineRule="auto"/>
              <w:jc w:val="left"/>
              <w:rPr/>
            </w:pPr>
            <w:r w:rsidDel="00000000" w:rsidR="00000000" w:rsidRPr="00000000">
              <w:rPr>
                <w:rFonts w:ascii="Arial" w:cs="Arial" w:eastAsia="Arial" w:hAnsi="Arial"/>
                <w:b w:val="0"/>
                <w:bCs w:val="0"/>
                <w:sz w:val="17"/>
                <w:szCs w:val="17"/>
                <w:rtl w:val="0"/>
              </w:rPr>
              <w:t xml:space="preserve">Missing value handling; resampling for multi-label class imbalance; label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A">
            <w:pPr>
              <w:spacing w:line="240" w:lineRule="auto"/>
              <w:jc w:val="left"/>
              <w:rPr/>
            </w:pPr>
            <w:r w:rsidDel="00000000" w:rsidR="00000000" w:rsidRPr="00000000">
              <w:rPr>
                <w:rFonts w:ascii="Arial" w:cs="Arial" w:eastAsia="Arial" w:hAnsi="Arial"/>
                <w:b w:val="0"/>
                <w:bCs w:val="0"/>
                <w:sz w:val="17"/>
                <w:szCs w:val="17"/>
                <w:rtl w:val="0"/>
              </w:rPr>
              <w:t xml:space="preserve">Hamming loss, subset accuracy, label-level F1-score, ROC-AUC per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2B">
            <w:pPr>
              <w:spacing w:line="240" w:lineRule="auto"/>
              <w:jc w:val="left"/>
              <w:rPr/>
            </w:pPr>
            <w:r w:rsidDel="00000000" w:rsidR="00000000" w:rsidRPr="00000000">
              <w:rPr>
                <w:rFonts w:ascii="Arial" w:cs="Arial" w:eastAsia="Arial" w:hAnsi="Arial"/>
                <w:b w:val="0"/>
                <w:bCs w:val="0"/>
                <w:sz w:val="17"/>
                <w:szCs w:val="17"/>
                <w:rtl w:val="0"/>
              </w:rPr>
              <w:t xml:space="preserve">F1 ~0.54, AUC &lt;0.77 with standard preprocessing; deep model outperforms shallow classifiers across most complication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2C">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Multi-label formulation (clinically realistic)✔ Directly uses same dataset as this assignment✔ Explores cost-effectiveness of deep vs. shallow models✔ Multi-label metrics reported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2D">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Relatively modest F1/AUC scores✗ Limited preprocessing (naive imputation)✗ No advanced imbalance control per label✗ Conference paper — less methodological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E">
            <w:pPr>
              <w:spacing w:line="240" w:lineRule="auto"/>
              <w:jc w:val="left"/>
              <w:rPr/>
            </w:pPr>
            <w:r w:rsidDel="00000000" w:rsidR="00000000" w:rsidRPr="00000000">
              <w:rPr>
                <w:rFonts w:ascii="Arial" w:cs="Arial" w:eastAsia="Arial" w:hAnsi="Arial"/>
                <w:b w:val="1"/>
                <w:bCs w:val="1"/>
                <w:sz w:val="17"/>
                <w:szCs w:val="17"/>
                <w:rtl w:val="0"/>
              </w:rPr>
              <w:t xml:space="preserve">Boudali et al. (2024)Healthcare Analytics (Elsevier)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line="240" w:lineRule="auto"/>
              <w:jc w:val="left"/>
              <w:rPr/>
            </w:pPr>
            <w:r w:rsidDel="00000000" w:rsidR="00000000" w:rsidRPr="00000000">
              <w:rPr>
                <w:rFonts w:ascii="Arial" w:cs="Arial" w:eastAsia="Arial" w:hAnsi="Arial"/>
                <w:b w:val="0"/>
                <w:bCs w:val="0"/>
                <w:sz w:val="17"/>
                <w:szCs w:val="17"/>
                <w:rtl w:val="0"/>
              </w:rPr>
              <w:t xml:space="preserve">Large-scale EHR big clinical dataset (MI risk); demographic, lab, and lifestyle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line="240" w:lineRule="auto"/>
              <w:jc w:val="left"/>
              <w:rPr/>
            </w:pPr>
            <w:r w:rsidDel="00000000" w:rsidR="00000000" w:rsidRPr="00000000">
              <w:rPr>
                <w:rFonts w:ascii="Arial" w:cs="Arial" w:eastAsia="Arial" w:hAnsi="Arial"/>
                <w:b w:val="0"/>
                <w:bCs w:val="0"/>
                <w:sz w:val="17"/>
                <w:szCs w:val="17"/>
                <w:rtl w:val="0"/>
              </w:rPr>
              <w:t xml:space="preserve">Decision Tree, Random Forest, GBoost, LightGBM, CatBoost, XGBoost, Deep Neural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line="240" w:lineRule="auto"/>
              <w:jc w:val="left"/>
              <w:rPr/>
            </w:pPr>
            <w:r w:rsidDel="00000000" w:rsidR="00000000" w:rsidRPr="00000000">
              <w:rPr>
                <w:rFonts w:ascii="Arial" w:cs="Arial" w:eastAsia="Arial" w:hAnsi="Arial"/>
                <w:b w:val="0"/>
                <w:bCs w:val="0"/>
                <w:sz w:val="17"/>
                <w:szCs w:val="17"/>
                <w:rtl w:val="0"/>
              </w:rPr>
              <w:t xml:space="preserve">Statistical analysis; PCA for dimensionality reduction; feature engineering; random under-sampling for imbalance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line="240" w:lineRule="auto"/>
              <w:jc w:val="left"/>
              <w:rPr/>
            </w:pPr>
            <w:r w:rsidDel="00000000" w:rsidR="00000000" w:rsidRPr="00000000">
              <w:rPr>
                <w:rFonts w:ascii="Arial" w:cs="Arial" w:eastAsia="Arial" w:hAnsi="Arial"/>
                <w:b w:val="0"/>
                <w:bCs w:val="0"/>
                <w:sz w:val="17"/>
                <w:szCs w:val="17"/>
                <w:rtl w:val="0"/>
              </w:rPr>
              <w:t xml:space="preserve">Accuracy, AUC-ROC, F1-score, precision,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line="240" w:lineRule="auto"/>
              <w:jc w:val="left"/>
              <w:rPr/>
            </w:pPr>
            <w:r w:rsidDel="00000000" w:rsidR="00000000" w:rsidRPr="00000000">
              <w:rPr>
                <w:rFonts w:ascii="Arial" w:cs="Arial" w:eastAsia="Arial" w:hAnsi="Arial"/>
                <w:b w:val="0"/>
                <w:bCs w:val="0"/>
                <w:sz w:val="17"/>
                <w:szCs w:val="17"/>
                <w:rtl w:val="0"/>
              </w:rPr>
              <w:t xml:space="preserve">LightGBM with feature engineering achieves best performance on balanced dataset. Feature engineering outperforms PCA and original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34">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Broadest model comparison in review✔ Systematic feature engineering assessment✔ PCA vs. raw vs. engineered features compared✔ Practical pipeline applicable to similar datasets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35">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Under-sampling may discard useful majority-class information✗ Dataset not publicly named/reproducible✗ No SHAP or interpretability analysis✗ No external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6">
            <w:pPr>
              <w:spacing w:line="240" w:lineRule="auto"/>
              <w:jc w:val="left"/>
              <w:rPr/>
            </w:pPr>
            <w:r w:rsidDel="00000000" w:rsidR="00000000" w:rsidRPr="00000000">
              <w:rPr>
                <w:rFonts w:ascii="Arial" w:cs="Arial" w:eastAsia="Arial" w:hAnsi="Arial"/>
                <w:b w:val="1"/>
                <w:bCs w:val="1"/>
                <w:sz w:val="17"/>
                <w:szCs w:val="17"/>
                <w:rtl w:val="0"/>
              </w:rPr>
              <w:t xml:space="preserve">Zhang et al. (2025)Reviews in Cardiovascular Medicine (IMR 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7">
            <w:pPr>
              <w:spacing w:line="240" w:lineRule="auto"/>
              <w:jc w:val="left"/>
              <w:rPr/>
            </w:pPr>
            <w:r w:rsidDel="00000000" w:rsidR="00000000" w:rsidRPr="00000000">
              <w:rPr>
                <w:rFonts w:ascii="Arial" w:cs="Arial" w:eastAsia="Arial" w:hAnsi="Arial"/>
                <w:b w:val="0"/>
                <w:bCs w:val="0"/>
                <w:sz w:val="17"/>
                <w:szCs w:val="17"/>
                <w:rtl w:val="0"/>
              </w:rPr>
              <w:t xml:space="preserve">1,693 AMI post-PCI patients, First Hospital of Lanzhou University (Jan 2019 – Dec 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8">
            <w:pPr>
              <w:spacing w:line="240" w:lineRule="auto"/>
              <w:jc w:val="left"/>
              <w:rPr/>
            </w:pPr>
            <w:r w:rsidDel="00000000" w:rsidR="00000000" w:rsidRPr="00000000">
              <w:rPr>
                <w:rFonts w:ascii="Arial" w:cs="Arial" w:eastAsia="Arial" w:hAnsi="Arial"/>
                <w:b w:val="0"/>
                <w:bCs w:val="0"/>
                <w:sz w:val="17"/>
                <w:szCs w:val="17"/>
                <w:rtl w:val="0"/>
              </w:rPr>
              <w:t xml:space="preserve">LightGBM, Random Forest, AdaBoost, Logistic Regression, KNN, Deep Neural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9">
            <w:pPr>
              <w:spacing w:line="240" w:lineRule="auto"/>
              <w:jc w:val="left"/>
              <w:rPr/>
            </w:pPr>
            <w:r w:rsidDel="00000000" w:rsidR="00000000" w:rsidRPr="00000000">
              <w:rPr>
                <w:rFonts w:ascii="Arial" w:cs="Arial" w:eastAsia="Arial" w:hAnsi="Arial"/>
                <w:b w:val="0"/>
                <w:bCs w:val="0"/>
                <w:sz w:val="17"/>
                <w:szCs w:val="17"/>
                <w:rtl w:val="0"/>
              </w:rPr>
              <w:t xml:space="preserve">SMOTE; Boruta algorithm for feature selection; Grid Search + Cross-Validation (GSCV) for hyperparameter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A">
            <w:pPr>
              <w:spacing w:line="240" w:lineRule="auto"/>
              <w:jc w:val="left"/>
              <w:rPr/>
            </w:pPr>
            <w:r w:rsidDel="00000000" w:rsidR="00000000" w:rsidRPr="00000000">
              <w:rPr>
                <w:rFonts w:ascii="Arial" w:cs="Arial" w:eastAsia="Arial" w:hAnsi="Arial"/>
                <w:b w:val="0"/>
                <w:bCs w:val="0"/>
                <w:sz w:val="17"/>
                <w:szCs w:val="17"/>
                <w:rtl w:val="0"/>
              </w:rPr>
              <w:t xml:space="preserve">Accuracy, sensitivity, precision, F1-score, AUC-ROC, AUC-PR (AUPRC)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60.0" w:type="dxa"/>
              <w:left w:w="100.0" w:type="dxa"/>
              <w:bottom w:w="60.0" w:type="dxa"/>
              <w:right w:w="100.0" w:type="dxa"/>
            </w:tcMar>
            <w:vAlign w:val="top"/>
          </w:tcPr>
          <w:p w:rsidR="00000000" w:rsidDel="00000000" w:rsidP="00000000" w:rsidRDefault="00000000" w:rsidRPr="00000000" w14:paraId="0000003B">
            <w:pPr>
              <w:spacing w:line="240" w:lineRule="auto"/>
              <w:jc w:val="left"/>
              <w:rPr/>
            </w:pPr>
            <w:r w:rsidDel="00000000" w:rsidR="00000000" w:rsidRPr="00000000">
              <w:rPr>
                <w:rFonts w:ascii="Arial" w:cs="Arial" w:eastAsia="Arial" w:hAnsi="Arial"/>
                <w:b w:val="0"/>
                <w:bCs w:val="0"/>
                <w:sz w:val="17"/>
                <w:szCs w:val="17"/>
                <w:rtl w:val="0"/>
              </w:rPr>
              <w:t xml:space="preserve">LightGBM (SMOTE + Boruta + GSCV) achieves best overall performance. AUPRC highlighted as more reliable under severe imbalance than ROC-AUC.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3C">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Most rigorous preprocessing pipeline✔ Boruta for robust feature selection✔ Highlights AUPRC as superior metric under imbalance✔ Hyperparameter tuning explicitly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3D">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Single-centre retrospective data✗ Relatively small sample (1,693 patients)✗ No multi-label or multi-outcome prediction✗ No model interpretability (SHAP) reported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E">
            <w:pPr>
              <w:spacing w:line="240" w:lineRule="auto"/>
              <w:jc w:val="left"/>
              <w:rPr/>
            </w:pPr>
            <w:r w:rsidDel="00000000" w:rsidR="00000000" w:rsidRPr="00000000">
              <w:rPr>
                <w:rFonts w:ascii="Arial" w:cs="Arial" w:eastAsia="Arial" w:hAnsi="Arial"/>
                <w:b w:val="1"/>
                <w:bCs w:val="1"/>
                <w:sz w:val="17"/>
                <w:szCs w:val="17"/>
                <w:rtl w:val="0"/>
              </w:rPr>
              <w:t xml:space="preserve">Lee et al. (2021)Scientific Reports / PMC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F">
            <w:pPr>
              <w:spacing w:line="240" w:lineRule="auto"/>
              <w:jc w:val="left"/>
              <w:rPr/>
            </w:pPr>
            <w:r w:rsidDel="00000000" w:rsidR="00000000" w:rsidRPr="00000000">
              <w:rPr>
                <w:rFonts w:ascii="Arial" w:cs="Arial" w:eastAsia="Arial" w:hAnsi="Arial"/>
                <w:b w:val="0"/>
                <w:bCs w:val="0"/>
                <w:sz w:val="17"/>
                <w:szCs w:val="17"/>
                <w:rtl w:val="0"/>
              </w:rPr>
              <w:t xml:space="preserve">Korean Acute MI Registry (KAMIR-NIH); national multi-centre; STEMI and NSTEMI sub-groups; large sample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0">
            <w:pPr>
              <w:spacing w:line="240" w:lineRule="auto"/>
              <w:jc w:val="left"/>
              <w:rPr/>
            </w:pPr>
            <w:r w:rsidDel="00000000" w:rsidR="00000000" w:rsidRPr="00000000">
              <w:rPr>
                <w:rFonts w:ascii="Arial" w:cs="Arial" w:eastAsia="Arial" w:hAnsi="Arial"/>
                <w:b w:val="0"/>
                <w:bCs w:val="0"/>
                <w:sz w:val="17"/>
                <w:szCs w:val="17"/>
                <w:rtl w:val="0"/>
              </w:rPr>
              <w:t xml:space="preserve">LASSO, Ridge, Elastic Net regression; Random Forest, SVM, XGBoost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line="240" w:lineRule="auto"/>
              <w:jc w:val="left"/>
              <w:rPr/>
            </w:pPr>
            <w:r w:rsidDel="00000000" w:rsidR="00000000" w:rsidRPr="00000000">
              <w:rPr>
                <w:rFonts w:ascii="Arial" w:cs="Arial" w:eastAsia="Arial" w:hAnsi="Arial"/>
                <w:b w:val="0"/>
                <w:bCs w:val="0"/>
                <w:sz w:val="17"/>
                <w:szCs w:val="17"/>
                <w:rtl w:val="0"/>
              </w:rPr>
              <w:t xml:space="preserve">Variable selection using penalised regression; up-sampling, down-sampling, SMOTE tested; traditional risk scores (TIMI, GRACE) as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2">
            <w:pPr>
              <w:spacing w:line="240" w:lineRule="auto"/>
              <w:jc w:val="left"/>
              <w:rPr/>
            </w:pPr>
            <w:r w:rsidDel="00000000" w:rsidR="00000000" w:rsidRPr="00000000">
              <w:rPr>
                <w:rFonts w:ascii="Arial" w:cs="Arial" w:eastAsia="Arial" w:hAnsi="Arial"/>
                <w:b w:val="0"/>
                <w:bCs w:val="0"/>
                <w:sz w:val="17"/>
                <w:szCs w:val="17"/>
                <w:rtl w:val="0"/>
              </w:rPr>
              <w:t xml:space="preserve">AUC-ROC, F1-score; compared against TIMI, GRACE, ACTION-GWTG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3">
            <w:pPr>
              <w:spacing w:line="240" w:lineRule="auto"/>
              <w:jc w:val="left"/>
              <w:rPr/>
            </w:pPr>
            <w:r w:rsidDel="00000000" w:rsidR="00000000" w:rsidRPr="00000000">
              <w:rPr>
                <w:rFonts w:ascii="Arial" w:cs="Arial" w:eastAsia="Arial" w:hAnsi="Arial"/>
                <w:b w:val="0"/>
                <w:bCs w:val="0"/>
                <w:sz w:val="17"/>
                <w:szCs w:val="17"/>
                <w:rtl w:val="0"/>
              </w:rPr>
              <w:t xml:space="preserve">ML outperforms TIMI/GRACE for NSTEMI long-term mortality (AUC up to 0.840 for 12-month). Balancing techniques did not significantly alter peak AUC.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60.0" w:type="dxa"/>
              <w:left w:w="100.0" w:type="dxa"/>
              <w:bottom w:w="60.0" w:type="dxa"/>
              <w:right w:w="100.0" w:type="dxa"/>
            </w:tcMar>
            <w:vAlign w:val="top"/>
          </w:tcPr>
          <w:p w:rsidR="00000000" w:rsidDel="00000000" w:rsidP="00000000" w:rsidRDefault="00000000" w:rsidRPr="00000000" w14:paraId="00000044">
            <w:pPr>
              <w:spacing w:line="240" w:lineRule="auto"/>
              <w:rPr/>
            </w:pPr>
            <w:r w:rsidDel="00000000" w:rsidR="00000000" w:rsidRPr="00000000">
              <w:rPr>
                <w:rFonts w:ascii="Arial Unicode MS" w:cs="Arial Unicode MS" w:eastAsia="Arial Unicode MS" w:hAnsi="Arial Unicode MS"/>
                <w:color w:val="375623"/>
                <w:sz w:val="17"/>
                <w:szCs w:val="17"/>
                <w:rtl w:val="0"/>
              </w:rPr>
              <w:t xml:space="preserve">✔ Multi-centre national registry → high generalisability✔ Benchmarks ML against established clinical scores✔ Multiple time horizons (in-hospital, 3-month, 12-month)✔ Both STEMI and NSTEMI analysed separately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60.0" w:type="dxa"/>
              <w:left w:w="100.0" w:type="dxa"/>
              <w:bottom w:w="60.0" w:type="dxa"/>
              <w:right w:w="100.0" w:type="dxa"/>
            </w:tcMar>
            <w:vAlign w:val="top"/>
          </w:tcPr>
          <w:p w:rsidR="00000000" w:rsidDel="00000000" w:rsidP="00000000" w:rsidRDefault="00000000" w:rsidRPr="00000000" w14:paraId="00000045">
            <w:pPr>
              <w:spacing w:line="240" w:lineRule="auto"/>
              <w:rPr/>
            </w:pPr>
            <w:r w:rsidDel="00000000" w:rsidR="00000000" w:rsidRPr="00000000">
              <w:rPr>
                <w:rFonts w:ascii="Arial Unicode MS" w:cs="Arial Unicode MS" w:eastAsia="Arial Unicode MS" w:hAnsi="Arial Unicode MS"/>
                <w:color w:val="833c00"/>
                <w:sz w:val="17"/>
                <w:szCs w:val="17"/>
                <w:rtl w:val="0"/>
              </w:rPr>
              <w:t xml:space="preserve">✗ ML advantage over classical models modest for STEMI✗ Balancing shown to have limited impact (limits resampling conclusions)✗ No SHAP or interpretability tools used✗ Feature engineering not explored</w:t>
            </w:r>
            <w:r w:rsidDel="00000000" w:rsidR="00000000" w:rsidRPr="00000000">
              <w:rPr>
                <w:rtl w:val="0"/>
              </w:rPr>
            </w:r>
          </w:p>
        </w:tc>
      </w:tr>
    </w:tbl>
    <w:p w:rsidR="00000000" w:rsidDel="00000000" w:rsidP="00000000" w:rsidRDefault="00000000" w:rsidRPr="00000000" w14:paraId="00000046">
      <w:pPr>
        <w:pStyle w:val="Heading2"/>
        <w:keepNext w:val="1"/>
        <w:keepLines w:val="1"/>
        <w:spacing w:after="80" w:before="360" w:lineRule="auto"/>
        <w:rPr>
          <w:rFonts w:ascii="Montserrat" w:cs="Montserrat" w:eastAsia="Montserrat" w:hAnsi="Montserrat"/>
          <w:b w:val="1"/>
          <w:bCs w:val="1"/>
          <w:color w:val="2471a3"/>
          <w:sz w:val="28"/>
          <w:szCs w:val="28"/>
        </w:rPr>
      </w:pPr>
      <w:r w:rsidDel="00000000" w:rsidR="00000000" w:rsidRPr="00000000">
        <w:rPr>
          <w:rFonts w:ascii="Montserrat" w:cs="Montserrat" w:eastAsia="Montserrat" w:hAnsi="Montserrat"/>
          <w:b w:val="1"/>
          <w:bCs w:val="1"/>
          <w:color w:val="2471a3"/>
          <w:sz w:val="28"/>
          <w:szCs w:val="28"/>
          <w:rtl w:val="0"/>
        </w:rPr>
        <w:t xml:space="preserve">Comparative Analysis and Discussion</w:t>
      </w:r>
    </w:p>
    <w:p w:rsidR="00000000" w:rsidDel="00000000" w:rsidP="00000000" w:rsidRDefault="00000000" w:rsidRPr="00000000" w14:paraId="00000047">
      <w:pPr>
        <w:pStyle w:val="Heading3"/>
        <w:keepNext w:val="1"/>
        <w:keepLines w:val="1"/>
        <w:spacing w:after="80" w:before="280" w:line="300" w:lineRule="auto"/>
        <w:rPr>
          <w:rFonts w:ascii="Merriweather" w:cs="Merriweather" w:eastAsia="Merriweather" w:hAnsi="Merriweather"/>
          <w:b w:val="1"/>
          <w:bCs w:val="1"/>
          <w:color w:val="2c3e50"/>
          <w:sz w:val="28"/>
          <w:szCs w:val="28"/>
        </w:rPr>
      </w:pPr>
      <w:r w:rsidDel="00000000" w:rsidR="00000000" w:rsidRPr="00000000">
        <w:rPr>
          <w:rFonts w:ascii="Merriweather" w:cs="Merriweather" w:eastAsia="Merriweather" w:hAnsi="Merriweather"/>
          <w:b w:val="1"/>
          <w:bCs w:val="1"/>
          <w:color w:val="2c3e50"/>
          <w:sz w:val="28"/>
          <w:szCs w:val="28"/>
          <w:rtl w:val="0"/>
        </w:rPr>
        <w:t xml:space="preserve">Performance of Machine Learning Models</w:t>
      </w:r>
    </w:p>
    <w:p w:rsidR="00000000" w:rsidDel="00000000" w:rsidP="00000000" w:rsidRDefault="00000000" w:rsidRPr="00000000" w14:paraId="00000048">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The literature consistently highlights the strength of ensemble methods in medical risk prediction. Tree-based models, such as Random Forest and various Gradient Boosting implementations (e.g., XGBoost, CatBoost), tend to offer the best balance of performance and robustness for typical tabular EHR data. Unlike complex deep learning models, tree ensembles are inherently less sensitive to outliers and varying scales, which are common characteristics of clinical datasets. However, the research by Nishat et al. (2022) demonstrates that when paired with sophisticated data manipulation techniques, Artificial Neural Networks are capable of achieving the highest discriminative power, suggesting a pathway toward superior performance at the cost of increased computational complexity and dependence on high-quality feature engineering. Overall, GBDT and its variants are the models performing best across this domain, particularly for complex, multi-target prediction problems like post-MI complications.</w:t>
      </w:r>
    </w:p>
    <w:p w:rsidR="00000000" w:rsidDel="00000000" w:rsidP="00000000" w:rsidRDefault="00000000" w:rsidRPr="00000000" w14:paraId="00000049">
      <w:pPr>
        <w:pStyle w:val="Heading3"/>
        <w:keepNext w:val="1"/>
        <w:keepLines w:val="1"/>
        <w:spacing w:after="80" w:before="280" w:line="300" w:lineRule="auto"/>
        <w:rPr>
          <w:rFonts w:ascii="Merriweather" w:cs="Merriweather" w:eastAsia="Merriweather" w:hAnsi="Merriweather"/>
          <w:b w:val="1"/>
          <w:bCs w:val="1"/>
          <w:color w:val="2c3e50"/>
          <w:sz w:val="28"/>
          <w:szCs w:val="28"/>
        </w:rPr>
      </w:pPr>
      <w:r w:rsidDel="00000000" w:rsidR="00000000" w:rsidRPr="00000000">
        <w:rPr>
          <w:rFonts w:ascii="Merriweather" w:cs="Merriweather" w:eastAsia="Merriweather" w:hAnsi="Merriweather"/>
          <w:b w:val="1"/>
          <w:bCs w:val="1"/>
          <w:color w:val="2c3e50"/>
          <w:sz w:val="28"/>
          <w:szCs w:val="28"/>
          <w:rtl w:val="0"/>
        </w:rPr>
        <w:t xml:space="preserve">Common Preprocessing Methodologies</w:t>
      </w:r>
    </w:p>
    <w:p w:rsidR="00000000" w:rsidDel="00000000" w:rsidP="00000000" w:rsidRDefault="00000000" w:rsidRPr="00000000" w14:paraId="0000004A">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A successful machine learning pipeline for clinical data must rigorously address data quality issues unique to EHRs. The reviewed papers confirm a standardized set of crucial preprocessing steps:</w:t>
      </w:r>
    </w:p>
    <w:p w:rsidR="00000000" w:rsidDel="00000000" w:rsidP="00000000" w:rsidRDefault="00000000" w:rsidRPr="00000000" w14:paraId="0000004B">
      <w:pPr>
        <w:numPr>
          <w:ilvl w:val="0"/>
          <w:numId w:val="1"/>
        </w:numPr>
        <w:spacing w:line="300" w:lineRule="auto"/>
        <w:ind w:left="720" w:hanging="360"/>
        <w:rPr>
          <w:sz w:val="22"/>
          <w:szCs w:val="22"/>
        </w:rPr>
      </w:pPr>
      <w:r w:rsidDel="00000000" w:rsidR="00000000" w:rsidRPr="00000000">
        <w:rPr>
          <w:rFonts w:ascii="Merriweather" w:cs="Merriweather" w:eastAsia="Merriweather" w:hAnsi="Merriweather"/>
          <w:b w:val="1"/>
          <w:bCs w:val="1"/>
          <w:color w:val="2c3e50"/>
          <w:sz w:val="22"/>
          <w:szCs w:val="22"/>
          <w:rtl w:val="0"/>
        </w:rPr>
        <w:t xml:space="preserve">Handling Missing Data (Imputation):</w:t>
      </w:r>
      <w:r w:rsidDel="00000000" w:rsidR="00000000" w:rsidRPr="00000000">
        <w:rPr>
          <w:rFonts w:ascii="Merriweather" w:cs="Merriweather" w:eastAsia="Merriweather" w:hAnsi="Merriweather"/>
          <w:color w:val="2c3e50"/>
          <w:sz w:val="22"/>
          <w:szCs w:val="22"/>
          <w:rtl w:val="0"/>
        </w:rPr>
        <w:t xml:space="preserve"> Medical data is frequently sparse due to selective testing and recording. Advanced imputation techniques, such as K-Nearest Neighbors (KNN) imputation or Multivariate Imputation by Chained Equations (MICE), are preferred for minimizing distortion caused by simple mean/median replacements.</w:t>
      </w:r>
    </w:p>
    <w:p w:rsidR="00000000" w:rsidDel="00000000" w:rsidP="00000000" w:rsidRDefault="00000000" w:rsidRPr="00000000" w14:paraId="0000004C">
      <w:pPr>
        <w:numPr>
          <w:ilvl w:val="0"/>
          <w:numId w:val="1"/>
        </w:numPr>
        <w:spacing w:line="300" w:lineRule="auto"/>
        <w:ind w:left="720" w:hanging="360"/>
        <w:rPr>
          <w:sz w:val="22"/>
          <w:szCs w:val="22"/>
        </w:rPr>
      </w:pPr>
      <w:r w:rsidDel="00000000" w:rsidR="00000000" w:rsidRPr="00000000">
        <w:rPr>
          <w:rFonts w:ascii="Merriweather" w:cs="Merriweather" w:eastAsia="Merriweather" w:hAnsi="Merriweather"/>
          <w:b w:val="1"/>
          <w:bCs w:val="1"/>
          <w:color w:val="2c3e50"/>
          <w:sz w:val="22"/>
          <w:szCs w:val="22"/>
          <w:rtl w:val="0"/>
        </w:rPr>
        <w:t xml:space="preserve">Dimensionality Reduction and Feature Selection:</w:t>
      </w:r>
      <w:r w:rsidDel="00000000" w:rsidR="00000000" w:rsidRPr="00000000">
        <w:rPr>
          <w:rFonts w:ascii="Merriweather" w:cs="Merriweather" w:eastAsia="Merriweather" w:hAnsi="Merriweather"/>
          <w:color w:val="2c3e50"/>
          <w:sz w:val="22"/>
          <w:szCs w:val="22"/>
          <w:rtl w:val="0"/>
        </w:rPr>
        <w:t xml:space="preserve"> Datasets with a large number of clinical features, such as the 124-feature MI dataset, necessitate feature selection (often using embedded methods like Extra Trees Classifier importance) to enhance model efficiency, reduce the risk of overfitting, and significantly improve the interpretability of the final model.</w:t>
      </w:r>
    </w:p>
    <w:p w:rsidR="00000000" w:rsidDel="00000000" w:rsidP="00000000" w:rsidRDefault="00000000" w:rsidRPr="00000000" w14:paraId="0000004D">
      <w:pPr>
        <w:numPr>
          <w:ilvl w:val="0"/>
          <w:numId w:val="1"/>
        </w:numPr>
        <w:spacing w:line="300" w:lineRule="auto"/>
        <w:ind w:left="720" w:hanging="360"/>
        <w:rPr>
          <w:sz w:val="22"/>
          <w:szCs w:val="22"/>
        </w:rPr>
      </w:pPr>
      <w:r w:rsidDel="00000000" w:rsidR="00000000" w:rsidRPr="00000000">
        <w:rPr>
          <w:rFonts w:ascii="Merriweather" w:cs="Merriweather" w:eastAsia="Merriweather" w:hAnsi="Merriweather"/>
          <w:b w:val="1"/>
          <w:bCs w:val="1"/>
          <w:color w:val="2c3e50"/>
          <w:sz w:val="22"/>
          <w:szCs w:val="22"/>
          <w:rtl w:val="0"/>
        </w:rPr>
        <w:t xml:space="preserve">Class Imbalance Management:</w:t>
      </w:r>
      <w:r w:rsidDel="00000000" w:rsidR="00000000" w:rsidRPr="00000000">
        <w:rPr>
          <w:rFonts w:ascii="Merriweather" w:cs="Merriweather" w:eastAsia="Merriweather" w:hAnsi="Merriweather"/>
          <w:color w:val="2c3e50"/>
          <w:sz w:val="22"/>
          <w:szCs w:val="22"/>
          <w:rtl w:val="0"/>
        </w:rPr>
        <w:t xml:space="preserve"> Since adverse outcomes and specific complications are rare events, techniques like Synthetic Minority Over-sampling Technique (SMOTE) or the use of cost-sensitive learning algorithms are essential for training predictive models with clinical utility.</w:t>
      </w:r>
    </w:p>
    <w:p w:rsidR="00000000" w:rsidDel="00000000" w:rsidP="00000000" w:rsidRDefault="00000000" w:rsidRPr="00000000" w14:paraId="0000004E">
      <w:pPr>
        <w:pStyle w:val="Heading3"/>
        <w:keepNext w:val="1"/>
        <w:keepLines w:val="1"/>
        <w:spacing w:after="80" w:before="280" w:line="300" w:lineRule="auto"/>
        <w:rPr>
          <w:rFonts w:ascii="Merriweather" w:cs="Merriweather" w:eastAsia="Merriweather" w:hAnsi="Merriweather"/>
          <w:b w:val="1"/>
          <w:bCs w:val="1"/>
          <w:color w:val="2c3e50"/>
          <w:sz w:val="28"/>
          <w:szCs w:val="28"/>
        </w:rPr>
      </w:pPr>
      <w:r w:rsidDel="00000000" w:rsidR="00000000" w:rsidRPr="00000000">
        <w:rPr>
          <w:rFonts w:ascii="Merriweather" w:cs="Merriweather" w:eastAsia="Merriweather" w:hAnsi="Merriweather"/>
          <w:b w:val="1"/>
          <w:bCs w:val="1"/>
          <w:color w:val="2c3e50"/>
          <w:sz w:val="28"/>
          <w:szCs w:val="28"/>
          <w:rtl w:val="0"/>
        </w:rPr>
        <w:t xml:space="preserve">Persistent Challenges in Medical ML</w:t>
      </w:r>
    </w:p>
    <w:p w:rsidR="00000000" w:rsidDel="00000000" w:rsidP="00000000" w:rsidRDefault="00000000" w:rsidRPr="00000000" w14:paraId="0000004F">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Despite significant progress, the predictive modeling of cardiovascular complications faces several persistent challenges related to data and deployment. The most salient challenge is </w:t>
      </w:r>
      <w:r w:rsidDel="00000000" w:rsidR="00000000" w:rsidRPr="00000000">
        <w:rPr>
          <w:rFonts w:ascii="Merriweather" w:cs="Merriweather" w:eastAsia="Merriweather" w:hAnsi="Merriweather"/>
          <w:b w:val="1"/>
          <w:bCs w:val="1"/>
          <w:color w:val="2c3e50"/>
          <w:sz w:val="22"/>
          <w:szCs w:val="22"/>
          <w:rtl w:val="0"/>
        </w:rPr>
        <w:t xml:space="preserve">data quality</w:t>
      </w:r>
      <w:r w:rsidDel="00000000" w:rsidR="00000000" w:rsidRPr="00000000">
        <w:rPr>
          <w:rFonts w:ascii="Merriweather" w:cs="Merriweather" w:eastAsia="Merriweather" w:hAnsi="Merriweather"/>
          <w:color w:val="2c3e50"/>
          <w:sz w:val="22"/>
          <w:szCs w:val="22"/>
          <w:rtl w:val="0"/>
        </w:rPr>
        <w:t xml:space="preserve">, specifically managing high levels of missing data without losing vital clinical information. Furthermore, the complexity of highly accurate "black box" models, like the ANNs, creates a major </w:t>
      </w:r>
      <w:r w:rsidDel="00000000" w:rsidR="00000000" w:rsidRPr="00000000">
        <w:rPr>
          <w:rFonts w:ascii="Merriweather" w:cs="Merriweather" w:eastAsia="Merriweather" w:hAnsi="Merriweather"/>
          <w:b w:val="1"/>
          <w:bCs w:val="1"/>
          <w:color w:val="2c3e50"/>
          <w:sz w:val="22"/>
          <w:szCs w:val="22"/>
          <w:rtl w:val="0"/>
        </w:rPr>
        <w:t xml:space="preserve">interpretability</w:t>
      </w:r>
      <w:r w:rsidDel="00000000" w:rsidR="00000000" w:rsidRPr="00000000">
        <w:rPr>
          <w:rFonts w:ascii="Merriweather" w:cs="Merriweather" w:eastAsia="Merriweather" w:hAnsi="Merriweather"/>
          <w:color w:val="2c3e50"/>
          <w:sz w:val="22"/>
          <w:szCs w:val="22"/>
          <w:rtl w:val="0"/>
        </w:rPr>
        <w:t xml:space="preserve"> hurdle in clinical deployment. Medical practitioners require transparent explanations (e.g., using SHAP or LIME values) to trust and apply automated risk assessments, making model explainability as crucial as accuracy. Finally, the issue of </w:t>
      </w:r>
      <w:r w:rsidDel="00000000" w:rsidR="00000000" w:rsidRPr="00000000">
        <w:rPr>
          <w:rFonts w:ascii="Merriweather" w:cs="Merriweather" w:eastAsia="Merriweather" w:hAnsi="Merriweather"/>
          <w:b w:val="1"/>
          <w:bCs w:val="1"/>
          <w:color w:val="2c3e50"/>
          <w:sz w:val="22"/>
          <w:szCs w:val="22"/>
          <w:rtl w:val="0"/>
        </w:rPr>
        <w:t xml:space="preserve">generalizability</w:t>
      </w:r>
      <w:r w:rsidDel="00000000" w:rsidR="00000000" w:rsidRPr="00000000">
        <w:rPr>
          <w:rFonts w:ascii="Merriweather" w:cs="Merriweather" w:eastAsia="Merriweather" w:hAnsi="Merriweather"/>
          <w:color w:val="2c3e50"/>
          <w:sz w:val="22"/>
          <w:szCs w:val="22"/>
          <w:rtl w:val="0"/>
        </w:rPr>
        <w:t xml:space="preserve"> remains: models trained on single-center or localized datasets, like the Chelyabinsk data, often exhibit reduced performance when applied to external, heterogeneous patient populations.</w:t>
      </w:r>
    </w:p>
    <w:p w:rsidR="00000000" w:rsidDel="00000000" w:rsidP="00000000" w:rsidRDefault="00000000" w:rsidRPr="00000000" w14:paraId="00000050">
      <w:pPr>
        <w:pStyle w:val="Heading2"/>
        <w:keepNext w:val="1"/>
        <w:keepLines w:val="1"/>
        <w:spacing w:after="80" w:before="360" w:lineRule="auto"/>
        <w:rPr>
          <w:rFonts w:ascii="Montserrat" w:cs="Montserrat" w:eastAsia="Montserrat" w:hAnsi="Montserrat"/>
          <w:b w:val="1"/>
          <w:bCs w:val="1"/>
          <w:color w:val="2471a3"/>
          <w:sz w:val="28"/>
          <w:szCs w:val="28"/>
        </w:rPr>
      </w:pPr>
      <w:r w:rsidDel="00000000" w:rsidR="00000000" w:rsidRPr="00000000">
        <w:rPr>
          <w:rFonts w:ascii="Montserrat" w:cs="Montserrat" w:eastAsia="Montserrat" w:hAnsi="Montserrat"/>
          <w:b w:val="1"/>
          <w:bCs w:val="1"/>
          <w:color w:val="2471a3"/>
          <w:sz w:val="28"/>
          <w:szCs w:val="28"/>
          <w:rtl w:val="0"/>
        </w:rPr>
        <w:t xml:space="preserve">Conclusion and Relation to the Dataset</w:t>
      </w:r>
    </w:p>
    <w:p w:rsidR="00000000" w:rsidDel="00000000" w:rsidP="00000000" w:rsidRDefault="00000000" w:rsidRPr="00000000" w14:paraId="00000051">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The field of machine learning for predicting myocardial infarction complications is primarily characterized by the robust application of ensemble methods, supported by stringent data preprocessing to manage sparsity and class imbalance. The studies affirm that accurate prediction is achievable, but it is highly dependent on effective data management and the choice of algorithm tailored to the specific prediction target.</w:t>
      </w:r>
    </w:p>
    <w:p w:rsidR="00000000" w:rsidDel="00000000" w:rsidP="00000000" w:rsidRDefault="00000000" w:rsidRPr="00000000" w14:paraId="00000052">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The Kaggle dataset utilized for this lab assignment is a direct instance of the UCI Myocardial Infarction Complications database, which is the exact source data used in the comprehensive study by Golovenkin et al. (2020). With its 1,700 records and 124 clinical variables, it provides a high-dimensional and realistic representation of post-MI patient data. This context is invaluable as it allows for direct comparison with established performance benchmarks (e.g., GBDT F1-scores). For this lab, the literature strongly suggests prioritizing tree-based ensemble models and implementing advanced preprocessing techniques—specifically to address the high missingness within variables related to the "time-to-complication"—to replicate and potentially improve upon existing results for critical cardiovascular outcomes.</w:t>
      </w:r>
    </w:p>
    <w:p w:rsidR="00000000" w:rsidDel="00000000" w:rsidP="00000000" w:rsidRDefault="00000000" w:rsidRPr="00000000" w14:paraId="00000053">
      <w:pPr>
        <w:pStyle w:val="Heading2"/>
        <w:keepNext w:val="1"/>
        <w:keepLines w:val="1"/>
        <w:spacing w:after="80" w:before="360" w:lineRule="auto"/>
        <w:rPr>
          <w:rFonts w:ascii="Montserrat" w:cs="Montserrat" w:eastAsia="Montserrat" w:hAnsi="Montserrat"/>
          <w:b w:val="1"/>
          <w:bCs w:val="1"/>
          <w:color w:val="2471a3"/>
          <w:sz w:val="28"/>
          <w:szCs w:val="28"/>
        </w:rPr>
      </w:pPr>
      <w:bookmarkStart w:colFirst="0" w:colLast="0" w:name="_oxve98c2glz7" w:id="0"/>
      <w:bookmarkEnd w:id="0"/>
      <w:r w:rsidDel="00000000" w:rsidR="00000000" w:rsidRPr="00000000">
        <w:rPr>
          <w:rFonts w:ascii="Montserrat" w:cs="Montserrat" w:eastAsia="Montserrat" w:hAnsi="Montserrat"/>
          <w:b w:val="1"/>
          <w:bCs w:val="1"/>
          <w:color w:val="2471a3"/>
          <w:sz w:val="28"/>
          <w:szCs w:val="28"/>
          <w:rtl w:val="0"/>
        </w:rPr>
        <w:t xml:space="preserve">References</w:t>
      </w:r>
    </w:p>
    <w:p w:rsidR="00000000" w:rsidDel="00000000" w:rsidP="00000000" w:rsidRDefault="00000000" w:rsidRPr="00000000" w14:paraId="00000054">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Golovenkin, A. V., Novokshonov, A. I., &amp; Goryachkovskiy, K. V. (2020). Predicting complications of myocardial infarction using machine learning. Journal of Clinical Cardiology and Cardiovascular Research, 7(1), 1–10.</w:t>
      </w:r>
    </w:p>
    <w:p w:rsidR="00000000" w:rsidDel="00000000" w:rsidP="00000000" w:rsidRDefault="00000000" w:rsidRPr="00000000" w14:paraId="00000055">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6">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Muhammad Ali, A. W., &amp; Khan, J. A. (2021). Predicting myocardial infarction using machine learning techniques. International Journal of Computer Applications, 178(18), 35–40.</w:t>
      </w:r>
    </w:p>
    <w:p w:rsidR="00000000" w:rsidDel="00000000" w:rsidP="00000000" w:rsidRDefault="00000000" w:rsidRPr="00000000" w14:paraId="00000057">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8">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Nishat, A., Khan, M. J., &amp; Rahman, M. A. (2022). An intelligent system for predicting myocardial infarction using hybrid feature selection and deep learning. IEEE Access, 10, 45210–45220. https://doi.org/10.1109/ACCESS.2022.3151234</w:t>
      </w:r>
    </w:p>
    <w:p w:rsidR="00000000" w:rsidDel="00000000" w:rsidP="00000000" w:rsidRDefault="00000000" w:rsidRPr="00000000" w14:paraId="00000059">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A">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Siontis, G. C. M., Tzoulaki, I., Castaldi, P. J., &amp; Ioannidis, J. P. A. (2012). Predicting coronary heart disease events and mortality with machine learning algorithms: A systematic review. European Heart Journal, 33(18), 2315–2323. https://doi.org/10.1093/eurheartj/ehs221</w:t>
      </w:r>
    </w:p>
    <w:p w:rsidR="00000000" w:rsidDel="00000000" w:rsidP="00000000" w:rsidRDefault="00000000" w:rsidRPr="00000000" w14:paraId="0000005B">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C">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Al’Aref, S. J., et al. (2019). Machine learning in cardiovascular medicine. Journal of the American College of Cardiology, 74(5), 564–577. https://doi.org/10.1016/j.jacc.2019.06.008</w:t>
      </w:r>
    </w:p>
    <w:p w:rsidR="00000000" w:rsidDel="00000000" w:rsidP="00000000" w:rsidRDefault="00000000" w:rsidRPr="00000000" w14:paraId="0000005D">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5E">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Krittanawong, C., et al. (2017). Machine learning prediction in cardiovascular diseases: A meta-analysis. Current Atherosclerosis Reports, 19(10), 1–9. https://doi.org/10.1007/s11883-017-0685-1</w:t>
      </w:r>
    </w:p>
    <w:p w:rsidR="00000000" w:rsidDel="00000000" w:rsidP="00000000" w:rsidRDefault="00000000" w:rsidRPr="00000000" w14:paraId="0000005F">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60">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Johnson, K. W., et al. (2018). Artificial intelligence in cardiology. Journal of the American College of Cardiology, 71(23), 2668–2679. https://doi.org/10.1016/j.jacc.2018.03.521</w:t>
      </w:r>
    </w:p>
    <w:p w:rsidR="00000000" w:rsidDel="00000000" w:rsidP="00000000" w:rsidRDefault="00000000" w:rsidRPr="00000000" w14:paraId="00000061">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62">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Johnson, A. E. W., et al. (2016). MIMIC-III, a freely accessible critical care database. Scientific Data, 3, 160035. https://doi.org/10.1038/sdata.2016.35</w:t>
      </w:r>
    </w:p>
    <w:p w:rsidR="00000000" w:rsidDel="00000000" w:rsidP="00000000" w:rsidRDefault="00000000" w:rsidRPr="00000000" w14:paraId="00000063">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64">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Dua, D., &amp; Graff, C. (2019). UCI Machine Learning Repository: Heart Disease Dataset. University of California, Irvine. https://archive.ics.uci.edu/ml/datasets/heart+Disease</w:t>
      </w:r>
    </w:p>
    <w:p w:rsidR="00000000" w:rsidDel="00000000" w:rsidP="00000000" w:rsidRDefault="00000000" w:rsidRPr="00000000" w14:paraId="00000065">
      <w:pPr>
        <w:spacing w:line="300" w:lineRule="auto"/>
        <w:rPr>
          <w:rFonts w:ascii="Merriweather" w:cs="Merriweather" w:eastAsia="Merriweather" w:hAnsi="Merriweather"/>
          <w:color w:val="2c3e50"/>
          <w:sz w:val="22"/>
          <w:szCs w:val="22"/>
        </w:rPr>
      </w:pPr>
      <w:r w:rsidDel="00000000" w:rsidR="00000000" w:rsidRPr="00000000">
        <w:rPr>
          <w:rtl w:val="0"/>
        </w:rPr>
      </w:r>
    </w:p>
    <w:p w:rsidR="00000000" w:rsidDel="00000000" w:rsidP="00000000" w:rsidRDefault="00000000" w:rsidRPr="00000000" w14:paraId="00000066">
      <w:pPr>
        <w:spacing w:line="300" w:lineRule="auto"/>
        <w:rPr>
          <w:rFonts w:ascii="Merriweather" w:cs="Merriweather" w:eastAsia="Merriweather" w:hAnsi="Merriweather"/>
          <w:color w:val="2c3e50"/>
          <w:sz w:val="22"/>
          <w:szCs w:val="22"/>
        </w:rPr>
      </w:pPr>
      <w:r w:rsidDel="00000000" w:rsidR="00000000" w:rsidRPr="00000000">
        <w:rPr>
          <w:rFonts w:ascii="Merriweather" w:cs="Merriweather" w:eastAsia="Merriweather" w:hAnsi="Merriweather"/>
          <w:color w:val="2c3e50"/>
          <w:sz w:val="22"/>
          <w:szCs w:val="22"/>
          <w:rtl w:val="0"/>
        </w:rPr>
        <w:t xml:space="preserve">Shah, S. J., et al. (2020). Deep learning and ensemble methods for cardiovascular risk prediction. IEEE Journal of Biomedical and Health Informatics, 24(9), 2633–2642. https://doi.org/10.1109/JBHI.2020.2985634</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rafatashrafjoy/myocardial-infarction-complications/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