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00" w:after="60" w:line="380" w:lineRule="exact"/>
        <w:ind w:left="120" w:right="12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إقرار من مالكي الوحدات:</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لقد قمت / قمنا بقراءة الشروط والأحكام والملاحق الخاصة بالصندوق وفهم ما جاء فيها والموافقة عليها، كما جرى الحصول على نسخة منها بعد التوقيع عليها. وإثباتاً لما تقدم، قام المستثمر بالتوقيع على هذه الشروط والأحكام الخاصة بالصندوق في التاريخ والسنة المذكورين أدناه.</w:t>
            </w:r>
          </w:p>
        </w:tc>
      </w:tr>
    </w:tbl>
    <w:p>
      <w:pPr>
        <w:keepNext w:val="0"/>
        <w:spacing w:before="0" w:after="0" w:line="60" w:lineRule="exact"/>
        <w:jc w:val="left"/>
      </w:pPr>
      <w:r>
        <w:rPr>
          <w:rFonts w:ascii="Arial" w:hAnsi="Arial" w:cs="Bahij TheSansArabic Plain"/>
          <w:b w:val="0"/>
          <w:color w:val="242235"/>
          <w:sz w:val="2"/>
        </w:rPr>
        <w:t xml:space="preserve"> </w:t>
      </w:r>
    </w:p>
    <w:p>
      <w:pPr>
        <w:keepNext w:val="0"/>
        <w:spacing w:before="0" w:after="0" w:line="500" w:lineRule="exact"/>
        <w:jc w:val="left"/>
      </w:pPr>
      <w:r>
        <w:rPr>
          <w:rFonts w:ascii="Arial" w:hAnsi="Arial" w:cs="Bahij TheSansArabic Plain"/>
          <w:b w:val="0"/>
          <w:color w:val="242235"/>
          <w:sz w:val="2"/>
        </w:rPr>
        <w:t xml:space="preserve"> </w:t>
      </w:r>
    </w:p>
    <w:p>
      <w:pPr>
        <w:keepNext/>
        <w:spacing w:before="100" w:after="60" w:line="380" w:lineRule="exact"/>
        <w:ind w:left="120" w:right="12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من قبل المستثمر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w:t>
            </w:r>
          </w:p>
          <w:p>
            <w:pPr>
              <w:keepNext w:val="0"/>
              <w:spacing w:before="0" w:after="0" w:line="220" w:lineRule="exact"/>
              <w:jc w:val="left"/>
            </w:pPr>
            <w:r>
              <w:rPr>
                <w:rFonts w:ascii="Arial" w:hAnsi="Arial" w:cs="Bahij TheSansArabic Plain"/>
                <w:b w:val="0"/>
                <w:color w:val="656575"/>
                <w:sz w:val="15"/>
              </w:rPr>
            </w:r>
          </w:p>
          <w:p>
            <w:pPr>
              <w:keepNext w:val="0"/>
              <w:spacing w:before="0" w:after="0" w:line="9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التوقيع:</w:t>
            </w:r>
          </w:p>
          <w:p>
            <w:pPr>
              <w:keepNext w:val="0"/>
              <w:spacing w:before="0" w:after="0" w:line="220" w:lineRule="exact"/>
              <w:jc w:val="left"/>
            </w:pPr>
            <w:r>
              <w:rPr>
                <w:rFonts w:ascii="Arial" w:hAnsi="Arial" w:cs="Bahij TheSansArabic Plain"/>
                <w:b w:val="0"/>
                <w:color w:val="656575"/>
                <w:sz w:val="15"/>
              </w:rPr>
            </w:r>
          </w:p>
          <w:p>
            <w:pPr>
              <w:keepNext w:val="0"/>
              <w:spacing w:before="0" w:after="0" w:line="9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التاريخ:</w:t>
            </w:r>
          </w:p>
          <w:p>
            <w:pPr>
              <w:keepNext w:val="0"/>
              <w:spacing w:before="0" w:after="0" w:line="220" w:lineRule="exact"/>
              <w:jc w:val="left"/>
            </w:pPr>
            <w:r>
              <w:rPr>
                <w:rFonts w:ascii="Arial" w:hAnsi="Arial" w:cs="Bahij TheSansArabic Plain"/>
                <w:b w:val="0"/>
                <w:color w:val="656575"/>
                <w:sz w:val="15"/>
              </w:rPr>
            </w:r>
          </w:p>
          <w:p>
            <w:pPr>
              <w:keepNext w:val="0"/>
              <w:spacing w:before="0" w:after="0" w:line="9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90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العضو المنتدب والرئيس التنفيذي</w:t>
              <w:br/>
              <w:t>د. محمد بسام هاشم السيد</w:t>
            </w:r>
          </w:p>
        </w:tc>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مسؤول المطابقة والالتزام</w:t>
              <w:br/>
              <w:t>أسامه فايز المالكي</w:t>
            </w:r>
          </w:p>
        </w:tc>
      </w:tr>
    </w:tbl>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إتقان كابيتال | صندوق النعيم العقاري</w:t>
          </w:r>
        </w:p>
        <w:p>
          <w:pPr>
            <w:keepNext w:val="0"/>
            <w:spacing w:before="0" w:after="0" w:line="240" w:lineRule="exact"/>
            <w:jc w:val="right"/>
          </w:pPr>
          <w:r>
            <w:rPr>
              <w:rFonts w:ascii="Arial" w:hAnsi="Arial" w:cs="Bahij TheSansArabic Plain"/>
              <w:b/>
              <w:color w:val="656575"/>
              <w:sz w:val="18"/>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إتقان كابيتال | صندوق النعيم العقاري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