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rand.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right"/>
        <w:shd w:fill="401D58"/>
      </w:pPr>
      <w:r>
        <w:rPr>
          <w:rFonts w:ascii="Arial" w:hAnsi="Arial" w:cs="Bahij TheSansArabic Plain"/>
          <w:b/>
          <w:color w:val="FFFFFF"/>
          <w:sz w:val="17"/>
        </w:rPr>
      </w:r>
      <w:r>
        <w:rPr>
          <w:rFonts w:ascii="Bahij TheSansArabic Plain" w:hAnsi="Bahij TheSansArabic Plain" w:cs="Bahij TheSansArabic Plain"/>
          <w:b/>
          <w:color w:val="FFFFFF"/>
          <w:sz w:val="20"/>
          <w:rtl/>
          <w:szCs w:val="20"/>
          <w:bCs/>
        </w:rPr>
        <w:t>إقرار من مالكي الوحدات:</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لقد قمت / قمنا بقراءة الشروط والأحكام والملاحق الخاصة بالصندوق وفهم ما جاء فيها والموافقة عليها، كما جرى الحصول على نسخة منها بعد التوقيع عليها. وإثباتاً لما تقدم، قام المستثمر بالتوقيع على هذه الشروط والأحكام الخاصة بالصندوق في التاريخ والسنة المذكورين أدناه.</w:t>
            </w:r>
          </w:p>
        </w:tc>
      </w:tr>
    </w:tbl>
    <w:p>
      <w:pPr>
        <w:keepNext w:val="0"/>
        <w:spacing w:before="0" w:after="0" w:line="60" w:lineRule="exact"/>
        <w:jc w:val="left"/>
      </w:pPr>
      <w:r>
        <w:rPr>
          <w:rFonts w:ascii="Arial" w:hAnsi="Arial" w:cs="Bahij TheSansArabic Plain"/>
          <w:b w:val="0"/>
          <w:color w:val="242235"/>
          <w:sz w:val="2"/>
        </w:rPr>
        <w:t xml:space="preserve"> </w:t>
      </w:r>
    </w:p>
    <w:p>
      <w:pPr>
        <w:keepNext w:val="0"/>
        <w:spacing w:before="0" w:after="0" w:line="50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right"/>
        <w:shd w:fill="401D58"/>
      </w:pPr>
      <w:r>
        <w:rPr>
          <w:rFonts w:ascii="Arial" w:hAnsi="Arial" w:cs="Bahij TheSansArabic Plain"/>
          <w:b/>
          <w:color w:val="FFFFFF"/>
          <w:sz w:val="17"/>
        </w:rPr>
      </w:r>
      <w:r>
        <w:rPr>
          <w:rFonts w:ascii="Bahij TheSansArabic Plain" w:hAnsi="Bahij TheSansArabic Plain" w:cs="Bahij TheSansArabic Plain"/>
          <w:b/>
          <w:color w:val="FFFFFF"/>
          <w:sz w:val="20"/>
          <w:rtl/>
          <w:szCs w:val="20"/>
          <w:bCs/>
        </w:rPr>
        <w:t>من قبل المستثمر</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التوقيع:</w:t>
            </w:r>
          </w:p>
          <w:p>
            <w:pPr>
              <w:keepNext w:val="0"/>
              <w:spacing w:before="0" w:after="0" w:line="220" w:lineRule="exact"/>
              <w:jc w:val="left"/>
            </w:pPr>
            <w:r>
              <w:rPr>
                <w:rFonts w:ascii="Arial" w:hAnsi="Arial" w:cs="Bahij TheSansArabic Plain"/>
                <w:b w:val="0"/>
                <w:color w:val="656575"/>
                <w:sz w:val="15"/>
              </w:rPr>
            </w:r>
          </w:p>
          <w:p>
            <w:pPr>
              <w:keepNext w:val="0"/>
              <w:spacing w:before="0" w:after="0" w:line="11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الاسم:</w:t>
            </w:r>
          </w:p>
          <w:p>
            <w:pPr>
              <w:keepNext w:val="0"/>
              <w:spacing w:before="0" w:after="0" w:line="220" w:lineRule="exact"/>
              <w:jc w:val="left"/>
            </w:pPr>
            <w:r>
              <w:rPr>
                <w:rFonts w:ascii="Arial" w:hAnsi="Arial" w:cs="Bahij TheSansArabic Plain"/>
                <w:b w:val="0"/>
                <w:color w:val="656575"/>
                <w:sz w:val="15"/>
              </w:rPr>
            </w:r>
          </w:p>
          <w:p>
            <w:pPr>
              <w:keepNext w:val="0"/>
              <w:spacing w:before="0" w:after="0" w:line="11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التاريخ:</w:t>
            </w:r>
          </w:p>
          <w:p>
            <w:pPr>
              <w:keepNext w:val="0"/>
              <w:spacing w:before="0" w:after="0" w:line="220" w:lineRule="exact"/>
              <w:jc w:val="left"/>
            </w:pPr>
            <w:r>
              <w:rPr>
                <w:rFonts w:ascii="Arial" w:hAnsi="Arial" w:cs="Bahij TheSansArabic Plain"/>
                <w:b w:val="0"/>
                <w:color w:val="656575"/>
                <w:sz w:val="15"/>
              </w:rPr>
            </w:r>
          </w:p>
          <w:p>
            <w:pPr>
              <w:keepNext w:val="0"/>
              <w:spacing w:before="0" w:after="0" w:line="6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p>
      <w:pPr>
        <w:keepNext w:val="0"/>
        <w:spacing w:before="0" w:after="0" w:line="90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rPr>
          <w:cantSplit/>
        </w:trPr>
        <w:tc>
          <w:tcPr>
            <w:tcW w:type="dxa" w:w="4993"/>
            <w:tcMar>
              <w:top w:w="65" w:type="dxa"/>
              <w:bottom w:w="55" w:type="dxa"/>
              <w:left w:w="100" w:type="dxa"/>
              <w:right w:w="100" w:type="dxa"/>
            </w:tcMar>
          </w:tcPr>
          <w:p>
            <w:pPr>
              <w:keepNext w:val="0"/>
              <w:spacing w:before="0" w:after="0" w:line="320" w:lineRule="exact"/>
              <w:jc w:val="start"/>
              <w:bidi/>
            </w:pPr>
            <w:r>
              <w:rPr>
                <w:rFonts w:ascii="Bahij TheSansArabic Plain" w:hAnsi="Bahij TheSansArabic Plain" w:cs="Bahij TheSansArabic Plain"/>
                <w:b w:val="0"/>
                <w:color w:val="242235"/>
                <w:sz w:val="20"/>
                <w:rtl/>
                <w:szCs w:val="20"/>
              </w:rPr>
              <w:t>العضو المنتدب والرئيس التنفيذي</w:t>
              <w:br/>
              <w:t>د. محمد بسام هاشم السيد</w:t>
            </w:r>
          </w:p>
        </w:tc>
        <w:tc>
          <w:tcPr>
            <w:tcW w:type="dxa" w:w="4993"/>
            <w:tcMar>
              <w:top w:w="65" w:type="dxa"/>
              <w:bottom w:w="55" w:type="dxa"/>
              <w:left w:w="100" w:type="dxa"/>
              <w:right w:w="100" w:type="dxa"/>
            </w:tcMar>
          </w:tcPr>
          <w:p>
            <w:pPr>
              <w:keepNext w:val="0"/>
              <w:spacing w:before="0" w:after="0" w:line="320" w:lineRule="exact"/>
              <w:jc w:val="start"/>
              <w:bidi/>
            </w:pPr>
            <w:r>
              <w:rPr>
                <w:rFonts w:ascii="Bahij TheSansArabic Plain" w:hAnsi="Bahij TheSansArabic Plain" w:cs="Bahij TheSansArabic Plain"/>
                <w:b w:val="0"/>
                <w:color w:val="242235"/>
                <w:sz w:val="20"/>
                <w:rtl/>
                <w:szCs w:val="20"/>
              </w:rPr>
              <w:t>مسؤول المطابقة والالتزام</w:t>
              <w:br/>
              <w:t>أسامه فايز المالكي</w:t>
            </w:r>
          </w:p>
        </w:tc>
      </w:tr>
    </w:tbl>
    <w:sectPr w:rsidR="00FC693F" w:rsidRPr="0006063C" w:rsidSect="00034616">
      <w:footerReference w:type="default" r:id="rId9"/>
      <w:headerReference w:type="default" r:id="rId11"/>
      <w:pgSz w:w="11906" w:h="16838"/>
      <w:pgMar w:top="1860" w:right="960" w:bottom="1220" w:left="960" w:header="40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hij TheSansArabic Plain">
    <w:embedRegular r:id="rIdBrandFont" w:fontKey="{C21BF72F-E6F0-4C82-B547-192DC4DDBAD8}"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196" w:lineRule="exact"/>
      <w:jc w:val="left"/>
    </w:pPr>
    <w:r>
      <w:rPr>
        <w:rFonts w:ascii="Arial" w:hAnsi="Arial" w:cs="Bahij TheSansArabic Plain"/>
        <w:b w:val="0"/>
        <w:color w:val="656575"/>
        <w:sz w:val="14"/>
      </w:rPr>
    </w:r>
  </w:p>
  <w:p>
    <w:pPr>
      <w:keepNext w:val="0"/>
      <w:spacing w:before="0" w:after="0" w:line="180" w:lineRule="exact"/>
      <w:jc w:val="center"/>
    </w:pPr>
    <w:r>
      <w:rPr>
        <w:rFonts w:ascii="Arial" w:hAnsi="Arial" w:cs="Bahij TheSansArabic Plain"/>
        <w:b w:val="0"/>
        <w:color w:val="656575"/>
        <w:sz w:val="14"/>
      </w:rPr>
      <w:t>7762 King Fahd Branch Road | 4162 Al Malqa District | Muath Tower | Riyadh 13521 | Kingdom of Saudi Arabia</w:t>
    </w:r>
  </w:p>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2820"/>
      <w:gridCol w:w="7166"/>
    </w:tblGrid>
    <w:tr>
      <w:trPr>
        <w:cantSplit/>
      </w:trPr>
      <w:tc>
        <w:tcPr>
          <w:tcW w:type="dxa" w:w="2820"/>
          <w:tcMar>
            <w:top w:w="65" w:type="dxa"/>
            <w:bottom w:w="55" w:type="dxa"/>
            <w:left w:w="100" w:type="dxa"/>
            <w:right w:w="100" w:type="dxa"/>
          </w:tcMar>
        </w:tcPr>
        <w:p>
          <w:r>
            <w:drawing>
              <wp:inline xmlns:a="http://schemas.openxmlformats.org/drawingml/2006/main" xmlns:pic="http://schemas.openxmlformats.org/drawingml/2006/picture">
                <wp:extent cx="1625600" cy="616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25600" cy="616299"/>
                        </a:xfrm>
                        <a:prstGeom prst="rect"/>
                      </pic:spPr>
                    </pic:pic>
                  </a:graphicData>
                </a:graphic>
              </wp:inline>
            </w:drawing>
          </w:r>
        </w:p>
      </w:tc>
      <w:tc>
        <w:tcPr>
          <w:tcW w:type="dxa" w:w="7166"/>
          <w:tcMar>
            <w:top w:w="65" w:type="dxa"/>
            <w:bottom w:w="55" w:type="dxa"/>
            <w:left w:w="100" w:type="dxa"/>
            <w:right w:w="100" w:type="dxa"/>
          </w:tcMar>
        </w:tcPr>
        <w:p>
          <w:pPr>
            <w:keepNext w:val="0"/>
            <w:spacing w:before="0" w:after="0" w:line="380" w:lineRule="exact"/>
            <w:jc w:val="start"/>
            <w:bidi/>
          </w:pPr>
          <w:r>
            <w:rPr>
              <w:rFonts w:ascii="Bahij TheSansArabic Plain" w:hAnsi="Bahij TheSansArabic Plain" w:cs="Bahij TheSansArabic Plain"/>
              <w:b/>
              <w:color w:val="401D58"/>
              <w:sz w:val="28"/>
              <w:rtl/>
              <w:szCs w:val="28"/>
              <w:bCs/>
            </w:rPr>
            <w:t>إتقان كابيتال | صندوق النعيم العقاري</w:t>
          </w:r>
        </w:p>
        <w:p>
          <w:pPr>
            <w:keepNext w:val="0"/>
            <w:spacing w:before="0" w:after="0" w:line="240" w:lineRule="exact"/>
            <w:jc w:val="right"/>
          </w:pPr>
          <w:r>
            <w:rPr>
              <w:rFonts w:ascii="Arial" w:hAnsi="Arial" w:cs="Bahij TheSansArabic Plain"/>
              <w:b/>
              <w:color w:val="656575"/>
              <w:sz w:val="18"/>
            </w:rPr>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BrandFont" Type="http://schemas.openxmlformats.org/officeDocument/2006/relationships/font" Target="fonts/brand.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إتقان كابيتال | صندوق النعيم العقاري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