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920240" cy="516929"/>
            <wp:docPr id="1" name="Picture 1"/>
            <wp:cNvGraphicFramePr>
              <a:graphicFrameLocks noChangeAspect="1"/>
            </wp:cNvGraphicFramePr>
            <a:graphic>
              <a:graphicData uri="http://schemas.openxmlformats.org/drawingml/2006/picture">
                <pic:pic>
                  <pic:nvPicPr>
                    <pic:cNvPr id="0" name="kona-logo-official.png"/>
                    <pic:cNvPicPr/>
                  </pic:nvPicPr>
                  <pic:blipFill>
                    <a:blip r:embed="rId11"/>
                    <a:stretch>
                      <a:fillRect/>
                    </a:stretch>
                  </pic:blipFill>
                  <pic:spPr>
                    <a:xfrm>
                      <a:off x="0" y="0"/>
                      <a:ext cx="1920240" cy="516929"/>
                    </a:xfrm>
                    <a:prstGeom prst="rect"/>
                  </pic:spPr>
                </pic:pic>
              </a:graphicData>
            </a:graphic>
          </wp:inline>
        </w:drawing>
      </w:r>
    </w:p>
    <w:p>
      <w:pPr>
        <w:pStyle w:val="Title"/>
      </w:pPr>
      <w:r>
        <w:t>Inventory KONA Developer Handover</w:t>
      </w:r>
    </w:p>
    <w:p>
      <w:pPr>
        <w:pStyle w:val="Subtitle"/>
      </w:pPr>
      <w:r>
        <w:t>Architecture, module ownership, stock invariants, workflow rules, testing, deployment, rollback, and safe extension guide.</w:t>
      </w:r>
    </w:p>
    <w:p>
      <w:pPr>
        <w:spacing w:after="20"/>
      </w:pPr>
      <w:r>
        <w:rPr>
          <w:rFonts w:ascii="Calibri" w:hAnsi="Calibri"/>
          <w:b/>
          <w:color w:val="B78918"/>
          <w:sz w:val="18"/>
        </w:rPr>
        <w:t xml:space="preserve">Production URL: </w:t>
      </w:r>
      <w:r>
        <w:rPr>
          <w:rFonts w:ascii="Calibri" w:hAnsi="Calibri"/>
          <w:b w:val="0"/>
          <w:color w:val="111111"/>
          <w:sz w:val="18"/>
        </w:rPr>
        <w:t>https://inventory.ahmaddalao.com</w:t>
      </w:r>
    </w:p>
    <w:p>
      <w:pPr>
        <w:spacing w:after="20"/>
      </w:pPr>
      <w:r>
        <w:rPr>
          <w:rFonts w:ascii="Calibri" w:hAnsi="Calibri"/>
          <w:b/>
          <w:color w:val="B78918"/>
          <w:sz w:val="18"/>
        </w:rPr>
        <w:t xml:space="preserve">Production path: </w:t>
      </w:r>
      <w:r>
        <w:rPr>
          <w:rFonts w:ascii="Calibri" w:hAnsi="Calibri"/>
          <w:b w:val="0"/>
          <w:color w:val="111111"/>
          <w:sz w:val="18"/>
        </w:rPr>
        <w:t>/home/u867436826/domains/ahmaddalao.com/public_html/inventory</w:t>
      </w:r>
    </w:p>
    <w:p>
      <w:pPr>
        <w:spacing w:after="20"/>
      </w:pPr>
      <w:r>
        <w:rPr>
          <w:rFonts w:ascii="Calibri" w:hAnsi="Calibri"/>
          <w:b/>
          <w:color w:val="B78918"/>
          <w:sz w:val="18"/>
        </w:rPr>
        <w:t xml:space="preserve">Repository: </w:t>
      </w:r>
      <w:r>
        <w:rPr>
          <w:rFonts w:ascii="Calibri" w:hAnsi="Calibri"/>
          <w:b w:val="0"/>
          <w:color w:val="111111"/>
          <w:sz w:val="18"/>
        </w:rPr>
        <w:t>https://github.com/AhmadDalao/inventory.git</w:t>
      </w:r>
    </w:p>
    <w:p>
      <w:pPr>
        <w:spacing w:after="20"/>
      </w:pPr>
      <w:r>
        <w:rPr>
          <w:rFonts w:ascii="Calibri" w:hAnsi="Calibri"/>
          <w:b/>
          <w:color w:val="B78918"/>
          <w:sz w:val="18"/>
        </w:rPr>
        <w:t xml:space="preserve">Branch: </w:t>
      </w:r>
      <w:r>
        <w:rPr>
          <w:rFonts w:ascii="Calibri" w:hAnsi="Calibri"/>
          <w:b w:val="0"/>
          <w:color w:val="111111"/>
          <w:sz w:val="18"/>
        </w:rPr>
        <w:t>main</w:t>
      </w:r>
    </w:p>
    <w:p>
      <w:pPr>
        <w:spacing w:after="20"/>
      </w:pPr>
      <w:r>
        <w:rPr>
          <w:rFonts w:ascii="Calibri" w:hAnsi="Calibri"/>
          <w:b/>
          <w:color w:val="B78918"/>
          <w:sz w:val="18"/>
        </w:rPr>
        <w:t xml:space="preserve">Verified application commit: </w:t>
      </w:r>
      <w:r>
        <w:rPr>
          <w:rFonts w:ascii="Calibri" w:hAnsi="Calibri"/>
          <w:b w:val="0"/>
          <w:color w:val="111111"/>
          <w:sz w:val="18"/>
        </w:rPr>
        <w:t>44de744 - Harden responsive layouts across viewport classes</w:t>
      </w:r>
    </w:p>
    <w:p>
      <w:pPr>
        <w:spacing w:after="20"/>
      </w:pPr>
      <w:r>
        <w:rPr>
          <w:rFonts w:ascii="Calibri" w:hAnsi="Calibri"/>
          <w:b/>
          <w:color w:val="B78918"/>
          <w:sz w:val="18"/>
        </w:rPr>
        <w:t xml:space="preserve">Local document build commit: </w:t>
      </w:r>
      <w:r>
        <w:rPr>
          <w:rFonts w:ascii="Calibri" w:hAnsi="Calibri"/>
          <w:b w:val="0"/>
          <w:color w:val="111111"/>
          <w:sz w:val="18"/>
        </w:rPr>
        <w:t>44de744 Harden responsive layouts across viewport classes</w:t>
      </w:r>
    </w:p>
    <w:p>
      <w:pPr>
        <w:spacing w:after="20"/>
      </w:pPr>
      <w:r>
        <w:rPr>
          <w:rFonts w:ascii="Calibri" w:hAnsi="Calibri"/>
          <w:b/>
          <w:color w:val="B78918"/>
          <w:sz w:val="18"/>
        </w:rPr>
        <w:t xml:space="preserve">Source developer guide: </w:t>
      </w:r>
      <w:r>
        <w:rPr>
          <w:rFonts w:ascii="Calibri" w:hAnsi="Calibri"/>
          <w:b w:val="0"/>
          <w:color w:val="111111"/>
          <w:sz w:val="18"/>
        </w:rPr>
        <w:t>docs/developer-handover.md</w:t>
      </w:r>
    </w:p>
    <w:tbl>
      <w:tblPr>
        <w:tblW w:type="dxa" w:w="9360"/>
        <w:jc w:val="left"/>
        <w:tblLayout w:type="fixed"/>
        <w:tblLook w:firstColumn="1" w:firstRow="1" w:lastColumn="0" w:lastRow="0" w:noHBand="0" w:noVBand="1" w:val="04A0"/>
      </w:tblPr>
      <w:tblGrid>
        <w:gridCol w:w="9360"/>
      </w:tblGrid>
      <w:tr>
        <w:tc>
          <w:tcPr>
            <w:tcW w:type="dxa" w:w="9360"/>
            <w:shd w:fill="FFF6D8"/>
            <w:tcBorders>
              <w:top w:val="single" w:sz="4" w:color="D9D2C3"/>
              <w:left w:val="single" w:sz="4" w:color="D9D2C3"/>
              <w:bottom w:val="single" w:sz="4" w:color="D9D2C3"/>
              <w:right w:val="single" w:sz="4" w:color="D9D2C3"/>
              <w:insideH w:val="single" w:sz="4" w:color="D9D2C3"/>
              <w:insideV w:val="single" w:sz="4" w:color="D9D2C3"/>
            </w:tcBorders>
            <w:tcMar>
              <w:top w:w="110" w:type="dxa"/>
              <w:start w:w="140" w:type="dxa"/>
              <w:bottom w:w="110" w:type="dxa"/>
              <w:end w:w="140" w:type="dxa"/>
            </w:tcMar>
          </w:tcPr>
          <w:p>
            <w:r>
              <w:rPr>
                <w:rFonts w:ascii="Calibri" w:hAnsi="Calibri"/>
                <w:b/>
                <w:color w:val="B78918"/>
                <w:sz w:val="20"/>
              </w:rPr>
              <w:t>Handover position</w:t>
              <w:br/>
            </w:r>
            <w:r>
              <w:rPr>
                <w:rFonts w:ascii="Calibri" w:hAnsi="Calibri"/>
                <w:b w:val="0"/>
                <w:color w:val="111111"/>
                <w:sz w:val="19"/>
              </w:rPr>
              <w:t>The application is modular and production-ready for internal use. Do not rewrite it into classes or a framework for style points. Preserve public routes and function names, place new behavior in the focused domain module, and prove stock behavior with regression plus stock invariants.</w:t>
            </w:r>
          </w:p>
        </w:tc>
      </w:tr>
    </w:tbl>
    <w:p>
      <w:pPr>
        <w:spacing w:after="0"/>
      </w:pPr>
    </w:p>
    <w:p>
      <w:pPr>
        <w:pStyle w:val="Heading1"/>
      </w:pPr>
      <w:r>
        <w:t>1. System And Architecture</w:t>
      </w:r>
    </w:p>
    <w:p>
      <w:pPr>
        <w:pStyle w:val="ListBullet"/>
      </w:pPr>
      <w:r>
        <w:rPr>
          <w:rFonts w:ascii="Calibri" w:hAnsi="Calibri"/>
          <w:b w:val="0"/>
          <w:color w:val="111111"/>
          <w:sz w:val="19"/>
        </w:rPr>
        <w:t>Plain PHP and MySQL application. It is not Laravel.</w:t>
      </w:r>
    </w:p>
    <w:p>
      <w:pPr>
        <w:pStyle w:val="ListBullet"/>
      </w:pPr>
      <w:r>
        <w:rPr>
          <w:rFonts w:ascii="Calibri" w:hAnsi="Calibri"/>
          <w:b w:val="0"/>
          <w:color w:val="111111"/>
          <w:sz w:val="19"/>
        </w:rPr>
        <w:t>index.php is the public route registry. Existing URLs must stay stable unless a route change is deliberate.</w:t>
      </w:r>
    </w:p>
    <w:p>
      <w:pPr>
        <w:pStyle w:val="ListBullet"/>
      </w:pPr>
      <w:r>
        <w:rPr>
          <w:rFonts w:ascii="Calibri" w:hAnsi="Calibri"/>
          <w:b w:val="0"/>
          <w:color w:val="111111"/>
          <w:sz w:val="19"/>
        </w:rPr>
        <w:t>app/module_manifest.php defines 11 domain groups and 151 focused modules.</w:t>
      </w:r>
    </w:p>
    <w:p>
      <w:pPr>
        <w:pStyle w:val="ListBullet"/>
      </w:pPr>
      <w:r>
        <w:rPr>
          <w:rFonts w:ascii="Calibri" w:hAnsi="Calibri"/>
          <w:b w:val="0"/>
          <w:color w:val="111111"/>
          <w:sz w:val="19"/>
        </w:rPr>
        <w:t>app/modules.php flattens the manifest and loads the focused modules.</w:t>
      </w:r>
    </w:p>
    <w:p>
      <w:pPr>
        <w:pStyle w:val="ListBullet"/>
      </w:pPr>
      <w:r>
        <w:rPr>
          <w:rFonts w:ascii="Calibri" w:hAnsi="Calibri"/>
          <w:b w:val="0"/>
          <w:color w:val="111111"/>
          <w:sz w:val="19"/>
        </w:rPr>
        <w:t>app/support contains bootstrap-safe permissions, HTTP/security, branding, settings, and presentation helpers.</w:t>
      </w:r>
    </w:p>
    <w:p>
      <w:pPr>
        <w:pStyle w:val="ListBullet"/>
      </w:pPr>
      <w:r>
        <w:rPr>
          <w:rFonts w:ascii="Calibri" w:hAnsi="Calibri"/>
          <w:b w:val="0"/>
          <w:color w:val="111111"/>
          <w:sz w:val="19"/>
        </w:rPr>
        <w:t>app/maintenance contains schema checks, backfills, and permission seeds.</w:t>
      </w:r>
    </w:p>
    <w:p>
      <w:pPr>
        <w:pStyle w:val="ListBullet"/>
      </w:pPr>
      <w:r>
        <w:rPr>
          <w:rFonts w:ascii="Calibri" w:hAnsi="Calibri"/>
          <w:b w:val="0"/>
          <w:color w:val="111111"/>
          <w:sz w:val="19"/>
        </w:rPr>
        <w:t>Legacy aggregate files are compatibility loaders only. Never add new business logic to app/controllers.php, app/workflows.php, app/company_assets.php, or app/report_presets.php.</w:t>
      </w:r>
    </w:p>
    <w:tbl>
      <w:tblPr>
        <w:tblW w:type="dxa" w:w="9360"/>
        <w:jc w:val="left"/>
        <w:tblLayout w:type="fixed"/>
        <w:tblLook w:firstColumn="1" w:firstRow="1" w:lastColumn="0" w:lastRow="0" w:noHBand="0" w:noVBand="1" w:val="04A0"/>
      </w:tblPr>
      <w:tblGrid>
        <w:gridCol w:w="1944"/>
        <w:gridCol w:w="936"/>
        <w:gridCol w:w="6480"/>
      </w:tblGrid>
      <w:tr>
        <w:tc>
          <w:tcPr>
            <w:tcW w:type="dxa" w:w="1944"/>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Manifest group</w:t>
            </w:r>
          </w:p>
        </w:tc>
        <w:tc>
          <w:tcPr>
            <w:tcW w:type="dxa" w:w="936"/>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Modules</w:t>
            </w:r>
          </w:p>
        </w:tc>
        <w:tc>
          <w:tcPr>
            <w:tcW w:type="dxa" w:w="6480"/>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Main responsibility</w:t>
            </w:r>
          </w:p>
        </w:tc>
      </w:tr>
      <w:tr>
        <w:tc>
          <w:tcPr>
            <w:tcW w:type="dxa" w:w="194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core</w:t>
            </w:r>
          </w:p>
        </w:tc>
        <w:tc>
          <w:tcPr>
            <w:tcW w:type="dxa" w:w="93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17</w:t>
            </w:r>
          </w:p>
        </w:tc>
        <w:tc>
          <w:tcPr>
            <w:tcW w:type="dxa" w:w="648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Auth, settings, users, email, shared selectors and exports.</w:t>
            </w:r>
          </w:p>
        </w:tc>
      </w:tr>
      <w:tr>
        <w:tc>
          <w:tcPr>
            <w:tcW w:type="dxa" w:w="194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inventory</w:t>
            </w:r>
          </w:p>
        </w:tc>
        <w:tc>
          <w:tcPr>
            <w:tcW w:type="dxa" w:w="93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17</w:t>
            </w:r>
          </w:p>
        </w:tc>
        <w:tc>
          <w:tcPr>
            <w:tcW w:type="dxa" w:w="648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Items, storages, balances, movements, stock posting and package presets.</w:t>
            </w:r>
          </w:p>
        </w:tc>
      </w:tr>
      <w:tr>
        <w:tc>
          <w:tcPr>
            <w:tcW w:type="dxa" w:w="194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exports</w:t>
            </w:r>
          </w:p>
        </w:tc>
        <w:tc>
          <w:tcPr>
            <w:tcW w:type="dxa" w:w="93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9</w:t>
            </w:r>
          </w:p>
        </w:tc>
        <w:tc>
          <w:tcPr>
            <w:tcW w:type="dxa" w:w="648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Item, movement, storage, workflow and daily summary exports.</w:t>
            </w:r>
          </w:p>
        </w:tc>
      </w:tr>
      <w:tr>
        <w:tc>
          <w:tcPr>
            <w:tcW w:type="dxa" w:w="194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reports_and_search</w:t>
            </w:r>
          </w:p>
        </w:tc>
        <w:tc>
          <w:tcPr>
            <w:tcW w:type="dxa" w:w="93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18</w:t>
            </w:r>
          </w:p>
        </w:tc>
        <w:tc>
          <w:tcPr>
            <w:tcW w:type="dxa" w:w="648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Dashboard, reports, presets, notifications, global search and Scan Center.</w:t>
            </w:r>
          </w:p>
        </w:tc>
      </w:tr>
      <w:tr>
        <w:tc>
          <w:tcPr>
            <w:tcW w:type="dxa" w:w="194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handover_usage</w:t>
            </w:r>
          </w:p>
        </w:tc>
        <w:tc>
          <w:tcPr>
            <w:tcW w:type="dxa" w:w="93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t>11</w:t>
            </w:r>
          </w:p>
        </w:tc>
        <w:tc>
          <w:tcPr>
            <w:tcW w:type="dxa" w:w="648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t>Expected/actual/reconciliation usage, signoff support, and custody reporting</w:t>
            </w:r>
          </w:p>
        </w:tc>
      </w:tr>
      <w:tr>
        <w:tc>
          <w:tcPr>
            <w:tcW w:type="dxa" w:w="194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workflow_core</w:t>
            </w:r>
          </w:p>
        </w:tc>
        <w:tc>
          <w:tcPr>
            <w:tcW w:type="dxa" w:w="93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8</w:t>
            </w:r>
          </w:p>
        </w:tc>
        <w:tc>
          <w:tcPr>
            <w:tcW w:type="dxa" w:w="648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Shared workflow identity, inputs, stock impact, system locations and filters.</w:t>
            </w:r>
          </w:p>
        </w:tc>
      </w:tr>
      <w:tr>
        <w:tc>
          <w:tcPr>
            <w:tcW w:type="dxa" w:w="194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requests</w:t>
            </w:r>
          </w:p>
        </w:tc>
        <w:tc>
          <w:tcPr>
            <w:tcW w:type="dxa" w:w="93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7</w:t>
            </w:r>
          </w:p>
        </w:tc>
        <w:tc>
          <w:tcPr>
            <w:tcW w:type="dxa" w:w="648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Request queries, guards, inventory posting, decisions, receipt and status actions.</w:t>
            </w:r>
          </w:p>
        </w:tc>
      </w:tr>
      <w:tr>
        <w:tc>
          <w:tcPr>
            <w:tcW w:type="dxa" w:w="194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handovers</w:t>
            </w:r>
          </w:p>
        </w:tc>
        <w:tc>
          <w:tcPr>
            <w:tcW w:type="dxa" w:w="93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t>10</w:t>
            </w:r>
          </w:p>
        </w:tc>
        <w:tc>
          <w:tcPr>
            <w:tcW w:type="dxa" w:w="648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t>Temporary use, staff custody, storage transfer, return review, and status control</w:t>
            </w:r>
          </w:p>
        </w:tc>
      </w:tr>
      <w:tr>
        <w:tc>
          <w:tcPr>
            <w:tcW w:type="dxa" w:w="194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purchases_and_ocr</w:t>
            </w:r>
          </w:p>
        </w:tc>
        <w:tc>
          <w:tcPr>
            <w:tcW w:type="dxa" w:w="93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14</w:t>
            </w:r>
          </w:p>
        </w:tc>
        <w:tc>
          <w:tcPr>
            <w:tcW w:type="dxa" w:w="648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Suppliers, purchases, documents, approval, receiving, OCR and weighted cost.</w:t>
            </w:r>
          </w:p>
        </w:tc>
      </w:tr>
      <w:tr>
        <w:tc>
          <w:tcPr>
            <w:tcW w:type="dxa" w:w="194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files_and_operations</w:t>
            </w:r>
          </w:p>
        </w:tc>
        <w:tc>
          <w:tcPr>
            <w:tcW w:type="dxa" w:w="93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32</w:t>
            </w:r>
          </w:p>
        </w:tc>
        <w:tc>
          <w:tcPr>
            <w:tcW w:type="dxa" w:w="648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Files, labels, stocktakes, reorder, audit, documentation and signoff rendering.</w:t>
            </w:r>
          </w:p>
        </w:tc>
      </w:tr>
      <w:tr>
        <w:tc>
          <w:tcPr>
            <w:tcW w:type="dxa" w:w="194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assets</w:t>
            </w:r>
          </w:p>
        </w:tc>
        <w:tc>
          <w:tcPr>
            <w:tcW w:type="dxa" w:w="93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7</w:t>
            </w:r>
          </w:p>
        </w:tc>
        <w:tc>
          <w:tcPr>
            <w:tcW w:type="dxa" w:w="648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Asset CRUD, categories, custody, maintenance, depreciation and exports.</w:t>
            </w:r>
          </w:p>
        </w:tc>
      </w:tr>
    </w:tbl>
    <w:p>
      <w:pPr>
        <w:spacing w:after="0"/>
      </w:pPr>
    </w:p>
    <w:p>
      <w:pPr>
        <w:pStyle w:val="Heading1"/>
      </w:pPr>
      <w:r>
        <w:t>2. Domain Ownership</w:t>
      </w:r>
    </w:p>
    <w:tbl>
      <w:tblPr>
        <w:tblW w:type="dxa" w:w="9360"/>
        <w:jc w:val="left"/>
        <w:tblLayout w:type="fixed"/>
        <w:tblLook w:firstColumn="1" w:firstRow="1" w:lastColumn="0" w:lastRow="0" w:noHBand="0" w:noVBand="1" w:val="04A0"/>
      </w:tblPr>
      <w:tblGrid>
        <w:gridCol w:w="1656"/>
        <w:gridCol w:w="3528"/>
        <w:gridCol w:w="4176"/>
      </w:tblGrid>
      <w:tr>
        <w:tc>
          <w:tcPr>
            <w:tcW w:type="dxa" w:w="1656"/>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Domain</w:t>
            </w:r>
          </w:p>
        </w:tc>
        <w:tc>
          <w:tcPr>
            <w:tcW w:type="dxa" w:w="3528"/>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Primary focused files</w:t>
            </w:r>
          </w:p>
        </w:tc>
        <w:tc>
          <w:tcPr>
            <w:tcW w:type="dxa" w:w="4176"/>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Change here when</w:t>
            </w:r>
          </w:p>
        </w:tc>
      </w:tr>
      <w:tr>
        <w:tc>
          <w:tcPr>
            <w:tcW w:type="dxa" w:w="165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Inventory</w:t>
            </w:r>
          </w:p>
        </w:tc>
        <w:tc>
          <w:tcPr>
            <w:tcW w:type="dxa" w:w="352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item_*, storage_*, inventory_stock.php, movement_*</w:t>
            </w:r>
          </w:p>
        </w:tc>
        <w:tc>
          <w:tcPr>
            <w:tcW w:type="dxa" w:w="417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item/storage queries, quantities, transfers, usage, restock or adjustment.</w:t>
            </w:r>
          </w:p>
        </w:tc>
      </w:tr>
      <w:tr>
        <w:tc>
          <w:tcPr>
            <w:tcW w:type="dxa" w:w="165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Dashboard</w:t>
            </w:r>
          </w:p>
        </w:tc>
        <w:tc>
          <w:tcPr>
            <w:tcW w:type="dxa" w:w="352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dashboard_filters.php, dashboard_metrics.php, dashboard_payloads.php</w:t>
            </w:r>
          </w:p>
        </w:tc>
        <w:tc>
          <w:tcPr>
            <w:tcW w:type="dxa" w:w="417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cards, queues, storage/date scope or role dashboards.</w:t>
            </w:r>
          </w:p>
        </w:tc>
      </w:tr>
      <w:tr>
        <w:tc>
          <w:tcPr>
            <w:tcW w:type="dxa" w:w="165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Scan/manual stock</w:t>
            </w:r>
          </w:p>
        </w:tc>
        <w:tc>
          <w:tcPr>
            <w:tcW w:type="dxa" w:w="352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scan_pages.php, scan_lookup.php, scan_manual_restock.php</w:t>
            </w:r>
          </w:p>
        </w:tc>
        <w:tc>
          <w:tcPr>
            <w:tcW w:type="dxa" w:w="417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barcode/SKU lookup, batch scan, package conversion or manual restock.</w:t>
            </w:r>
          </w:p>
        </w:tc>
      </w:tr>
      <w:tr>
        <w:tc>
          <w:tcPr>
            <w:tcW w:type="dxa" w:w="165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Requests</w:t>
            </w:r>
          </w:p>
        </w:tc>
        <w:tc>
          <w:tcPr>
            <w:tcW w:type="dxa" w:w="352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request_queries.php, request_guards.php, request_inventory.php, request_*_actions.php</w:t>
            </w:r>
          </w:p>
        </w:tc>
        <w:tc>
          <w:tcPr>
            <w:tcW w:type="dxa" w:w="417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permanent item requests, approval, transit, receipt mismatch or status.</w:t>
            </w:r>
          </w:p>
        </w:tc>
      </w:tr>
      <w:tr>
        <w:tc>
          <w:tcPr>
            <w:tcW w:type="dxa" w:w="165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Handovers</w:t>
            </w:r>
          </w:p>
        </w:tc>
        <w:tc>
          <w:tcPr>
            <w:tcW w:type="dxa" w:w="352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handover_receipts.php, handover_closeout.php, handover_inventory.php, handover_permissions.php</w:t>
            </w:r>
          </w:p>
        </w:tc>
        <w:tc>
          <w:tcPr>
            <w:tcW w:type="dxa" w:w="417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staff issue, storage transfer, receipt review, return, usage or issuer approval.</w:t>
            </w:r>
          </w:p>
        </w:tc>
      </w:tr>
      <w:tr>
        <w:tc>
          <w:tcPr>
            <w:tcW w:type="dxa" w:w="165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Signoff</w:t>
            </w:r>
          </w:p>
        </w:tc>
        <w:tc>
          <w:tcPr>
            <w:tcW w:type="dxa" w:w="352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signoff_rows.php, signoff_totals.php, signoff_reconciliation.php, signoff_pdf.php, signoff_xlsx.php</w:t>
            </w:r>
          </w:p>
        </w:tc>
        <w:tc>
          <w:tcPr>
            <w:tcW w:type="dxa" w:w="417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PDF/XLSX content without mixing rendering into workflow rules.</w:t>
            </w:r>
          </w:p>
        </w:tc>
      </w:tr>
      <w:tr>
        <w:tc>
          <w:tcPr>
            <w:tcW w:type="dxa" w:w="165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Purchases</w:t>
            </w:r>
          </w:p>
        </w:tc>
        <w:tc>
          <w:tcPr>
            <w:tcW w:type="dxa" w:w="352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purchase_*</w:t>
            </w:r>
          </w:p>
        </w:tc>
        <w:tc>
          <w:tcPr>
            <w:tcW w:type="dxa" w:w="417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draft, supplier linkage, documents, approval, receiving, completion or cancellation.</w:t>
            </w:r>
          </w:p>
        </w:tc>
      </w:tr>
      <w:tr>
        <w:tc>
          <w:tcPr>
            <w:tcW w:type="dxa" w:w="165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OCR</w:t>
            </w:r>
          </w:p>
        </w:tc>
        <w:tc>
          <w:tcPr>
            <w:tcW w:type="dxa" w:w="352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ocr_*</w:t>
            </w:r>
          </w:p>
        </w:tc>
        <w:tc>
          <w:tcPr>
            <w:tcW w:type="dxa" w:w="417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extraction engines, confidence/review, OpenAI fallback or OCR logs. OCR must never post stock.</w:t>
            </w:r>
          </w:p>
        </w:tc>
      </w:tr>
      <w:tr>
        <w:tc>
          <w:tcPr>
            <w:tcW w:type="dxa" w:w="165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Assets</w:t>
            </w:r>
          </w:p>
        </w:tc>
        <w:tc>
          <w:tcPr>
            <w:tcW w:type="dxa" w:w="352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asset_*</w:t>
            </w:r>
          </w:p>
        </w:tc>
        <w:tc>
          <w:tcPr>
            <w:tcW w:type="dxa" w:w="417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durable property, category hierarchy, custody, maintenance, warranty or depreciation.</w:t>
            </w:r>
          </w:p>
        </w:tc>
      </w:tr>
      <w:tr>
        <w:tc>
          <w:tcPr>
            <w:tcW w:type="dxa" w:w="165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Reports/exports</w:t>
            </w:r>
          </w:p>
        </w:tc>
        <w:tc>
          <w:tcPr>
            <w:tcW w:type="dxa" w:w="352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report_*, export_*</w:t>
            </w:r>
          </w:p>
        </w:tc>
        <w:tc>
          <w:tcPr>
            <w:tcW w:type="dxa" w:w="417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filters, saved presets, summaries or output. Screen and export scope must match.</w:t>
            </w:r>
          </w:p>
        </w:tc>
      </w:tr>
      <w:tr>
        <w:tc>
          <w:tcPr>
            <w:tcW w:type="dxa" w:w="165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Files</w:t>
            </w:r>
          </w:p>
        </w:tc>
        <w:tc>
          <w:tcPr>
            <w:tcW w:type="dxa" w:w="352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file_*</w:t>
            </w:r>
          </w:p>
        </w:tc>
        <w:tc>
          <w:tcPr>
            <w:tcW w:type="dxa" w:w="417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protected uploads, downloads, previews, context links or the centralized file library.</w:t>
            </w:r>
          </w:p>
        </w:tc>
      </w:tr>
      <w:tr>
        <w:tc>
          <w:tcPr>
            <w:tcW w:type="dxa" w:w="165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Users/settings</w:t>
            </w:r>
          </w:p>
        </w:tc>
        <w:tc>
          <w:tcPr>
            <w:tcW w:type="dxa" w:w="352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user_*, settings_*, app/support/permissions.php</w:t>
            </w:r>
          </w:p>
        </w:tc>
        <w:tc>
          <w:tcPr>
            <w:tcW w:type="dxa" w:w="417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Changing access, roles, positions, settings, logo, mail, OCR or export controls.</w:t>
            </w:r>
          </w:p>
        </w:tc>
      </w:tr>
    </w:tbl>
    <w:p>
      <w:pPr>
        <w:spacing w:after="0"/>
      </w:pPr>
    </w:p>
    <w:p>
      <w:pPr>
        <w:pStyle w:val="Heading1"/>
      </w:pPr>
      <w:r>
        <w:t>3. Stock Safety Model</w:t>
      </w:r>
    </w:p>
    <w:tbl>
      <w:tblPr>
        <w:tblW w:type="dxa" w:w="9360"/>
        <w:jc w:val="left"/>
        <w:tblLayout w:type="fixed"/>
        <w:tblLook w:firstColumn="1" w:firstRow="1" w:lastColumn="0" w:lastRow="0" w:noHBand="0" w:noVBand="1" w:val="04A0"/>
      </w:tblPr>
      <w:tblGrid>
        <w:gridCol w:w="9360"/>
      </w:tblGrid>
      <w:tr>
        <w:tc>
          <w:tcPr>
            <w:tcW w:type="dxa" w:w="9360"/>
            <w:shd w:fill="FFF6D8"/>
            <w:tcBorders>
              <w:top w:val="single" w:sz="4" w:color="D9D2C3"/>
              <w:left w:val="single" w:sz="4" w:color="D9D2C3"/>
              <w:bottom w:val="single" w:sz="4" w:color="D9D2C3"/>
              <w:right w:val="single" w:sz="4" w:color="D9D2C3"/>
              <w:insideH w:val="single" w:sz="4" w:color="D9D2C3"/>
              <w:insideV w:val="single" w:sz="4" w:color="D9D2C3"/>
            </w:tcBorders>
            <w:tcMar>
              <w:top w:w="110" w:type="dxa"/>
              <w:start w:w="140" w:type="dxa"/>
              <w:bottom w:w="110" w:type="dxa"/>
              <w:end w:w="140" w:type="dxa"/>
            </w:tcMar>
          </w:tcPr>
          <w:p>
            <w:r>
              <w:rPr>
                <w:rFonts w:ascii="Calibri" w:hAnsi="Calibri"/>
                <w:b/>
                <w:color w:val="B78918"/>
                <w:sz w:val="20"/>
              </w:rPr>
              <w:t>Non-negotiable invariant</w:t>
              <w:br/>
            </w:r>
            <w:r>
              <w:rPr>
                <w:rFonts w:ascii="Calibri" w:hAnsi="Calibri"/>
                <w:b w:val="0"/>
                <w:color w:val="111111"/>
                <w:sz w:val="19"/>
              </w:rPr>
              <w:t>item_storage_balances is the live quantity source by item and storage. Inventory movements are immutable history. The item total is a synchronized snapshot. Never update only items.current_quantity and never erase movement history to make a workflow look cleaner.</w:t>
            </w:r>
          </w:p>
        </w:tc>
      </w:tr>
    </w:tbl>
    <w:p>
      <w:pPr>
        <w:spacing w:after="0"/>
      </w:pPr>
    </w:p>
    <w:tbl>
      <w:tblPr>
        <w:tblW w:type="dxa" w:w="9360"/>
        <w:jc w:val="left"/>
        <w:tblLayout w:type="fixed"/>
        <w:tblLook w:firstColumn="1" w:firstRow="1" w:lastColumn="0" w:lastRow="0" w:noHBand="0" w:noVBand="1" w:val="04A0"/>
      </w:tblPr>
      <w:tblGrid>
        <w:gridCol w:w="1800"/>
        <w:gridCol w:w="4824"/>
        <w:gridCol w:w="2736"/>
      </w:tblGrid>
      <w:tr>
        <w:tc>
          <w:tcPr>
            <w:tcW w:type="dxa" w:w="1800"/>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Action</w:t>
            </w:r>
          </w:p>
        </w:tc>
        <w:tc>
          <w:tcPr>
            <w:tcW w:type="dxa" w:w="4824"/>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Stock rule</w:t>
            </w:r>
          </w:p>
        </w:tc>
        <w:tc>
          <w:tcPr>
            <w:tcW w:type="dxa" w:w="2736"/>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Audit result</w:t>
            </w:r>
          </w:p>
        </w:tc>
      </w:tr>
      <w:tr>
        <w:tc>
          <w:tcPr>
            <w:tcW w:type="dxa" w:w="180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Usage</w:t>
            </w:r>
          </w:p>
        </w:tc>
        <w:tc>
          <w:tcPr>
            <w:tcW w:type="dxa" w:w="482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Subtract from the selected storage.</w:t>
            </w:r>
          </w:p>
        </w:tc>
        <w:tc>
          <w:tcPr>
            <w:tcW w:type="dxa" w:w="273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Usage movement records item, quantity, location, user, context and notes.</w:t>
            </w:r>
          </w:p>
        </w:tc>
      </w:tr>
      <w:tr>
        <w:tc>
          <w:tcPr>
            <w:tcW w:type="dxa" w:w="180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Restock</w:t>
            </w:r>
          </w:p>
        </w:tc>
        <w:tc>
          <w:tcPr>
            <w:tcW w:type="dxa" w:w="482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Add to the selected storage.</w:t>
            </w:r>
          </w:p>
        </w:tc>
        <w:tc>
          <w:tcPr>
            <w:tcW w:type="dxa" w:w="273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Restock movement explains supplier/manual/purchase source.</w:t>
            </w:r>
          </w:p>
        </w:tc>
      </w:tr>
      <w:tr>
        <w:tc>
          <w:tcPr>
            <w:tcW w:type="dxa" w:w="180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Transfer</w:t>
            </w:r>
          </w:p>
        </w:tc>
        <w:tc>
          <w:tcPr>
            <w:tcW w:type="dxa" w:w="482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Subtract source and add destination atomically.</w:t>
            </w:r>
          </w:p>
        </w:tc>
        <w:tc>
          <w:tcPr>
            <w:tcW w:type="dxa" w:w="273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Paired movement context keeps the relocation explainable.</w:t>
            </w:r>
          </w:p>
        </w:tc>
      </w:tr>
      <w:tr>
        <w:tc>
          <w:tcPr>
            <w:tcW w:type="dxa" w:w="180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Staff handover</w:t>
            </w:r>
          </w:p>
        </w:tc>
        <w:tc>
          <w:tcPr>
            <w:tcW w:type="dxa" w:w="482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Reserve in buffer; final used and returned movements post only after source issuer approval.</w:t>
            </w:r>
          </w:p>
        </w:tc>
        <w:tc>
          <w:tcPr>
            <w:tcW w:type="dxa" w:w="273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Receipt, closeout and approval remain visible.</w:t>
            </w:r>
          </w:p>
        </w:tc>
      </w:tr>
      <w:tr>
        <w:tc>
          <w:tcPr>
            <w:tcW w:type="dxa" w:w="180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Storage transfer handover</w:t>
            </w:r>
          </w:p>
        </w:tc>
        <w:tc>
          <w:tcPr>
            <w:tcW w:type="dxa" w:w="482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Reserve in buffer; destination receipt moves actual quantity to destination and short quantity back to source.</w:t>
            </w:r>
          </w:p>
        </w:tc>
        <w:tc>
          <w:tcPr>
            <w:tcW w:type="dxa" w:w="273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No usage reasons because this is relocation.</w:t>
            </w:r>
          </w:p>
        </w:tc>
      </w:tr>
      <w:tr>
        <w:tc>
          <w:tcPr>
            <w:tcW w:type="dxa" w:w="180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Purchase</w:t>
            </w:r>
          </w:p>
        </w:tc>
        <w:tc>
          <w:tcPr>
            <w:tcW w:type="dxa" w:w="482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No stock on approval. Restock posts only after final receipt confirmation.</w:t>
            </w:r>
          </w:p>
        </w:tc>
        <w:tc>
          <w:tcPr>
            <w:tcW w:type="dxa" w:w="273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Purchase reference and proof remain attached.</w:t>
            </w:r>
          </w:p>
        </w:tc>
      </w:tr>
      <w:tr>
        <w:tc>
          <w:tcPr>
            <w:tcW w:type="dxa" w:w="180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Stocktake</w:t>
            </w:r>
          </w:p>
        </w:tc>
        <w:tc>
          <w:tcPr>
            <w:tcW w:type="dxa" w:w="482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Variance becomes an adjustment only after approval.</w:t>
            </w:r>
          </w:p>
        </w:tc>
        <w:tc>
          <w:tcPr>
            <w:tcW w:type="dxa" w:w="273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Expected, counted, variance and approver remain recorded.</w:t>
            </w:r>
          </w:p>
        </w:tc>
      </w:tr>
      <w:tr>
        <w:tc>
          <w:tcPr>
            <w:tcW w:type="dxa" w:w="180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Asset</w:t>
            </w:r>
          </w:p>
        </w:tc>
        <w:tc>
          <w:tcPr>
            <w:tcW w:type="dxa" w:w="482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Never changes consumable inventory quantity.</w:t>
            </w:r>
          </w:p>
        </w:tc>
        <w:tc>
          <w:tcPr>
            <w:tcW w:type="dxa" w:w="273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Custody and maintenance use asset events instead.</w:t>
            </w:r>
          </w:p>
        </w:tc>
      </w:tr>
    </w:tbl>
    <w:p>
      <w:pPr>
        <w:spacing w:after="0"/>
      </w:pPr>
    </w:p>
    <w:p>
      <w:pPr>
        <w:pStyle w:val="Heading1"/>
      </w:pPr>
      <w:r>
        <w:t>4. Staff Handover Cycle</w:t>
      </w:r>
    </w:p>
    <w:tbl>
      <w:tblPr>
        <w:tblW w:type="dxa" w:w="9360"/>
        <w:jc w:val="left"/>
        <w:tblLayout w:type="fixed"/>
        <w:tblLook w:firstColumn="1" w:firstRow="1" w:lastColumn="0" w:lastRow="0" w:noHBand="0" w:noVBand="1" w:val="04A0"/>
      </w:tblPr>
      <w:tblGrid>
        <w:gridCol w:w="1080"/>
        <w:gridCol w:w="1728"/>
        <w:gridCol w:w="6552"/>
      </w:tblGrid>
      <w:tr>
        <w:tc>
          <w:tcPr>
            <w:tcW w:type="dxa" w:w="1080"/>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Step</w:t>
            </w:r>
          </w:p>
        </w:tc>
        <w:tc>
          <w:tcPr>
            <w:tcW w:type="dxa" w:w="1728"/>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Actor</w:t>
            </w:r>
          </w:p>
        </w:tc>
        <w:tc>
          <w:tcPr>
            <w:tcW w:type="dxa" w:w="6552"/>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Required behavior</w:t>
            </w:r>
          </w:p>
        </w:tc>
      </w:tr>
      <w:tr>
        <w:tc>
          <w:tcPr>
            <w:tcW w:type="dxa" w:w="108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1. Issue</w:t>
            </w:r>
          </w:p>
        </w:tc>
        <w:tc>
          <w:tcPr>
            <w:tcW w:type="dxa" w:w="172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Source issuer</w:t>
            </w:r>
          </w:p>
        </w:tc>
        <w:tc>
          <w:tcPr>
            <w:tcW w:type="dxa" w:w="655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Create the handover with source, staff recipient, items, and issued quantities. New staff handovers use operational_summary and stock enters the buffer.</w:t>
            </w:r>
          </w:p>
        </w:tc>
      </w:tr>
      <w:tr>
        <w:tc>
          <w:tcPr>
            <w:tcW w:type="dxa" w:w="108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2. Report receipt</w:t>
            </w:r>
          </w:p>
        </w:tc>
        <w:tc>
          <w:tcPr>
            <w:tcW w:type="dxa" w:w="172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Receiver</w:t>
            </w:r>
          </w:p>
        </w:tc>
        <w:tc>
          <w:tcPr>
            <w:tcW w:type="dxa" w:w="655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Enter exact received quantities. An exact receipt becomes Delivered immediately; a mismatch enters Receipt Review.</w:t>
            </w:r>
          </w:p>
        </w:tc>
      </w:tr>
      <w:tr>
        <w:tc>
          <w:tcPr>
            <w:tcW w:type="dxa" w:w="108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3. Resolve mismatch</w:t>
            </w:r>
          </w:p>
        </w:tc>
        <w:tc>
          <w:tcPr>
            <w:tcW w:type="dxa" w:w="172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Source issuer</w:t>
            </w:r>
          </w:p>
        </w:tc>
        <w:tc>
          <w:tcPr>
            <w:tcW w:type="dxa" w:w="655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Only when receipt differs, correct or confirm submitted quantities before usage reporting starts.</w:t>
            </w:r>
          </w:p>
        </w:tc>
      </w:tr>
      <w:tr>
        <w:tc>
          <w:tcPr>
            <w:tcW w:type="dxa" w:w="108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4. Return</w:t>
            </w:r>
          </w:p>
        </w:tc>
        <w:tc>
          <w:tcPr>
            <w:tcW w:type="dxa" w:w="172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Receiver</w:t>
            </w:r>
          </w:p>
        </w:tc>
        <w:tc>
          <w:tcPr>
            <w:tcW w:type="dxa" w:w="655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Enter returned quantity per item. System calculates physical used = confirmed received - returned.</w:t>
            </w:r>
          </w:p>
        </w:tc>
      </w:tr>
      <w:tr>
        <w:tc>
          <w:tcPr>
            <w:tcW w:type="dxa" w:w="108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5. Reconcile</w:t>
            </w:r>
          </w:p>
        </w:tc>
        <w:tc>
          <w:tcPr>
            <w:tcW w:type="dxa" w:w="172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Receiver</w:t>
            </w:r>
          </w:p>
        </w:tc>
        <w:tc>
          <w:tcPr>
            <w:tcW w:type="dxa" w:w="655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Enter one operational summary per unit: Online, Walk-in, Event, Sport, Damage, Complimentary, No Show, and Other.</w:t>
            </w:r>
          </w:p>
        </w:tc>
      </w:tr>
      <w:tr>
        <w:tc>
          <w:tcPr>
            <w:tcW w:type="dxa" w:w="108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6. Final review</w:t>
            </w:r>
          </w:p>
        </w:tc>
        <w:tc>
          <w:tcPr>
            <w:tcW w:type="dxa" w:w="172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Source issuer</w:t>
            </w:r>
          </w:p>
        </w:tc>
        <w:tc>
          <w:tcPr>
            <w:tcW w:type="dxa" w:w="655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Edit returns or operational totals, review Difference, approve valid values, post stock, and regenerate PDF/XLSX.</w:t>
            </w:r>
          </w:p>
        </w:tc>
      </w:tr>
      <w:tr>
        <w:tc>
          <w:tcPr>
            <w:tcW w:type="dxa" w:w="108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7. Correct later</w:t>
            </w:r>
          </w:p>
        </w:tc>
        <w:tc>
          <w:tcPr>
            <w:tcW w:type="dxa" w:w="172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Owner/super admin</w:t>
            </w:r>
          </w:p>
        </w:tc>
        <w:tc>
          <w:tcPr>
            <w:tcW w:type="dxa" w:w="655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Use audited reopen, status override, recover, or void. Never hard-delete stock-impact records.</w:t>
            </w:r>
          </w:p>
        </w:tc>
      </w:tr>
    </w:tbl>
    <w:p>
      <w:pPr>
        <w:spacing w:after="0"/>
      </w:pPr>
    </w:p>
    <w:tbl>
      <w:tblPr>
        <w:tblW w:type="dxa" w:w="9360"/>
        <w:jc w:val="left"/>
        <w:tblLayout w:type="fixed"/>
        <w:tblLook w:firstColumn="1" w:firstRow="1" w:lastColumn="0" w:lastRow="0" w:noHBand="0" w:noVBand="1" w:val="04A0"/>
      </w:tblPr>
      <w:tblGrid>
        <w:gridCol w:w="9360"/>
      </w:tblGrid>
      <w:tr>
        <w:tc>
          <w:tcPr>
            <w:tcW w:type="dxa" w:w="9360"/>
            <w:shd w:fill="F8F5ED"/>
            <w:tcBorders>
              <w:top w:val="single" w:sz="4" w:color="D9D2C3"/>
              <w:left w:val="single" w:sz="4" w:color="D9D2C3"/>
              <w:bottom w:val="single" w:sz="4" w:color="D9D2C3"/>
              <w:right w:val="single" w:sz="4" w:color="D9D2C3"/>
              <w:insideH w:val="single" w:sz="4" w:color="D9D2C3"/>
              <w:insideV w:val="single" w:sz="4" w:color="D9D2C3"/>
            </w:tcBorders>
            <w:tcMar>
              <w:top w:w="110" w:type="dxa"/>
              <w:start w:w="140" w:type="dxa"/>
              <w:bottom w:w="110" w:type="dxa"/>
              <w:end w:w="140" w:type="dxa"/>
            </w:tcMar>
          </w:tcPr>
          <w:p>
            <w:r>
              <w:rPr>
                <w:b/>
                <w:sz w:val="20"/>
              </w:rPr>
              <w:t>Why issuer approval remains</w:t>
              <w:br/>
            </w:r>
            <w:r>
              <w:rPr>
                <w:sz w:val="19"/>
              </w:rPr>
              <w:t>The receiver reports receipt, returns, and operational totals. Exact receipt does not require duplicate approval; only a mismatch enters Receipt Review. The source issuer owns final stock accountability and therefore reviews Difference before closeout movements post.</w:t>
            </w:r>
          </w:p>
        </w:tc>
      </w:tr>
    </w:tbl>
    <w:p>
      <w:pPr>
        <w:spacing w:after="0"/>
      </w:pPr>
    </w:p>
    <w:p>
      <w:pPr>
        <w:pStyle w:val="Heading1"/>
      </w:pPr>
      <w:r>
        <w:t>5. Storage Transfer Handover</w:t>
      </w:r>
    </w:p>
    <w:tbl>
      <w:tblPr>
        <w:tblW w:type="dxa" w:w="9360"/>
        <w:jc w:val="left"/>
        <w:tblLayout w:type="fixed"/>
        <w:tblLook w:firstColumn="1" w:firstRow="1" w:lastColumn="0" w:lastRow="0" w:noHBand="0" w:noVBand="1" w:val="04A0"/>
      </w:tblPr>
      <w:tblGrid>
        <w:gridCol w:w="1152"/>
        <w:gridCol w:w="2232"/>
        <w:gridCol w:w="5976"/>
      </w:tblGrid>
      <w:tr>
        <w:tc>
          <w:tcPr>
            <w:tcW w:type="dxa" w:w="1152"/>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Step</w:t>
            </w:r>
          </w:p>
        </w:tc>
        <w:tc>
          <w:tcPr>
            <w:tcW w:type="dxa" w:w="2232"/>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Actor</w:t>
            </w:r>
          </w:p>
        </w:tc>
        <w:tc>
          <w:tcPr>
            <w:tcW w:type="dxa" w:w="5976"/>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Behavior</w:t>
            </w:r>
          </w:p>
        </w:tc>
      </w:tr>
      <w:tr>
        <w:tc>
          <w:tcPr>
            <w:tcW w:type="dxa" w:w="115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1. Create</w:t>
            </w:r>
          </w:p>
        </w:tc>
        <w:tc>
          <w:tcPr>
            <w:tcW w:type="dxa" w:w="223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Source owner/admin</w:t>
            </w:r>
          </w:p>
        </w:tc>
        <w:tc>
          <w:tcPr>
            <w:tcW w:type="dxa" w:w="597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Choose Transfer to Storage, source, destination and quantities. Same source/destination is blocked.</w:t>
            </w:r>
          </w:p>
        </w:tc>
      </w:tr>
      <w:tr>
        <w:tc>
          <w:tcPr>
            <w:tcW w:type="dxa" w:w="115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2. Reserve</w:t>
            </w:r>
          </w:p>
        </w:tc>
        <w:tc>
          <w:tcPr>
            <w:tcW w:type="dxa" w:w="223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System</w:t>
            </w:r>
          </w:p>
        </w:tc>
        <w:tc>
          <w:tcPr>
            <w:tcW w:type="dxa" w:w="597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Source quantity moves into the handover buffer.</w:t>
            </w:r>
          </w:p>
        </w:tc>
      </w:tr>
      <w:tr>
        <w:tc>
          <w:tcPr>
            <w:tcW w:type="dxa" w:w="115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3. Confirm receipt</w:t>
            </w:r>
          </w:p>
        </w:tc>
        <w:tc>
          <w:tcPr>
            <w:tcW w:type="dxa" w:w="223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Destination owner</w:t>
            </w:r>
          </w:p>
        </w:tc>
        <w:tc>
          <w:tcPr>
            <w:tcW w:type="dxa" w:w="597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Enter actual received quantity for the destination storage.</w:t>
            </w:r>
          </w:p>
        </w:tc>
      </w:tr>
      <w:tr>
        <w:tc>
          <w:tcPr>
            <w:tcW w:type="dxa" w:w="115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4. Full receipt</w:t>
            </w:r>
          </w:p>
        </w:tc>
        <w:tc>
          <w:tcPr>
            <w:tcW w:type="dxa" w:w="223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System</w:t>
            </w:r>
          </w:p>
        </w:tc>
        <w:tc>
          <w:tcPr>
            <w:tcW w:type="dxa" w:w="597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Move all buffer quantity to destination and close.</w:t>
            </w:r>
          </w:p>
        </w:tc>
      </w:tr>
      <w:tr>
        <w:tc>
          <w:tcPr>
            <w:tcW w:type="dxa" w:w="115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5. Short receipt</w:t>
            </w:r>
          </w:p>
        </w:tc>
        <w:tc>
          <w:tcPr>
            <w:tcW w:type="dxa" w:w="223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Source + destination owners</w:t>
            </w:r>
          </w:p>
        </w:tc>
        <w:tc>
          <w:tcPr>
            <w:tcW w:type="dxa" w:w="5976"/>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Move actual quantity to destination; return missing quantity to source after shortage review.</w:t>
            </w:r>
          </w:p>
        </w:tc>
      </w:tr>
      <w:tr>
        <w:tc>
          <w:tcPr>
            <w:tcW w:type="dxa" w:w="115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6. Cancel/void</w:t>
            </w:r>
          </w:p>
        </w:tc>
        <w:tc>
          <w:tcPr>
            <w:tcW w:type="dxa" w:w="223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Authorized owner/admin</w:t>
            </w:r>
          </w:p>
        </w:tc>
        <w:tc>
          <w:tcPr>
            <w:tcW w:type="dxa" w:w="5976"/>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Return reserved stock safely and preserve the workflow and movement audit.</w:t>
            </w:r>
          </w:p>
        </w:tc>
      </w:tr>
    </w:tbl>
    <w:p>
      <w:pPr>
        <w:spacing w:after="0"/>
      </w:pPr>
    </w:p>
    <w:p>
      <w:pPr>
        <w:pStyle w:val="Heading1"/>
      </w:pPr>
      <w:r>
        <w:t>6. Other Workflow Cycles</w:t>
      </w:r>
    </w:p>
    <w:tbl>
      <w:tblPr>
        <w:tblW w:type="dxa" w:w="9360"/>
        <w:jc w:val="left"/>
        <w:tblLayout w:type="fixed"/>
        <w:tblLook w:firstColumn="1" w:firstRow="1" w:lastColumn="0" w:lastRow="0" w:noHBand="0" w:noVBand="1" w:val="04A0"/>
      </w:tblPr>
      <w:tblGrid>
        <w:gridCol w:w="1800"/>
        <w:gridCol w:w="5400"/>
        <w:gridCol w:w="2160"/>
      </w:tblGrid>
      <w:tr>
        <w:tc>
          <w:tcPr>
            <w:tcW w:type="dxa" w:w="1800"/>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Workflow</w:t>
            </w:r>
          </w:p>
        </w:tc>
        <w:tc>
          <w:tcPr>
            <w:tcW w:type="dxa" w:w="5400"/>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Lifecycle</w:t>
            </w:r>
          </w:p>
        </w:tc>
        <w:tc>
          <w:tcPr>
            <w:tcW w:type="dxa" w:w="2160"/>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Stock boundary</w:t>
            </w:r>
          </w:p>
        </w:tc>
      </w:tr>
      <w:tr>
        <w:tc>
          <w:tcPr>
            <w:tcW w:type="dxa" w:w="180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Request</w:t>
            </w:r>
          </w:p>
        </w:tc>
        <w:tc>
          <w:tcPr>
            <w:tcW w:type="dxa" w:w="540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Draft/create -&gt; approve or reject -&gt; issue/transit -&gt; receiver reports exact quantity -&gt; approver confirms mismatch -&gt; complete.</w:t>
            </w:r>
          </w:p>
        </w:tc>
        <w:tc>
          <w:tcPr>
            <w:tcW w:type="dxa" w:w="216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Movement posts through request inventory helpers; self-approval is blocked where required.</w:t>
            </w:r>
          </w:p>
        </w:tc>
      </w:tr>
      <w:tr>
        <w:tc>
          <w:tcPr>
            <w:tcW w:type="dxa" w:w="180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Purchase</w:t>
            </w:r>
          </w:p>
        </w:tc>
        <w:tc>
          <w:tcPr>
            <w:tcW w:type="dxa" w:w="540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Draft + proof -&gt; submit -&gt; approver adjusts/approves -&gt; receiver reports actual -&gt; receipt review -&gt; approver confirms.</w:t>
            </w:r>
          </w:p>
        </w:tc>
        <w:tc>
          <w:tcPr>
            <w:tcW w:type="dxa" w:w="216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No stock until final confirmation; weighted average cost updates with confirmed quantity.</w:t>
            </w:r>
          </w:p>
        </w:tc>
      </w:tr>
      <w:tr>
        <w:tc>
          <w:tcPr>
            <w:tcW w:type="dxa" w:w="180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Stocktake</w:t>
            </w:r>
          </w:p>
        </w:tc>
        <w:tc>
          <w:tcPr>
            <w:tcW w:type="dxa" w:w="540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Create snapshot -&gt; count -&gt; submit -&gt; approver reviews -&gt; approve/cancel.</w:t>
            </w:r>
          </w:p>
        </w:tc>
        <w:tc>
          <w:tcPr>
            <w:tcW w:type="dxa" w:w="216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Only approved variance posts an adjustment.</w:t>
            </w:r>
          </w:p>
        </w:tc>
      </w:tr>
      <w:tr>
        <w:tc>
          <w:tcPr>
            <w:tcW w:type="dxa" w:w="180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Asset custody</w:t>
            </w:r>
          </w:p>
        </w:tc>
        <w:tc>
          <w:tcPr>
            <w:tcW w:type="dxa" w:w="540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Create -&gt; assign -&gt; receiver confirms -&gt; return request -&gt; admin confirms condition/return.</w:t>
            </w:r>
          </w:p>
        </w:tc>
        <w:tc>
          <w:tcPr>
            <w:tcW w:type="dxa" w:w="216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Uses asset events, not inventory movements.</w:t>
            </w:r>
          </w:p>
        </w:tc>
      </w:tr>
      <w:tr>
        <w:tc>
          <w:tcPr>
            <w:tcW w:type="dxa" w:w="180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Asset maintenance</w:t>
            </w:r>
          </w:p>
        </w:tc>
        <w:tc>
          <w:tcPr>
            <w:tcW w:type="dxa" w:w="540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Open ticket -&gt; maintenance state -&gt; service details/files/cost -&gt; complete.</w:t>
            </w:r>
          </w:p>
        </w:tc>
        <w:tc>
          <w:tcPr>
            <w:tcW w:type="dxa" w:w="216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Updates asset status and event history; book value remains depreciation-driven.</w:t>
            </w:r>
          </w:p>
        </w:tc>
      </w:tr>
    </w:tbl>
    <w:p>
      <w:pPr>
        <w:spacing w:after="0"/>
      </w:pPr>
    </w:p>
    <w:p>
      <w:pPr>
        <w:pStyle w:val="Heading1"/>
      </w:pPr>
      <w:r>
        <w:t>7. Permissions And Guardrails</w:t>
      </w:r>
    </w:p>
    <w:p>
      <w:pPr>
        <w:pStyle w:val="ListBullet"/>
      </w:pPr>
      <w:r>
        <w:rPr>
          <w:rFonts w:ascii="Calibri" w:hAnsi="Calibri"/>
          <w:b w:val="0"/>
          <w:color w:val="111111"/>
          <w:sz w:val="19"/>
        </w:rPr>
        <w:t>Owner has full access. Admin behavior comes from explicit permissions and position defaults.</w:t>
      </w:r>
    </w:p>
    <w:p>
      <w:pPr>
        <w:pStyle w:val="ListBullet"/>
      </w:pPr>
      <w:r>
        <w:rPr>
          <w:rFonts w:ascii="Calibri" w:hAnsi="Calibri"/>
          <w:b w:val="0"/>
          <w:color w:val="111111"/>
          <w:sz w:val="19"/>
        </w:rPr>
        <w:t>Staff sees only assigned requests, handovers and assets where applicable.</w:t>
      </w:r>
    </w:p>
    <w:p>
      <w:pPr>
        <w:pStyle w:val="ListBullet"/>
      </w:pPr>
      <w:r>
        <w:rPr>
          <w:rFonts w:ascii="Calibri" w:hAnsi="Calibri"/>
          <w:b w:val="0"/>
          <w:color w:val="111111"/>
          <w:sz w:val="19"/>
        </w:rPr>
        <w:t>Status override stays owner/super-admin only and every override is audited.</w:t>
      </w:r>
    </w:p>
    <w:p>
      <w:pPr>
        <w:pStyle w:val="ListBullet"/>
      </w:pPr>
      <w:r>
        <w:rPr>
          <w:rFonts w:ascii="Calibri" w:hAnsi="Calibri"/>
          <w:b w:val="0"/>
          <w:color w:val="111111"/>
          <w:sz w:val="19"/>
        </w:rPr>
        <w:t>Default admin without purchases.files cannot delete protected purchase documents.</w:t>
      </w:r>
    </w:p>
    <w:p>
      <w:pPr>
        <w:pStyle w:val="ListBullet"/>
      </w:pPr>
      <w:r>
        <w:rPr>
          <w:rFonts w:ascii="Calibri" w:hAnsi="Calibri"/>
          <w:b w:val="0"/>
          <w:color w:val="111111"/>
          <w:sz w:val="19"/>
        </w:rPr>
        <w:t>Default admin without purchases.cancel cannot cancel a purchase draft.</w:t>
      </w:r>
    </w:p>
    <w:p>
      <w:pPr>
        <w:pStyle w:val="ListBullet"/>
      </w:pPr>
      <w:r>
        <w:rPr>
          <w:rFonts w:ascii="Calibri" w:hAnsi="Calibri"/>
          <w:b w:val="0"/>
          <w:color w:val="111111"/>
          <w:sz w:val="19"/>
        </w:rPr>
        <w:t>Owner purchase document deletion and draft cancellation are verified allowed paths.</w:t>
      </w:r>
    </w:p>
    <w:p>
      <w:pPr>
        <w:pStyle w:val="ListBullet"/>
      </w:pPr>
      <w:r>
        <w:rPr>
          <w:rFonts w:ascii="Calibri" w:hAnsi="Calibri"/>
          <w:b w:val="0"/>
          <w:color w:val="111111"/>
          <w:sz w:val="19"/>
        </w:rPr>
        <w:t>Self-approval remains blocked for purchases and other workflows where separation of duties matters.</w:t>
      </w:r>
    </w:p>
    <w:p>
      <w:pPr>
        <w:pStyle w:val="Heading1"/>
      </w:pPr>
      <w:r>
        <w:t>8. Local Setup And Tests</w:t>
      </w:r>
    </w:p>
    <w:tbl>
      <w:tblPr>
        <w:tblW w:type="dxa" w:w="9360"/>
        <w:jc w:val="left"/>
        <w:tblLayout w:type="fixed"/>
        <w:tblLook w:firstColumn="1" w:firstRow="1" w:lastColumn="0" w:lastRow="0" w:noHBand="0" w:noVBand="1" w:val="04A0"/>
      </w:tblPr>
      <w:tblGrid>
        <w:gridCol w:w="2088"/>
        <w:gridCol w:w="7272"/>
      </w:tblGrid>
      <w:tr>
        <w:tc>
          <w:tcPr>
            <w:tcW w:type="dxa" w:w="2088"/>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Task</w:t>
            </w:r>
          </w:p>
        </w:tc>
        <w:tc>
          <w:tcPr>
            <w:tcW w:type="dxa" w:w="7272"/>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Command / action</w:t>
            </w:r>
          </w:p>
        </w:tc>
      </w:tr>
      <w:tr>
        <w:tc>
          <w:tcPr>
            <w:tcW w:type="dxa" w:w="208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Environment</w:t>
            </w:r>
          </w:p>
        </w:tc>
        <w:tc>
          <w:tcPr>
            <w:tcW w:type="dxa" w:w="727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Copy .env.example to .env and fill database settings. Never commit credentials.</w:t>
            </w:r>
          </w:p>
        </w:tc>
      </w:tr>
      <w:tr>
        <w:tc>
          <w:tcPr>
            <w:tcW w:type="dxa" w:w="208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Local server</w:t>
            </w:r>
          </w:p>
        </w:tc>
        <w:tc>
          <w:tcPr>
            <w:tcW w:type="dxa" w:w="727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php -S 127.0.0.1:8080 router.php</w:t>
            </w:r>
          </w:p>
        </w:tc>
      </w:tr>
      <w:tr>
        <w:tc>
          <w:tcPr>
            <w:tcW w:type="dxa" w:w="208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PHP lint</w:t>
            </w:r>
          </w:p>
        </w:tc>
        <w:tc>
          <w:tcPr>
            <w:tcW w:type="dxa" w:w="727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find app views scripts tests -name '*.php' -print0 | xargs -0 -n1 php -l</w:t>
            </w:r>
          </w:p>
        </w:tc>
      </w:tr>
      <w:tr>
        <w:tc>
          <w:tcPr>
            <w:tcW w:type="dxa" w:w="208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Frontend syntax</w:t>
            </w:r>
          </w:p>
        </w:tc>
        <w:tc>
          <w:tcPr>
            <w:tcW w:type="dxa" w:w="727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node --check assets/app.js</w:t>
            </w:r>
          </w:p>
        </w:tc>
      </w:tr>
      <w:tr>
        <w:tc>
          <w:tcPr>
            <w:tcW w:type="dxa" w:w="208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Architecture</w:t>
            </w:r>
          </w:p>
        </w:tc>
        <w:tc>
          <w:tcPr>
            <w:tcW w:type="dxa" w:w="727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php tests/module_boundaries.php</w:t>
            </w:r>
          </w:p>
        </w:tc>
      </w:tr>
      <w:tr>
        <w:tc>
          <w:tcPr>
            <w:tcW w:type="dxa" w:w="208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Frontend registry</w:t>
            </w:r>
          </w:p>
        </w:tc>
        <w:tc>
          <w:tcPr>
            <w:tcW w:type="dxa" w:w="727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php tests/frontend_assets.php</w:t>
            </w:r>
          </w:p>
        </w:tc>
      </w:tr>
      <w:tr>
        <w:tc>
          <w:tcPr>
            <w:tcW w:type="dxa" w:w="208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Backup archive</w:t>
            </w:r>
          </w:p>
        </w:tc>
        <w:tc>
          <w:tcPr>
            <w:tcW w:type="dxa" w:w="727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php tests/backup_archive.php</w:t>
            </w:r>
          </w:p>
        </w:tc>
      </w:tr>
      <w:tr>
        <w:tc>
          <w:tcPr>
            <w:tcW w:type="dxa" w:w="208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Full regression</w:t>
            </w:r>
          </w:p>
        </w:tc>
        <w:tc>
          <w:tcPr>
            <w:tcW w:type="dxa" w:w="727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php tests/full_regression.php</w:t>
            </w:r>
          </w:p>
        </w:tc>
      </w:tr>
      <w:tr>
        <w:tc>
          <w:tcPr>
            <w:tcW w:type="dxa" w:w="208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Stock invariants</w:t>
            </w:r>
          </w:p>
        </w:tc>
        <w:tc>
          <w:tcPr>
            <w:tcW w:type="dxa" w:w="727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php tests/stock_invariants.php</w:t>
            </w:r>
          </w:p>
        </w:tc>
      </w:tr>
      <w:tr>
        <w:tc>
          <w:tcPr>
            <w:tcW w:type="dxa" w:w="208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Live regression</w:t>
            </w:r>
          </w:p>
        </w:tc>
        <w:tc>
          <w:tcPr>
            <w:tcW w:type="dxa" w:w="727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Backup first, then use --allow-live with a unique ZZ prefix and run cleanup.</w:t>
            </w:r>
          </w:p>
        </w:tc>
      </w:tr>
    </w:tbl>
    <w:p>
      <w:pPr>
        <w:spacing w:after="0"/>
      </w:pPr>
    </w:p>
    <w:p>
      <w:pPr>
        <w:pStyle w:val="Heading1"/>
      </w:pPr>
      <w:r>
        <w:t>9. Production Deployment</w:t>
      </w:r>
    </w:p>
    <w:tbl>
      <w:tblPr>
        <w:tblW w:type="dxa" w:w="9360"/>
        <w:jc w:val="left"/>
        <w:tblLayout w:type="fixed"/>
        <w:tblLook w:firstColumn="1" w:firstRow="1" w:lastColumn="0" w:lastRow="0" w:noHBand="0" w:noVBand="1" w:val="04A0"/>
      </w:tblPr>
      <w:tblGrid>
        <w:gridCol w:w="792"/>
        <w:gridCol w:w="8568"/>
      </w:tblGrid>
      <w:tr>
        <w:tc>
          <w:tcPr>
            <w:tcW w:type="dxa" w:w="792"/>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Order</w:t>
            </w:r>
          </w:p>
        </w:tc>
        <w:tc>
          <w:tcPr>
            <w:tcW w:type="dxa" w:w="8568"/>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Required action</w:t>
            </w:r>
          </w:p>
        </w:tc>
      </w:tr>
      <w:tr>
        <w:tc>
          <w:tcPr>
            <w:tcW w:type="dxa" w:w="79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1</w:t>
            </w:r>
          </w:p>
        </w:tc>
        <w:tc>
          <w:tcPr>
            <w:tcW w:type="dxa" w:w="856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Check git status, branch main and origin remote. Ignore unrelated local files.</w:t>
            </w:r>
          </w:p>
        </w:tc>
      </w:tr>
      <w:tr>
        <w:tc>
          <w:tcPr>
            <w:tcW w:type="dxa" w:w="79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2</w:t>
            </w:r>
          </w:p>
        </w:tc>
        <w:tc>
          <w:tcPr>
            <w:tcW w:type="dxa" w:w="856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Run PHP lint, Node syntax, module boundaries, frontend assets, backup archive and git diff --check.</w:t>
            </w:r>
          </w:p>
        </w:tc>
      </w:tr>
      <w:tr>
        <w:tc>
          <w:tcPr>
            <w:tcW w:type="dxa" w:w="79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3</w:t>
            </w:r>
          </w:p>
        </w:tc>
        <w:tc>
          <w:tcPr>
            <w:tcW w:type="dxa" w:w="856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Stage only intended files, commit and push origin main.</w:t>
            </w:r>
          </w:p>
        </w:tc>
      </w:tr>
      <w:tr>
        <w:tc>
          <w:tcPr>
            <w:tcW w:type="dxa" w:w="79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4</w:t>
            </w:r>
          </w:p>
        </w:tc>
        <w:tc>
          <w:tcPr>
            <w:tcW w:type="dxa" w:w="856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SSH to production path and create a SQL + manifest + files ZIP backup.</w:t>
            </w:r>
          </w:p>
        </w:tc>
      </w:tr>
      <w:tr>
        <w:tc>
          <w:tcPr>
            <w:tcW w:type="dxa" w:w="79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5</w:t>
            </w:r>
          </w:p>
        </w:tc>
        <w:tc>
          <w:tcPr>
            <w:tcW w:type="dxa" w:w="856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Deploy the exact committed source state. Do not copy a dirty working tree.</w:t>
            </w:r>
          </w:p>
        </w:tc>
      </w:tr>
      <w:tr>
        <w:tc>
          <w:tcPr>
            <w:tcW w:type="dxa" w:w="79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6</w:t>
            </w:r>
          </w:p>
        </w:tc>
        <w:tc>
          <w:tcPr>
            <w:tcW w:type="dxa" w:w="856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Run live PHP lint and stock invariants.</w:t>
            </w:r>
          </w:p>
        </w:tc>
      </w:tr>
      <w:tr>
        <w:tc>
          <w:tcPr>
            <w:tcW w:type="dxa" w:w="79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7</w:t>
            </w:r>
          </w:p>
        </w:tc>
        <w:tc>
          <w:tcPr>
            <w:tcW w:type="dxa" w:w="856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Smoke dashboard, items, handovers, requests, purchases, assets, reports and settings.</w:t>
            </w:r>
          </w:p>
        </w:tc>
      </w:tr>
      <w:tr>
        <w:tc>
          <w:tcPr>
            <w:tcW w:type="dxa" w:w="79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8</w:t>
            </w:r>
          </w:p>
        </w:tc>
        <w:tc>
          <w:tcPr>
            <w:tcW w:type="dxa" w:w="856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For a workflow release, run prefixed live regression and clean temporary records.</w:t>
            </w:r>
          </w:p>
        </w:tc>
      </w:tr>
    </w:tbl>
    <w:p>
      <w:pPr>
        <w:spacing w:after="0"/>
      </w:pPr>
    </w:p>
    <w:p>
      <w:pPr>
        <w:pStyle w:val="Heading1"/>
      </w:pPr>
      <w:r>
        <w:t>10. Backup And Rollback</w:t>
      </w:r>
    </w:p>
    <w:p>
      <w:pPr>
        <w:pStyle w:val="ListBullet"/>
      </w:pPr>
      <w:r>
        <w:rPr>
          <w:rFonts w:ascii="Calibri" w:hAnsi="Calibri"/>
          <w:b w:val="0"/>
          <w:color w:val="111111"/>
          <w:sz w:val="19"/>
        </w:rPr>
        <w:t>Always keep SQL, manifest and files ZIP from the same backup timestamp.</w:t>
      </w:r>
    </w:p>
    <w:p>
      <w:pPr>
        <w:pStyle w:val="ListBullet"/>
      </w:pPr>
      <w:r>
        <w:rPr>
          <w:rFonts w:ascii="Calibri" w:hAnsi="Calibri"/>
          <w:b w:val="0"/>
          <w:color w:val="111111"/>
          <w:sz w:val="19"/>
        </w:rPr>
        <w:t>If schema did not change, restore the backed-up application files, lint and run stock invariants.</w:t>
      </w:r>
    </w:p>
    <w:p>
      <w:pPr>
        <w:pStyle w:val="ListBullet"/>
      </w:pPr>
      <w:r>
        <w:rPr>
          <w:rFonts w:ascii="Calibri" w:hAnsi="Calibri"/>
          <w:b w:val="0"/>
          <w:color w:val="111111"/>
          <w:sz w:val="19"/>
        </w:rPr>
        <w:t>If schema changed, restore files and SQL from the same set. Mixing versions is how quiet corruption starts.</w:t>
      </w:r>
    </w:p>
    <w:p>
      <w:pPr>
        <w:pStyle w:val="ListBullet"/>
      </w:pPr>
      <w:r>
        <w:rPr>
          <w:rFonts w:ascii="Calibri" w:hAnsi="Calibri"/>
          <w:b w:val="0"/>
          <w:color w:val="111111"/>
          <w:sz w:val="19"/>
        </w:rPr>
        <w:t>Workflow correction uses cancel, recover, void, reopen or status override. Hard delete is not rollback.</w:t>
      </w:r>
    </w:p>
    <w:p>
      <w:pPr>
        <w:pStyle w:val="Heading1"/>
      </w:pPr>
      <w:r>
        <w:t>11. July 21 Verified Checkpoint</w:t>
      </w:r>
    </w:p>
    <w:tbl>
      <w:tblPr>
        <w:tblW w:type="dxa" w:w="9360"/>
        <w:jc w:val="left"/>
        <w:tblLayout w:type="fixed"/>
        <w:tblLook w:firstColumn="1" w:firstRow="1" w:lastColumn="0" w:lastRow="0" w:noHBand="0" w:noVBand="1" w:val="04A0"/>
      </w:tblPr>
      <w:tblGrid>
        <w:gridCol w:w="1944"/>
        <w:gridCol w:w="1008"/>
        <w:gridCol w:w="6408"/>
      </w:tblGrid>
      <w:tr>
        <w:tc>
          <w:tcPr>
            <w:tcW w:type="dxa" w:w="1944"/>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Check</w:t>
            </w:r>
          </w:p>
        </w:tc>
        <w:tc>
          <w:tcPr>
            <w:tcW w:type="dxa" w:w="1008"/>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Result</w:t>
            </w:r>
          </w:p>
        </w:tc>
        <w:tc>
          <w:tcPr>
            <w:tcW w:type="dxa" w:w="6408"/>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Evidence</w:t>
            </w:r>
          </w:p>
        </w:tc>
      </w:tr>
      <w:tr>
        <w:tc>
          <w:tcPr>
            <w:tcW w:type="dxa" w:w="194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Application</w:t>
            </w:r>
          </w:p>
        </w:tc>
        <w:tc>
          <w:tcPr>
            <w:tcW w:type="dxa" w:w="100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PASS</w:t>
            </w:r>
          </w:p>
        </w:tc>
        <w:tc>
          <w:tcPr>
            <w:tcW w:type="dxa" w:w="640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44de744 deployed on main.</w:t>
            </w:r>
          </w:p>
        </w:tc>
      </w:tr>
      <w:tr>
        <w:tc>
          <w:tcPr>
            <w:tcW w:type="dxa" w:w="194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Backup</w:t>
            </w:r>
          </w:p>
        </w:tc>
        <w:tc>
          <w:tcPr>
            <w:tcW w:type="dxa" w:w="100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PASS</w:t>
            </w:r>
          </w:p>
        </w:tc>
        <w:tc>
          <w:tcPr>
            <w:tcW w:type="dxa" w:w="640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inventory-backup-20260720-111638 SQL, manifest and files ZIP; 14,700 files; 1,604,088,094 bytes; no warnings.</w:t>
            </w:r>
          </w:p>
        </w:tc>
      </w:tr>
      <w:tr>
        <w:tc>
          <w:tcPr>
            <w:tcW w:type="dxa" w:w="194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Static checks</w:t>
            </w:r>
          </w:p>
        </w:tc>
        <w:tc>
          <w:tcPr>
            <w:tcW w:type="dxa" w:w="100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PASS</w:t>
            </w:r>
          </w:p>
        </w:tc>
        <w:tc>
          <w:tcPr>
            <w:tcW w:type="dxa" w:w="640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Full PHP lint, Node syntax, git diff, module boundaries, frontend assets and backup archive.</w:t>
            </w:r>
          </w:p>
        </w:tc>
      </w:tr>
      <w:tr>
        <w:tc>
          <w:tcPr>
            <w:tcW w:type="dxa" w:w="194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Live regression</w:t>
            </w:r>
          </w:p>
        </w:tc>
        <w:tc>
          <w:tcPr>
            <w:tcW w:type="dxa" w:w="100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PASS</w:t>
            </w:r>
          </w:p>
        </w:tc>
        <w:tc>
          <w:tcPr>
            <w:tcW w:type="dxa" w:w="640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ZZCYCLE20260720E passed and cleaned temporary records.</w:t>
            </w:r>
          </w:p>
        </w:tc>
      </w:tr>
      <w:tr>
        <w:tc>
          <w:tcPr>
            <w:tcW w:type="dxa" w:w="194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Stock invariants</w:t>
            </w:r>
          </w:p>
        </w:tc>
        <w:tc>
          <w:tcPr>
            <w:tcW w:type="dxa" w:w="100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PASS</w:t>
            </w:r>
          </w:p>
        </w:tc>
        <w:tc>
          <w:tcPr>
            <w:tcW w:type="dxa" w:w="640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Passed before live regression and after cleanup.</w:t>
            </w:r>
          </w:p>
        </w:tc>
      </w:tr>
      <w:tr>
        <w:tc>
          <w:tcPr>
            <w:tcW w:type="dxa" w:w="194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Issuer receipt review</w:t>
            </w:r>
          </w:p>
        </w:tc>
        <w:tc>
          <w:tcPr>
            <w:tcW w:type="dxa" w:w="100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PASS</w:t>
            </w:r>
          </w:p>
        </w:tc>
        <w:tc>
          <w:tcPr>
            <w:tcW w:type="dxa" w:w="640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Exact and short receipt reports require editable source-issuer confirmation.</w:t>
            </w:r>
          </w:p>
        </w:tc>
      </w:tr>
      <w:tr>
        <w:tc>
          <w:tcPr>
            <w:tcW w:type="dxa" w:w="1944"/>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Issuer final review</w:t>
            </w:r>
          </w:p>
        </w:tc>
        <w:tc>
          <w:tcPr>
            <w:tcW w:type="dxa" w:w="100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PASS</w:t>
            </w:r>
          </w:p>
        </w:tc>
        <w:tc>
          <w:tcPr>
            <w:tcW w:type="dxa" w:w="640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Issuer can correct returned quantity and actual usage reasons before close.</w:t>
            </w:r>
          </w:p>
        </w:tc>
      </w:tr>
      <w:tr>
        <w:tc>
          <w:tcPr>
            <w:tcW w:type="dxa" w:w="1944"/>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Purchase permissions</w:t>
            </w:r>
          </w:p>
        </w:tc>
        <w:tc>
          <w:tcPr>
            <w:tcW w:type="dxa" w:w="100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PASS</w:t>
            </w:r>
          </w:p>
        </w:tc>
        <w:tc>
          <w:tcPr>
            <w:tcW w:type="dxa" w:w="640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Denied default-admin and allowed owner paths verified for document deletion and draft cancellation.</w:t>
            </w:r>
          </w:p>
        </w:tc>
      </w:tr>
    </w:tbl>
    <w:p>
      <w:pPr>
        <w:spacing w:after="0"/>
      </w:pPr>
    </w:p>
    <w:p>
      <w:pPr>
        <w:pStyle w:val="Heading1"/>
      </w:pPr>
      <w:r>
        <w:t>12. Safe Extension Rules</w:t>
      </w:r>
    </w:p>
    <w:p>
      <w:pPr>
        <w:pStyle w:val="ListBullet"/>
      </w:pPr>
      <w:r>
        <w:rPr>
          <w:rFonts w:ascii="Calibri" w:hAnsi="Calibri"/>
          <w:b w:val="0"/>
          <w:color w:val="111111"/>
          <w:sz w:val="19"/>
        </w:rPr>
        <w:t>Put new backend logic in the focused domain module, not a compatibility loader.</w:t>
      </w:r>
    </w:p>
    <w:p>
      <w:pPr>
        <w:pStyle w:val="ListBullet"/>
      </w:pPr>
      <w:r>
        <w:rPr>
          <w:rFonts w:ascii="Calibri" w:hAnsi="Calibri"/>
          <w:b w:val="0"/>
          <w:color w:val="111111"/>
          <w:sz w:val="19"/>
        </w:rPr>
        <w:t>Keep public URLs and route handler names stable unless the change is intentional and tested.</w:t>
      </w:r>
    </w:p>
    <w:p>
      <w:pPr>
        <w:pStyle w:val="ListBullet"/>
      </w:pPr>
      <w:r>
        <w:rPr>
          <w:rFonts w:ascii="Calibri" w:hAnsi="Calibri"/>
          <w:b w:val="0"/>
          <w:color w:val="111111"/>
          <w:sz w:val="19"/>
        </w:rPr>
        <w:t>Use existing inventory posting helpers for every stock change.</w:t>
      </w:r>
    </w:p>
    <w:p>
      <w:pPr>
        <w:pStyle w:val="ListBullet"/>
      </w:pPr>
      <w:r>
        <w:rPr>
          <w:rFonts w:ascii="Calibri" w:hAnsi="Calibri"/>
          <w:b w:val="0"/>
          <w:color w:val="111111"/>
          <w:sz w:val="19"/>
        </w:rPr>
        <w:t>Add permission, audit, notification and export behavior with the feature - not months later.</w:t>
      </w:r>
    </w:p>
    <w:p>
      <w:pPr>
        <w:pStyle w:val="ListBullet"/>
      </w:pPr>
      <w:r>
        <w:rPr>
          <w:rFonts w:ascii="Calibri" w:hAnsi="Calibri"/>
          <w:b w:val="0"/>
          <w:color w:val="111111"/>
          <w:sz w:val="19"/>
        </w:rPr>
        <w:t>When a view filter changes, prove the export uses the same scope.</w:t>
      </w:r>
    </w:p>
    <w:p>
      <w:pPr>
        <w:pStyle w:val="ListBullet"/>
      </w:pPr>
      <w:r>
        <w:rPr>
          <w:rFonts w:ascii="Calibri" w:hAnsi="Calibri"/>
          <w:b w:val="0"/>
          <w:color w:val="111111"/>
          <w:sz w:val="19"/>
        </w:rPr>
        <w:t>OCR may fill a draft; it must never approve a purchase or post stock.</w:t>
      </w:r>
    </w:p>
    <w:p>
      <w:pPr>
        <w:pStyle w:val="ListBullet"/>
      </w:pPr>
      <w:r>
        <w:rPr>
          <w:rFonts w:ascii="Calibri" w:hAnsi="Calibri"/>
          <w:b w:val="0"/>
          <w:color w:val="111111"/>
          <w:sz w:val="19"/>
        </w:rPr>
        <w:t>Do not start a class/framework rewrite while daily stock workflows are changing.</w:t>
      </w:r>
    </w:p>
    <w:p>
      <w:pPr>
        <w:pStyle w:val="Heading1"/>
      </w:pPr>
      <w:r>
        <w:t>13. Next Technical Work</w:t>
      </w:r>
    </w:p>
    <w:tbl>
      <w:tblPr>
        <w:tblW w:type="dxa" w:w="9360"/>
        <w:jc w:val="left"/>
        <w:tblLayout w:type="fixed"/>
        <w:tblLook w:firstColumn="1" w:firstRow="1" w:lastColumn="0" w:lastRow="0" w:noHBand="0" w:noVBand="1" w:val="04A0"/>
      </w:tblPr>
      <w:tblGrid>
        <w:gridCol w:w="792"/>
        <w:gridCol w:w="4320"/>
        <w:gridCol w:w="4248"/>
      </w:tblGrid>
      <w:tr>
        <w:tc>
          <w:tcPr>
            <w:tcW w:type="dxa" w:w="792"/>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Order</w:t>
            </w:r>
          </w:p>
        </w:tc>
        <w:tc>
          <w:tcPr>
            <w:tcW w:type="dxa" w:w="4320"/>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Improvement</w:t>
            </w:r>
          </w:p>
        </w:tc>
        <w:tc>
          <w:tcPr>
            <w:tcW w:type="dxa" w:w="4248"/>
            <w:shd w:fill="111111"/>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center"/>
          </w:tcPr>
          <w:p>
            <w:pPr>
              <w:keepNext/>
            </w:pPr>
            <w:r>
              <w:rPr>
                <w:rFonts w:ascii="Calibri" w:hAnsi="Calibri"/>
                <w:b/>
                <w:color w:val="FFFFFF"/>
                <w:sz w:val="17"/>
              </w:rPr>
              <w:t>Reason</w:t>
            </w:r>
          </w:p>
        </w:tc>
      </w:tr>
      <w:tr>
        <w:tc>
          <w:tcPr>
            <w:tcW w:type="dxa" w:w="79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1</w:t>
            </w:r>
          </w:p>
        </w:tc>
        <w:tc>
          <w:tcPr>
            <w:tcW w:type="dxa" w:w="432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Continue mobile field-work polish.</w:t>
            </w:r>
          </w:p>
        </w:tc>
        <w:tc>
          <w:tcPr>
            <w:tcW w:type="dxa" w:w="424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Most employees use phones for scan, handover, manual stock and asset work.</w:t>
            </w:r>
          </w:p>
        </w:tc>
      </w:tr>
      <w:tr>
        <w:tc>
          <w:tcPr>
            <w:tcW w:type="dxa" w:w="79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2</w:t>
            </w:r>
          </w:p>
        </w:tc>
        <w:tc>
          <w:tcPr>
            <w:tcW w:type="dxa" w:w="432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Extend filter/export parity tests with every new filter.</w:t>
            </w:r>
          </w:p>
        </w:tc>
        <w:tc>
          <w:tcPr>
            <w:tcW w:type="dxa" w:w="424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Visible scope and downloaded scope must never disagree.</w:t>
            </w:r>
          </w:p>
        </w:tc>
      </w:tr>
      <w:tr>
        <w:tc>
          <w:tcPr>
            <w:tcW w:type="dxa" w:w="79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3</w:t>
            </w:r>
          </w:p>
        </w:tc>
        <w:tc>
          <w:tcPr>
            <w:tcW w:type="dxa" w:w="432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Harden Arabic OCR confidence and optional OpenAI fallback.</w:t>
            </w:r>
          </w:p>
        </w:tc>
        <w:tc>
          <w:tcPr>
            <w:tcW w:type="dxa" w:w="424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Old scanned documents remain the least reliable input.</w:t>
            </w:r>
          </w:p>
        </w:tc>
      </w:tr>
      <w:tr>
        <w:tc>
          <w:tcPr>
            <w:tcW w:type="dxa" w:w="792"/>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4</w:t>
            </w:r>
          </w:p>
        </w:tc>
        <w:tc>
          <w:tcPr>
            <w:tcW w:type="dxa" w:w="4320"/>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Exercise report presets with real operating teams.</w:t>
            </w:r>
          </w:p>
        </w:tc>
        <w:tc>
          <w:tcPr>
            <w:tcW w:type="dxa" w:w="4248"/>
            <w:shd w:fill="FFFFFF"/>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The feature exists; real use should define the best defaults.</w:t>
            </w:r>
          </w:p>
        </w:tc>
      </w:tr>
      <w:tr>
        <w:tc>
          <w:tcPr>
            <w:tcW w:type="dxa" w:w="792"/>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5</w:t>
            </w:r>
          </w:p>
        </w:tc>
        <w:tc>
          <w:tcPr>
            <w:tcW w:type="dxa" w:w="4320"/>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Keep frontend modules focused and split domain files when responsibilities diverge.</w:t>
            </w:r>
          </w:p>
        </w:tc>
        <w:tc>
          <w:tcPr>
            <w:tcW w:type="dxa" w:w="4248"/>
            <w:shd w:fill="F8F5ED"/>
            <w:tcBorders>
              <w:top w:val="single" w:sz="4" w:color="D9D2C3"/>
              <w:left w:val="single" w:sz="4" w:color="D9D2C3"/>
              <w:bottom w:val="single" w:sz="4" w:color="D9D2C3"/>
              <w:right w:val="single" w:sz="4" w:color="D9D2C3"/>
              <w:insideH w:val="single" w:sz="4" w:color="D9D2C3"/>
              <w:insideV w:val="single" w:sz="4" w:color="D9D2C3"/>
            </w:tcBorders>
            <w:tcMar>
              <w:top w:w="70" w:type="dxa"/>
              <w:start w:w="100" w:type="dxa"/>
              <w:bottom w:w="70" w:type="dxa"/>
              <w:end w:w="100" w:type="dxa"/>
            </w:tcMar>
            <w:vAlign w:val="top"/>
          </w:tcPr>
          <w:p>
            <w:pPr>
              <w:spacing w:after="0"/>
            </w:pPr>
            <w:r>
              <w:rPr>
                <w:rFonts w:ascii="Calibri" w:hAnsi="Calibri"/>
                <w:b w:val="0"/>
                <w:color w:val="111111"/>
                <w:sz w:val="17"/>
              </w:rPr>
              <w:t>This prevents the new module graph from growing another monolith.</w:t>
            </w:r>
          </w:p>
        </w:tc>
      </w:tr>
    </w:tbl>
    <w:p>
      <w:pPr>
        <w:spacing w:after="0"/>
      </w:pPr>
    </w:p>
    <w:tbl>
      <w:tblPr>
        <w:tblW w:type="dxa" w:w="9360"/>
        <w:jc w:val="left"/>
        <w:tblLayout w:type="fixed"/>
        <w:tblLook w:firstColumn="1" w:firstRow="1" w:lastColumn="0" w:lastRow="0" w:noHBand="0" w:noVBand="1" w:val="04A0"/>
      </w:tblPr>
      <w:tblGrid>
        <w:gridCol w:w="9360"/>
      </w:tblGrid>
      <w:tr>
        <w:tc>
          <w:tcPr>
            <w:tcW w:type="dxa" w:w="9360"/>
            <w:shd w:fill="FFF6D8"/>
            <w:tcBorders>
              <w:top w:val="single" w:sz="4" w:color="D9D2C3"/>
              <w:left w:val="single" w:sz="4" w:color="D9D2C3"/>
              <w:bottom w:val="single" w:sz="4" w:color="D9D2C3"/>
              <w:right w:val="single" w:sz="4" w:color="D9D2C3"/>
              <w:insideH w:val="single" w:sz="4" w:color="D9D2C3"/>
              <w:insideV w:val="single" w:sz="4" w:color="D9D2C3"/>
            </w:tcBorders>
            <w:tcMar>
              <w:top w:w="110" w:type="dxa"/>
              <w:start w:w="140" w:type="dxa"/>
              <w:bottom w:w="110" w:type="dxa"/>
              <w:end w:w="140" w:type="dxa"/>
            </w:tcMar>
          </w:tcPr>
          <w:p>
            <w:r>
              <w:rPr>
                <w:rFonts w:ascii="Calibri" w:hAnsi="Calibri"/>
                <w:b/>
                <w:color w:val="B78918"/>
                <w:sz w:val="20"/>
              </w:rPr>
              <w:t>Developer bottom line</w:t>
              <w:br/>
            </w:r>
            <w:r>
              <w:rPr>
                <w:rFonts w:ascii="Calibri" w:hAnsi="Calibri"/>
                <w:b w:val="0"/>
                <w:color w:val="111111"/>
                <w:sz w:val="19"/>
              </w:rPr>
              <w:t>The modular build is complete enough to extend safely. The latest handover work restored the original accountability cycle inside the modules; it did not undo modularization. Keep changes small, preserve stock invariants, and make tests prove the behavior.</w:t>
            </w:r>
          </w:p>
        </w:tc>
      </w:tr>
    </w:tbl>
    <w:p>
      <w:pPr>
        <w:spacing w:after="0"/>
      </w:pPr>
    </w:p>
    <w:p>
      <w:r>
        <w:br w:type="page"/>
      </w:r>
    </w:p>
    <w:p>
      <w:pPr>
        <w:pStyle w:val="Heading1"/>
        <w:keepNext/>
      </w:pPr>
      <w:r>
        <w:t>14. Responsive Readiness Update</w:t>
      </w:r>
    </w:p>
    <w:tbl>
      <w:tblPr>
        <w:tblW w:type="auto" w:w="0"/>
        <w:tblLayout w:type="fixed"/>
        <w:tblLook w:firstColumn="1" w:firstRow="1" w:lastColumn="0" w:lastRow="0" w:noHBand="0" w:noVBand="1" w:val="04A0"/>
      </w:tblPr>
      <w:tblGrid>
        <w:gridCol w:w="10080"/>
      </w:tblGrid>
      <w:tr>
        <w:tc>
          <w:tcPr>
            <w:tcW w:type="dxa" w:w="10080"/>
            <w:shd w:fill="FFF6DB"/>
            <w:tcMar>
              <w:top w:w="120" w:type="dxa"/>
              <w:start w:w="140" w:type="dxa"/>
              <w:bottom w:w="120" w:type="dxa"/>
              <w:end w:w="140" w:type="dxa"/>
            </w:tcMar>
          </w:tcPr>
          <w:p>
            <w:pPr>
              <w:spacing w:after="40"/>
            </w:pPr>
            <w:r>
              <w:rPr>
                <w:b/>
                <w:color w:val="111111"/>
              </w:rPr>
              <w:t>Verdict: responsive checkpoint passed</w:t>
              <w:br/>
            </w:r>
            <w:r>
              <w:rPr>
                <w:color w:val="6C6C6C"/>
              </w:rPr>
              <w:t>The production app was verified across 21 authenticated pages and six viewport sizes. All 126 page/viewport combinations completed with zero page-level horizontal overflow, no clipped visible controls, no browser console errors, and no broken same-origin assets.</w:t>
            </w:r>
          </w:p>
        </w:tc>
      </w:tr>
    </w:tbl>
    <w:p>
      <w:pPr>
        <w:spacing w:after="20"/>
      </w:pPr>
    </w:p>
    <w:tbl>
      <w:tblPr>
        <w:tblStyle w:val="TableGrid"/>
        <w:tblW w:type="auto" w:w="0"/>
        <w:tblLayout w:type="fixed"/>
        <w:tblLook w:firstColumn="1" w:firstRow="1" w:lastColumn="0" w:lastRow="0" w:noHBand="0" w:noVBand="1" w:val="04A0"/>
      </w:tblPr>
      <w:tblGrid>
        <w:gridCol w:w="3360"/>
        <w:gridCol w:w="3360"/>
        <w:gridCol w:w="3360"/>
      </w:tblGrid>
      <w:tr>
        <w:trPr>
          <w:tblHeader/>
          <w:cantSplit/>
        </w:trPr>
        <w:tc>
          <w:tcPr>
            <w:tcW w:type="dxa" w:w="2088"/>
            <w:shd w:fill="EAB83F"/>
            <w:tcMar>
              <w:top w:w="70" w:type="dxa"/>
              <w:start w:w="90" w:type="dxa"/>
              <w:bottom w:w="70" w:type="dxa"/>
              <w:end w:w="90" w:type="dxa"/>
            </w:tcMar>
          </w:tcPr>
          <w:p>
            <w:pPr>
              <w:spacing w:after="0"/>
            </w:pPr>
            <w:r>
              <w:rPr>
                <w:b/>
                <w:color w:val="111111"/>
                <w:sz w:val="17"/>
              </w:rPr>
              <w:t>Viewport class</w:t>
            </w:r>
          </w:p>
        </w:tc>
        <w:tc>
          <w:tcPr>
            <w:tcW w:type="dxa" w:w="1584"/>
            <w:shd w:fill="EAB83F"/>
            <w:tcMar>
              <w:top w:w="70" w:type="dxa"/>
              <w:start w:w="90" w:type="dxa"/>
              <w:bottom w:w="70" w:type="dxa"/>
              <w:end w:w="90" w:type="dxa"/>
            </w:tcMar>
          </w:tcPr>
          <w:p>
            <w:pPr>
              <w:spacing w:after="0"/>
            </w:pPr>
            <w:r>
              <w:rPr>
                <w:b/>
                <w:color w:val="111111"/>
                <w:sz w:val="17"/>
              </w:rPr>
              <w:t>Width</w:t>
            </w:r>
          </w:p>
        </w:tc>
        <w:tc>
          <w:tcPr>
            <w:tcW w:type="dxa" w:w="6552"/>
            <w:shd w:fill="EAB83F"/>
            <w:tcMar>
              <w:top w:w="70" w:type="dxa"/>
              <w:start w:w="90" w:type="dxa"/>
              <w:bottom w:w="70" w:type="dxa"/>
              <w:end w:w="90" w:type="dxa"/>
            </w:tcMar>
          </w:tcPr>
          <w:p>
            <w:pPr>
              <w:spacing w:after="0"/>
            </w:pPr>
            <w:r>
              <w:rPr>
                <w:b/>
                <w:color w:val="111111"/>
                <w:sz w:val="17"/>
              </w:rPr>
              <w:t>Required behavior</w:t>
            </w:r>
          </w:p>
        </w:tc>
      </w:tr>
      <w:tr>
        <w:trPr>
          <w:cantSplit/>
        </w:trPr>
        <w:tc>
          <w:tcPr>
            <w:tcW w:type="dxa" w:w="2088"/>
            <w:shd w:fill="FFFFFF"/>
            <w:tcMar>
              <w:top w:w="70" w:type="dxa"/>
              <w:start w:w="90" w:type="dxa"/>
              <w:bottom w:w="70" w:type="dxa"/>
              <w:end w:w="90" w:type="dxa"/>
            </w:tcMar>
          </w:tcPr>
          <w:p>
            <w:pPr>
              <w:spacing w:after="0"/>
            </w:pPr>
            <w:r>
              <w:rPr>
                <w:color w:val="111111"/>
                <w:sz w:val="16"/>
              </w:rPr>
              <w:t>Compact phone</w:t>
            </w:r>
          </w:p>
        </w:tc>
        <w:tc>
          <w:tcPr>
            <w:tcW w:type="dxa" w:w="1584"/>
            <w:shd w:fill="FFFFFF"/>
            <w:tcMar>
              <w:top w:w="70" w:type="dxa"/>
              <w:start w:w="90" w:type="dxa"/>
              <w:bottom w:w="70" w:type="dxa"/>
              <w:end w:w="90" w:type="dxa"/>
            </w:tcMar>
          </w:tcPr>
          <w:p>
            <w:pPr>
              <w:spacing w:after="0"/>
            </w:pPr>
            <w:r>
              <w:rPr>
                <w:color w:val="111111"/>
                <w:sz w:val="16"/>
              </w:rPr>
              <w:t>&lt;= 430px</w:t>
            </w:r>
          </w:p>
        </w:tc>
        <w:tc>
          <w:tcPr>
            <w:tcW w:type="dxa" w:w="6552"/>
            <w:shd w:fill="FFFFFF"/>
            <w:tcMar>
              <w:top w:w="70" w:type="dxa"/>
              <w:start w:w="90" w:type="dxa"/>
              <w:bottom w:w="70" w:type="dxa"/>
              <w:end w:w="90" w:type="dxa"/>
            </w:tcMar>
          </w:tcPr>
          <w:p>
            <w:pPr>
              <w:spacing w:after="0"/>
            </w:pPr>
            <w:r>
              <w:rPr>
                <w:color w:val="111111"/>
                <w:sz w:val="16"/>
              </w:rPr>
              <w:t>Tight spacing; single-column field workflow; accessible touch actions.</w:t>
            </w:r>
          </w:p>
        </w:tc>
      </w:tr>
      <w:tr>
        <w:trPr>
          <w:cantSplit/>
        </w:trPr>
        <w:tc>
          <w:tcPr>
            <w:tcW w:type="dxa" w:w="2088"/>
            <w:shd w:fill="F7F5F0"/>
            <w:tcMar>
              <w:top w:w="70" w:type="dxa"/>
              <w:start w:w="90" w:type="dxa"/>
              <w:bottom w:w="70" w:type="dxa"/>
              <w:end w:w="90" w:type="dxa"/>
            </w:tcMar>
          </w:tcPr>
          <w:p>
            <w:pPr>
              <w:spacing w:after="0"/>
            </w:pPr>
            <w:r>
              <w:rPr>
                <w:color w:val="111111"/>
                <w:sz w:val="16"/>
              </w:rPr>
              <w:t>Phone</w:t>
            </w:r>
          </w:p>
        </w:tc>
        <w:tc>
          <w:tcPr>
            <w:tcW w:type="dxa" w:w="1584"/>
            <w:shd w:fill="F7F5F0"/>
            <w:tcMar>
              <w:top w:w="70" w:type="dxa"/>
              <w:start w:w="90" w:type="dxa"/>
              <w:bottom w:w="70" w:type="dxa"/>
              <w:end w:w="90" w:type="dxa"/>
            </w:tcMar>
          </w:tcPr>
          <w:p>
            <w:pPr>
              <w:spacing w:after="0"/>
            </w:pPr>
            <w:r>
              <w:rPr>
                <w:color w:val="111111"/>
                <w:sz w:val="16"/>
              </w:rPr>
              <w:t>431-760px</w:t>
            </w:r>
          </w:p>
        </w:tc>
        <w:tc>
          <w:tcPr>
            <w:tcW w:type="dxa" w:w="6552"/>
            <w:shd w:fill="F7F5F0"/>
            <w:tcMar>
              <w:top w:w="70" w:type="dxa"/>
              <w:start w:w="90" w:type="dxa"/>
              <w:bottom w:w="70" w:type="dxa"/>
              <w:end w:w="90" w:type="dxa"/>
            </w:tcMar>
          </w:tcPr>
          <w:p>
            <w:pPr>
              <w:spacing w:after="0"/>
            </w:pPr>
            <w:r>
              <w:rPr>
                <w:color w:val="111111"/>
                <w:sz w:val="16"/>
              </w:rPr>
              <w:t>Single-column forms with wider phone gutters.</w:t>
            </w:r>
          </w:p>
        </w:tc>
      </w:tr>
      <w:tr>
        <w:trPr>
          <w:cantSplit/>
        </w:trPr>
        <w:tc>
          <w:tcPr>
            <w:tcW w:type="dxa" w:w="2088"/>
            <w:shd w:fill="FFFFFF"/>
            <w:tcMar>
              <w:top w:w="70" w:type="dxa"/>
              <w:start w:w="90" w:type="dxa"/>
              <w:bottom w:w="70" w:type="dxa"/>
              <w:end w:w="90" w:type="dxa"/>
            </w:tcMar>
          </w:tcPr>
          <w:p>
            <w:pPr>
              <w:spacing w:after="0"/>
            </w:pPr>
            <w:r>
              <w:rPr>
                <w:color w:val="111111"/>
                <w:sz w:val="16"/>
              </w:rPr>
              <w:t>Tablet</w:t>
            </w:r>
          </w:p>
        </w:tc>
        <w:tc>
          <w:tcPr>
            <w:tcW w:type="dxa" w:w="1584"/>
            <w:shd w:fill="FFFFFF"/>
            <w:tcMar>
              <w:top w:w="70" w:type="dxa"/>
              <w:start w:w="90" w:type="dxa"/>
              <w:bottom w:w="70" w:type="dxa"/>
              <w:end w:w="90" w:type="dxa"/>
            </w:tcMar>
          </w:tcPr>
          <w:p>
            <w:pPr>
              <w:spacing w:after="0"/>
            </w:pPr>
            <w:r>
              <w:rPr>
                <w:color w:val="111111"/>
                <w:sz w:val="16"/>
              </w:rPr>
              <w:t>761-1024px</w:t>
            </w:r>
          </w:p>
        </w:tc>
        <w:tc>
          <w:tcPr>
            <w:tcW w:type="dxa" w:w="6552"/>
            <w:shd w:fill="FFFFFF"/>
            <w:tcMar>
              <w:top w:w="70" w:type="dxa"/>
              <w:start w:w="90" w:type="dxa"/>
              <w:bottom w:w="70" w:type="dxa"/>
              <w:end w:w="90" w:type="dxa"/>
            </w:tcMar>
          </w:tcPr>
          <w:p>
            <w:pPr>
              <w:spacing w:after="0"/>
            </w:pPr>
            <w:r>
              <w:rPr>
                <w:color w:val="111111"/>
                <w:sz w:val="16"/>
              </w:rPr>
              <w:t>Two-column forms where readable; wrapped action rows.</w:t>
            </w:r>
          </w:p>
        </w:tc>
      </w:tr>
      <w:tr>
        <w:trPr>
          <w:cantSplit/>
        </w:trPr>
        <w:tc>
          <w:tcPr>
            <w:tcW w:type="dxa" w:w="2088"/>
            <w:shd w:fill="F7F5F0"/>
            <w:tcMar>
              <w:top w:w="70" w:type="dxa"/>
              <w:start w:w="90" w:type="dxa"/>
              <w:bottom w:w="70" w:type="dxa"/>
              <w:end w:w="90" w:type="dxa"/>
            </w:tcMar>
          </w:tcPr>
          <w:p>
            <w:pPr>
              <w:spacing w:after="0"/>
            </w:pPr>
            <w:r>
              <w:rPr>
                <w:color w:val="111111"/>
                <w:sz w:val="16"/>
              </w:rPr>
              <w:t>Compact desktop</w:t>
            </w:r>
          </w:p>
        </w:tc>
        <w:tc>
          <w:tcPr>
            <w:tcW w:type="dxa" w:w="1584"/>
            <w:shd w:fill="F7F5F0"/>
            <w:tcMar>
              <w:top w:w="70" w:type="dxa"/>
              <w:start w:w="90" w:type="dxa"/>
              <w:bottom w:w="70" w:type="dxa"/>
              <w:end w:w="90" w:type="dxa"/>
            </w:tcMar>
          </w:tcPr>
          <w:p>
            <w:pPr>
              <w:spacing w:after="0"/>
            </w:pPr>
            <w:r>
              <w:rPr>
                <w:color w:val="111111"/>
                <w:sz w:val="16"/>
              </w:rPr>
              <w:t>1025-1360px</w:t>
            </w:r>
          </w:p>
        </w:tc>
        <w:tc>
          <w:tcPr>
            <w:tcW w:type="dxa" w:w="6552"/>
            <w:shd w:fill="F7F5F0"/>
            <w:tcMar>
              <w:top w:w="70" w:type="dxa"/>
              <w:start w:w="90" w:type="dxa"/>
              <w:bottom w:w="70" w:type="dxa"/>
              <w:end w:w="90" w:type="dxa"/>
            </w:tcMar>
          </w:tcPr>
          <w:p>
            <w:pPr>
              <w:spacing w:after="0"/>
            </w:pPr>
            <w:r>
              <w:rPr>
                <w:color w:val="111111"/>
                <w:sz w:val="16"/>
              </w:rPr>
              <w:t>Controlled gutters; drawer navigation when required.</w:t>
            </w:r>
          </w:p>
        </w:tc>
      </w:tr>
      <w:tr>
        <w:trPr>
          <w:cantSplit/>
        </w:trPr>
        <w:tc>
          <w:tcPr>
            <w:tcW w:type="dxa" w:w="2088"/>
            <w:shd w:fill="FFFFFF"/>
            <w:tcMar>
              <w:top w:w="70" w:type="dxa"/>
              <w:start w:w="90" w:type="dxa"/>
              <w:bottom w:w="70" w:type="dxa"/>
              <w:end w:w="90" w:type="dxa"/>
            </w:tcMar>
          </w:tcPr>
          <w:p>
            <w:pPr>
              <w:spacing w:after="0"/>
            </w:pPr>
            <w:r>
              <w:rPr>
                <w:color w:val="111111"/>
                <w:sz w:val="16"/>
              </w:rPr>
              <w:t>Desktop</w:t>
            </w:r>
          </w:p>
        </w:tc>
        <w:tc>
          <w:tcPr>
            <w:tcW w:type="dxa" w:w="1584"/>
            <w:shd w:fill="FFFFFF"/>
            <w:tcMar>
              <w:top w:w="70" w:type="dxa"/>
              <w:start w:w="90" w:type="dxa"/>
              <w:bottom w:w="70" w:type="dxa"/>
              <w:end w:w="90" w:type="dxa"/>
            </w:tcMar>
          </w:tcPr>
          <w:p>
            <w:pPr>
              <w:spacing w:after="0"/>
            </w:pPr>
            <w:r>
              <w:rPr>
                <w:color w:val="111111"/>
                <w:sz w:val="16"/>
              </w:rPr>
              <w:t>1361-1599px</w:t>
            </w:r>
          </w:p>
        </w:tc>
        <w:tc>
          <w:tcPr>
            <w:tcW w:type="dxa" w:w="6552"/>
            <w:shd w:fill="FFFFFF"/>
            <w:tcMar>
              <w:top w:w="70" w:type="dxa"/>
              <w:start w:w="90" w:type="dxa"/>
              <w:bottom w:w="70" w:type="dxa"/>
              <w:end w:w="90" w:type="dxa"/>
            </w:tcMar>
          </w:tcPr>
          <w:p>
            <w:pPr>
              <w:spacing w:after="0"/>
            </w:pPr>
            <w:r>
              <w:rPr>
                <w:color w:val="111111"/>
                <w:sz w:val="16"/>
              </w:rPr>
              <w:t>Full navigation and desktop information density.</w:t>
            </w:r>
          </w:p>
        </w:tc>
      </w:tr>
      <w:tr>
        <w:trPr>
          <w:cantSplit/>
        </w:trPr>
        <w:tc>
          <w:tcPr>
            <w:tcW w:type="dxa" w:w="2088"/>
            <w:shd w:fill="F7F5F0"/>
            <w:tcMar>
              <w:top w:w="70" w:type="dxa"/>
              <w:start w:w="90" w:type="dxa"/>
              <w:bottom w:w="70" w:type="dxa"/>
              <w:end w:w="90" w:type="dxa"/>
            </w:tcMar>
          </w:tcPr>
          <w:p>
            <w:pPr>
              <w:spacing w:after="0"/>
            </w:pPr>
            <w:r>
              <w:rPr>
                <w:color w:val="111111"/>
                <w:sz w:val="16"/>
              </w:rPr>
              <w:t>Wide desktop</w:t>
            </w:r>
          </w:p>
        </w:tc>
        <w:tc>
          <w:tcPr>
            <w:tcW w:type="dxa" w:w="1584"/>
            <w:shd w:fill="F7F5F0"/>
            <w:tcMar>
              <w:top w:w="70" w:type="dxa"/>
              <w:start w:w="90" w:type="dxa"/>
              <w:bottom w:w="70" w:type="dxa"/>
              <w:end w:w="90" w:type="dxa"/>
            </w:tcMar>
          </w:tcPr>
          <w:p>
            <w:pPr>
              <w:spacing w:after="0"/>
            </w:pPr>
            <w:r>
              <w:rPr>
                <w:color w:val="111111"/>
                <w:sz w:val="16"/>
              </w:rPr>
              <w:t>&gt;= 1600px</w:t>
            </w:r>
          </w:p>
        </w:tc>
        <w:tc>
          <w:tcPr>
            <w:tcW w:type="dxa" w:w="6552"/>
            <w:shd w:fill="F7F5F0"/>
            <w:tcMar>
              <w:top w:w="70" w:type="dxa"/>
              <w:start w:w="90" w:type="dxa"/>
              <w:bottom w:w="70" w:type="dxa"/>
              <w:end w:w="90" w:type="dxa"/>
            </w:tcMar>
          </w:tcPr>
          <w:p>
            <w:pPr>
              <w:spacing w:after="0"/>
            </w:pPr>
            <w:r>
              <w:rPr>
                <w:color w:val="111111"/>
                <w:sz w:val="16"/>
              </w:rPr>
              <w:t>Centered content capped at 1840px.</w:t>
            </w:r>
          </w:p>
        </w:tc>
      </w:tr>
    </w:tbl>
    <w:p>
      <w:pPr>
        <w:spacing w:after="20"/>
      </w:pPr>
    </w:p>
    <w:p>
      <w:pPr>
        <w:spacing w:after="100" w:line="252" w:lineRule="auto"/>
      </w:pPr>
      <w:r>
        <w:t>Dense operational tables intentionally remain tables on phones and tablets. They scroll inside their table wrapper, while the page shell remains fixed to the viewport. This preserves scanability without the oversized stacked-card failure mode.</w:t>
      </w:r>
    </w:p>
    <w:p>
      <w:pPr>
        <w:pStyle w:val="ListBullet"/>
        <w:spacing w:after="40"/>
      </w:pPr>
      <w:r>
        <w:t>The mobile sidebar opens inside the viewport and its navigation scrolls independently.</w:t>
      </w:r>
    </w:p>
    <w:p>
      <w:pPr>
        <w:pStyle w:val="ListBullet"/>
        <w:spacing w:after="40"/>
      </w:pPr>
      <w:r>
        <w:t>Comboboxes and row-action menus overlay content instead of increasing row height.</w:t>
      </w:r>
    </w:p>
    <w:p>
      <w:pPr>
        <w:pStyle w:val="ListBullet"/>
        <w:spacing w:after="40"/>
      </w:pPr>
      <w:r>
        <w:t>Closed account and notification popovers are removed from layout so they cannot widen phone pages.</w:t>
      </w:r>
    </w:p>
    <w:p>
      <w:pPr>
        <w:pStyle w:val="ListBullet"/>
        <w:spacing w:after="40"/>
      </w:pPr>
      <w:r>
        <w:t>Responsive checks are automated in tests/responsive_ui_smoke.js and should be extended whenever an authenticated route is added.</w:t>
      </w:r>
    </w:p>
    <w:p>
      <w:pPr>
        <w:pStyle w:val="Heading1"/>
        <w:keepNext/>
      </w:pPr>
      <w:r>
        <w:t>15. Future KONA Domain Cutover</w:t>
      </w:r>
    </w:p>
    <w:tbl>
      <w:tblPr>
        <w:tblW w:type="auto" w:w="0"/>
        <w:tblLayout w:type="fixed"/>
        <w:tblLook w:firstColumn="1" w:firstRow="1" w:lastColumn="0" w:lastRow="0" w:noHBand="0" w:noVBand="1" w:val="04A0"/>
      </w:tblPr>
      <w:tblGrid>
        <w:gridCol w:w="10080"/>
      </w:tblGrid>
      <w:tr>
        <w:tc>
          <w:tcPr>
            <w:tcW w:type="dxa" w:w="10080"/>
            <w:shd w:fill="FFF6DB"/>
            <w:tcMar>
              <w:top w:w="120" w:type="dxa"/>
              <w:start w:w="140" w:type="dxa"/>
              <w:bottom w:w="120" w:type="dxa"/>
              <w:end w:w="140" w:type="dxa"/>
            </w:tcMar>
          </w:tcPr>
          <w:p>
            <w:pPr>
              <w:spacing w:after="40"/>
            </w:pPr>
            <w:r>
              <w:rPr>
                <w:b/>
                <w:color w:val="111111"/>
              </w:rPr>
              <w:t>This is a controlled cutover, not a rebuild</w:t>
              <w:br/>
            </w:r>
            <w:r>
              <w:rPr>
                <w:color w:val="6C6C6C"/>
              </w:rPr>
              <w:t>The application can move to a KONA-owned URL without changing public route paths or business logic. The dangerous parts are configuration, protected files, email identity, cron paths, and allowing two writable databases.</w:t>
            </w:r>
          </w:p>
        </w:tc>
      </w:tr>
    </w:tbl>
    <w:p>
      <w:pPr>
        <w:spacing w:after="20"/>
      </w:pPr>
    </w:p>
    <w:p>
      <w:pPr>
        <w:pStyle w:val="ListNumber"/>
        <w:spacing w:after="60"/>
      </w:pPr>
      <w:r>
        <w:t>Create the KONA domain/subdomain, point DNS to Hostinger, and configure the final document root.</w:t>
      </w:r>
    </w:p>
    <w:p>
      <w:pPr>
        <w:pStyle w:val="ListNumber"/>
        <w:spacing w:after="60"/>
      </w:pPr>
      <w:r>
        <w:t>Deploy the same tested Git commit and issue HTTPS before users log in.</w:t>
      </w:r>
    </w:p>
    <w:p>
      <w:pPr>
        <w:pStyle w:val="ListNumber"/>
        <w:spacing w:after="60"/>
      </w:pPr>
      <w:r>
        <w:t>Change production APP_URL to the final HTTPS address.</w:t>
      </w:r>
    </w:p>
    <w:p>
      <w:pPr>
        <w:pStyle w:val="ListNumber"/>
        <w:spacing w:after="60"/>
      </w:pPr>
      <w:r>
        <w:t>Keep the current database as the only writable source of truth unless a deliberate migration is performed.</w:t>
      </w:r>
    </w:p>
    <w:p>
      <w:pPr>
        <w:pStyle w:val="ListNumber"/>
        <w:spacing w:after="60"/>
      </w:pPr>
      <w:r>
        <w:t>Move and permission the complete storage/upload tree with the application; do not copy code alone.</w:t>
      </w:r>
    </w:p>
    <w:p>
      <w:pPr>
        <w:pStyle w:val="ListNumber"/>
        <w:spacing w:after="60"/>
      </w:pPr>
      <w:r>
        <w:t>Update Hostinger cron paths if the document-root folder changes.</w:t>
      </w:r>
    </w:p>
    <w:p>
      <w:pPr>
        <w:pStyle w:val="ListNumber"/>
        <w:spacing w:after="60"/>
      </w:pPr>
      <w:r>
        <w:t>Update sender/reply-to email, SMTP identity, branding, and old-domain fallback values.</w:t>
      </w:r>
    </w:p>
    <w:p>
      <w:pPr>
        <w:pStyle w:val="ListNumber"/>
        <w:spacing w:after="60"/>
      </w:pPr>
      <w:r>
        <w:t>Run login, password reset, protected downloads, global/reference search, PDF/XLSX, export, OCR, email, responsive, full-regression, and stock-invariant checks on the new URL.</w:t>
      </w:r>
    </w:p>
    <w:p>
      <w:pPr>
        <w:pStyle w:val="ListNumber"/>
        <w:spacing w:after="60"/>
      </w:pPr>
      <w:r>
        <w:t>Keep the old URL available until validation is complete; redirect it only after cutover acceptance.</w:t>
      </w:r>
    </w:p>
    <w:p>
      <w:pPr>
        <w:pStyle w:val="Heading2"/>
        <w:keepNext/>
      </w:pPr>
      <w:r>
        <w:t>Values that stay unchanged</w:t>
      </w:r>
    </w:p>
    <w:p>
      <w:pPr>
        <w:pStyle w:val="ListBullet"/>
        <w:spacing w:after="40"/>
      </w:pPr>
      <w:r>
        <w:t>Routes and feature URLs.</w:t>
      </w:r>
    </w:p>
    <w:p>
      <w:pPr>
        <w:pStyle w:val="ListBullet"/>
        <w:spacing w:after="40"/>
      </w:pPr>
      <w:r>
        <w:t>SKU, barcode, request, handover, purchase, stocktake, and asset references.</w:t>
      </w:r>
    </w:p>
    <w:p>
      <w:pPr>
        <w:pStyle w:val="ListBullet"/>
        <w:spacing w:after="40"/>
      </w:pPr>
      <w:r>
        <w:t>Stock movement rules, storage balances, permissions, and workflow statuses.</w:t>
      </w:r>
    </w:p>
    <w:p>
      <w:pPr>
        <w:pStyle w:val="ListBullet"/>
        <w:spacing w:after="40"/>
      </w:pPr>
      <w:r>
        <w:t>QR/reference behavior: operational QR codes use stable references rather than the old domain.</w:t>
      </w:r>
    </w:p>
    <w:p>
      <w:pPr>
        <w:pStyle w:val="Heading2"/>
        <w:keepNext/>
      </w:pPr>
      <w:r>
        <w:t>Files and settings to review</w:t>
      </w:r>
    </w:p>
    <w:tbl>
      <w:tblPr>
        <w:tblStyle w:val="TableGrid"/>
        <w:tblW w:type="auto" w:w="0"/>
        <w:tblLayout w:type="fixed"/>
        <w:tblLook w:firstColumn="1" w:firstRow="1" w:lastColumn="0" w:lastRow="0" w:noHBand="0" w:noVBand="1" w:val="04A0"/>
      </w:tblPr>
      <w:tblGrid>
        <w:gridCol w:w="5040"/>
        <w:gridCol w:w="5040"/>
      </w:tblGrid>
      <w:tr>
        <w:trPr>
          <w:tblHeader/>
          <w:cantSplit/>
        </w:trPr>
        <w:tc>
          <w:tcPr>
            <w:tcW w:type="dxa" w:w="3240"/>
            <w:shd w:fill="EAB83F"/>
            <w:tcMar>
              <w:top w:w="70" w:type="dxa"/>
              <w:start w:w="90" w:type="dxa"/>
              <w:bottom w:w="70" w:type="dxa"/>
              <w:end w:w="90" w:type="dxa"/>
            </w:tcMar>
          </w:tcPr>
          <w:p>
            <w:pPr>
              <w:spacing w:after="0"/>
            </w:pPr>
            <w:r>
              <w:rPr>
                <w:b/>
                <w:color w:val="111111"/>
                <w:sz w:val="17"/>
              </w:rPr>
              <w:t>Location</w:t>
            </w:r>
          </w:p>
        </w:tc>
        <w:tc>
          <w:tcPr>
            <w:tcW w:type="dxa" w:w="6984"/>
            <w:shd w:fill="EAB83F"/>
            <w:tcMar>
              <w:top w:w="70" w:type="dxa"/>
              <w:start w:w="90" w:type="dxa"/>
              <w:bottom w:w="70" w:type="dxa"/>
              <w:end w:w="90" w:type="dxa"/>
            </w:tcMar>
          </w:tcPr>
          <w:p>
            <w:pPr>
              <w:spacing w:after="0"/>
            </w:pPr>
            <w:r>
              <w:rPr>
                <w:b/>
                <w:color w:val="111111"/>
                <w:sz w:val="17"/>
              </w:rPr>
              <w:t>Required review</w:t>
            </w:r>
          </w:p>
        </w:tc>
      </w:tr>
      <w:tr>
        <w:trPr>
          <w:cantSplit/>
        </w:trPr>
        <w:tc>
          <w:tcPr>
            <w:tcW w:type="dxa" w:w="3240"/>
            <w:shd w:fill="FFFFFF"/>
            <w:tcMar>
              <w:top w:w="70" w:type="dxa"/>
              <w:start w:w="90" w:type="dxa"/>
              <w:bottom w:w="70" w:type="dxa"/>
              <w:end w:w="90" w:type="dxa"/>
            </w:tcMar>
          </w:tcPr>
          <w:p>
            <w:pPr>
              <w:spacing w:after="0"/>
            </w:pPr>
            <w:r>
              <w:rPr>
                <w:color w:val="111111"/>
                <w:sz w:val="16"/>
              </w:rPr>
              <w:t>.env</w:t>
            </w:r>
          </w:p>
        </w:tc>
        <w:tc>
          <w:tcPr>
            <w:tcW w:type="dxa" w:w="6984"/>
            <w:shd w:fill="FFFFFF"/>
            <w:tcMar>
              <w:top w:w="70" w:type="dxa"/>
              <w:start w:w="90" w:type="dxa"/>
              <w:bottom w:w="70" w:type="dxa"/>
              <w:end w:w="90" w:type="dxa"/>
            </w:tcMar>
          </w:tcPr>
          <w:p>
            <w:pPr>
              <w:spacing w:after="0"/>
            </w:pPr>
            <w:r>
              <w:rPr>
                <w:color w:val="111111"/>
                <w:sz w:val="16"/>
              </w:rPr>
              <w:t>APP_URL, APP_ENV, APP_DEBUG, database credentials, optional OCR fallback</w:t>
            </w:r>
          </w:p>
        </w:tc>
      </w:tr>
      <w:tr>
        <w:trPr>
          <w:cantSplit/>
        </w:trPr>
        <w:tc>
          <w:tcPr>
            <w:tcW w:type="dxa" w:w="3240"/>
            <w:shd w:fill="F7F5F0"/>
            <w:tcMar>
              <w:top w:w="70" w:type="dxa"/>
              <w:start w:w="90" w:type="dxa"/>
              <w:bottom w:w="70" w:type="dxa"/>
              <w:end w:w="90" w:type="dxa"/>
            </w:tcMar>
          </w:tcPr>
          <w:p>
            <w:pPr>
              <w:spacing w:after="0"/>
            </w:pPr>
            <w:r>
              <w:rPr>
                <w:color w:val="111111"/>
                <w:sz w:val="16"/>
              </w:rPr>
              <w:t>Website Control</w:t>
            </w:r>
          </w:p>
        </w:tc>
        <w:tc>
          <w:tcPr>
            <w:tcW w:type="dxa" w:w="6984"/>
            <w:shd w:fill="F7F5F0"/>
            <w:tcMar>
              <w:top w:w="70" w:type="dxa"/>
              <w:start w:w="90" w:type="dxa"/>
              <w:bottom w:w="70" w:type="dxa"/>
              <w:end w:w="90" w:type="dxa"/>
            </w:tcMar>
          </w:tcPr>
          <w:p>
            <w:pPr>
              <w:spacing w:after="0"/>
            </w:pPr>
            <w:r>
              <w:rPr>
                <w:color w:val="111111"/>
                <w:sz w:val="16"/>
              </w:rPr>
              <w:t>Branding, logo, SMTP sender/reply-to, OCR and export settings</w:t>
            </w:r>
          </w:p>
        </w:tc>
      </w:tr>
      <w:tr>
        <w:trPr>
          <w:cantSplit/>
        </w:trPr>
        <w:tc>
          <w:tcPr>
            <w:tcW w:type="dxa" w:w="3240"/>
            <w:shd w:fill="FFFFFF"/>
            <w:tcMar>
              <w:top w:w="70" w:type="dxa"/>
              <w:start w:w="90" w:type="dxa"/>
              <w:bottom w:w="70" w:type="dxa"/>
              <w:end w:w="90" w:type="dxa"/>
            </w:tcMar>
          </w:tcPr>
          <w:p>
            <w:pPr>
              <w:spacing w:after="0"/>
            </w:pPr>
            <w:r>
              <w:rPr>
                <w:color w:val="111111"/>
                <w:sz w:val="16"/>
              </w:rPr>
              <w:t>Hostinger cron</w:t>
            </w:r>
          </w:p>
        </w:tc>
        <w:tc>
          <w:tcPr>
            <w:tcW w:type="dxa" w:w="6984"/>
            <w:shd w:fill="FFFFFF"/>
            <w:tcMar>
              <w:top w:w="70" w:type="dxa"/>
              <w:start w:w="90" w:type="dxa"/>
              <w:bottom w:w="70" w:type="dxa"/>
              <w:end w:w="90" w:type="dxa"/>
            </w:tcMar>
          </w:tcPr>
          <w:p>
            <w:pPr>
              <w:spacing w:after="0"/>
            </w:pPr>
            <w:r>
              <w:rPr>
                <w:color w:val="111111"/>
                <w:sz w:val="16"/>
              </w:rPr>
              <w:t>Absolute paths for scripts/backup.php and scripts/daily_report.php</w:t>
            </w:r>
          </w:p>
        </w:tc>
      </w:tr>
      <w:tr>
        <w:trPr>
          <w:cantSplit/>
        </w:trPr>
        <w:tc>
          <w:tcPr>
            <w:tcW w:type="dxa" w:w="3240"/>
            <w:shd w:fill="F7F5F0"/>
            <w:tcMar>
              <w:top w:w="70" w:type="dxa"/>
              <w:start w:w="90" w:type="dxa"/>
              <w:bottom w:w="70" w:type="dxa"/>
              <w:end w:w="90" w:type="dxa"/>
            </w:tcMar>
          </w:tcPr>
          <w:p>
            <w:pPr>
              <w:spacing w:after="0"/>
            </w:pPr>
            <w:r>
              <w:rPr>
                <w:color w:val="111111"/>
                <w:sz w:val="16"/>
              </w:rPr>
              <w:t>app/modules/email_settings.php</w:t>
            </w:r>
          </w:p>
        </w:tc>
        <w:tc>
          <w:tcPr>
            <w:tcW w:type="dxa" w:w="6984"/>
            <w:shd w:fill="F7F5F0"/>
            <w:tcMar>
              <w:top w:w="70" w:type="dxa"/>
              <w:start w:w="90" w:type="dxa"/>
              <w:bottom w:w="70" w:type="dxa"/>
              <w:end w:w="90" w:type="dxa"/>
            </w:tcMar>
          </w:tcPr>
          <w:p>
            <w:pPr>
              <w:spacing w:after="0"/>
            </w:pPr>
            <w:r>
              <w:rPr>
                <w:color w:val="111111"/>
                <w:sz w:val="16"/>
              </w:rPr>
              <w:t>Old-domain sender fallback</w:t>
            </w:r>
          </w:p>
        </w:tc>
      </w:tr>
      <w:tr>
        <w:trPr>
          <w:cantSplit/>
        </w:trPr>
        <w:tc>
          <w:tcPr>
            <w:tcW w:type="dxa" w:w="3240"/>
            <w:shd w:fill="FFFFFF"/>
            <w:tcMar>
              <w:top w:w="70" w:type="dxa"/>
              <w:start w:w="90" w:type="dxa"/>
              <w:bottom w:w="70" w:type="dxa"/>
              <w:end w:w="90" w:type="dxa"/>
            </w:tcMar>
          </w:tcPr>
          <w:p>
            <w:pPr>
              <w:spacing w:after="0"/>
            </w:pPr>
            <w:r>
              <w:rPr>
                <w:color w:val="111111"/>
                <w:sz w:val="16"/>
              </w:rPr>
              <w:t>app/modules/email_smtp.php</w:t>
            </w:r>
          </w:p>
        </w:tc>
        <w:tc>
          <w:tcPr>
            <w:tcW w:type="dxa" w:w="6984"/>
            <w:shd w:fill="FFFFFF"/>
            <w:tcMar>
              <w:top w:w="70" w:type="dxa"/>
              <w:start w:w="90" w:type="dxa"/>
              <w:bottom w:w="70" w:type="dxa"/>
              <w:end w:w="90" w:type="dxa"/>
            </w:tcMar>
          </w:tcPr>
          <w:p>
            <w:pPr>
              <w:spacing w:after="0"/>
            </w:pPr>
            <w:r>
              <w:rPr>
                <w:color w:val="111111"/>
                <w:sz w:val="16"/>
              </w:rPr>
              <w:t>SMTP EHLO fallback host</w:t>
            </w:r>
          </w:p>
        </w:tc>
      </w:tr>
      <w:tr>
        <w:trPr>
          <w:cantSplit/>
        </w:trPr>
        <w:tc>
          <w:tcPr>
            <w:tcW w:type="dxa" w:w="3240"/>
            <w:shd w:fill="F7F5F0"/>
            <w:tcMar>
              <w:top w:w="70" w:type="dxa"/>
              <w:start w:w="90" w:type="dxa"/>
              <w:bottom w:w="70" w:type="dxa"/>
              <w:end w:w="90" w:type="dxa"/>
            </w:tcMar>
          </w:tcPr>
          <w:p>
            <w:pPr>
              <w:spacing w:after="0"/>
            </w:pPr>
            <w:r>
              <w:rPr>
                <w:color w:val="111111"/>
                <w:sz w:val="16"/>
              </w:rPr>
              <w:t>app/modules/workflow_identity.php</w:t>
            </w:r>
          </w:p>
        </w:tc>
        <w:tc>
          <w:tcPr>
            <w:tcW w:type="dxa" w:w="6984"/>
            <w:shd w:fill="F7F5F0"/>
            <w:tcMar>
              <w:top w:w="70" w:type="dxa"/>
              <w:start w:w="90" w:type="dxa"/>
              <w:bottom w:w="70" w:type="dxa"/>
              <w:end w:w="90" w:type="dxa"/>
            </w:tcMar>
          </w:tcPr>
          <w:p>
            <w:pPr>
              <w:spacing w:after="0"/>
            </w:pPr>
            <w:r>
              <w:rPr>
                <w:color w:val="111111"/>
                <w:sz w:val="16"/>
              </w:rPr>
              <w:t>Reference URL fallback</w:t>
            </w:r>
          </w:p>
        </w:tc>
      </w:tr>
      <w:tr>
        <w:trPr>
          <w:cantSplit/>
        </w:trPr>
        <w:tc>
          <w:tcPr>
            <w:tcW w:type="dxa" w:w="3240"/>
            <w:shd w:fill="FFFFFF"/>
            <w:tcMar>
              <w:top w:w="70" w:type="dxa"/>
              <w:start w:w="90" w:type="dxa"/>
              <w:bottom w:w="70" w:type="dxa"/>
              <w:end w:w="90" w:type="dxa"/>
            </w:tcMar>
          </w:tcPr>
          <w:p>
            <w:pPr>
              <w:spacing w:after="0"/>
            </w:pPr>
            <w:r>
              <w:rPr>
                <w:color w:val="111111"/>
                <w:sz w:val="16"/>
              </w:rPr>
              <w:t>app/support/settings_schema.php</w:t>
            </w:r>
          </w:p>
        </w:tc>
        <w:tc>
          <w:tcPr>
            <w:tcW w:type="dxa" w:w="6984"/>
            <w:shd w:fill="FFFFFF"/>
            <w:tcMar>
              <w:top w:w="70" w:type="dxa"/>
              <w:start w:w="90" w:type="dxa"/>
              <w:bottom w:w="70" w:type="dxa"/>
              <w:end w:w="90" w:type="dxa"/>
            </w:tcMar>
          </w:tcPr>
          <w:p>
            <w:pPr>
              <w:spacing w:after="0"/>
            </w:pPr>
            <w:r>
              <w:rPr>
                <w:color w:val="111111"/>
                <w:sz w:val="16"/>
              </w:rPr>
              <w:t>Default sender identity shown in settings</w:t>
            </w:r>
          </w:p>
        </w:tc>
      </w:tr>
      <w:tr>
        <w:trPr>
          <w:cantSplit/>
        </w:trPr>
        <w:tc>
          <w:tcPr>
            <w:tcW w:type="dxa" w:w="3240"/>
            <w:shd w:fill="F7F5F0"/>
            <w:tcMar>
              <w:top w:w="70" w:type="dxa"/>
              <w:start w:w="90" w:type="dxa"/>
              <w:bottom w:w="70" w:type="dxa"/>
              <w:end w:w="90" w:type="dxa"/>
            </w:tcMar>
          </w:tcPr>
          <w:p>
            <w:pPr>
              <w:spacing w:after="0"/>
            </w:pPr>
            <w:r>
              <w:rPr>
                <w:color w:val="111111"/>
                <w:sz w:val="16"/>
              </w:rPr>
              <w:t>README/docs</w:t>
            </w:r>
          </w:p>
        </w:tc>
        <w:tc>
          <w:tcPr>
            <w:tcW w:type="dxa" w:w="6984"/>
            <w:shd w:fill="F7F5F0"/>
            <w:tcMar>
              <w:top w:w="70" w:type="dxa"/>
              <w:start w:w="90" w:type="dxa"/>
              <w:bottom w:w="70" w:type="dxa"/>
              <w:end w:w="90" w:type="dxa"/>
            </w:tcMar>
          </w:tcPr>
          <w:p>
            <w:pPr>
              <w:spacing w:after="0"/>
            </w:pPr>
            <w:r>
              <w:rPr>
                <w:color w:val="111111"/>
                <w:sz w:val="16"/>
              </w:rPr>
              <w:t>Production URL, path, commands, and monitoring links after acceptance</w:t>
            </w:r>
          </w:p>
        </w:tc>
      </w:tr>
    </w:tbl>
    <w:p>
      <w:pPr>
        <w:spacing w:after="20"/>
      </w:pPr>
    </w:p>
    <w:p>
      <w:pPr>
        <w:pStyle w:val="Heading1"/>
        <w:keepNext/>
      </w:pPr>
      <w:r>
        <w:t>16. July 21 Production Evidence</w:t>
      </w:r>
    </w:p>
    <w:tbl>
      <w:tblPr>
        <w:tblStyle w:val="TableGrid"/>
        <w:tblW w:type="auto" w:w="0"/>
        <w:tblLayout w:type="fixed"/>
        <w:tblLook w:firstColumn="1" w:firstRow="1" w:lastColumn="0" w:lastRow="0" w:noHBand="0" w:noVBand="1" w:val="04A0"/>
      </w:tblPr>
      <w:tblGrid>
        <w:gridCol w:w="5040"/>
        <w:gridCol w:w="5040"/>
      </w:tblGrid>
      <w:tr>
        <w:trPr>
          <w:tblHeader/>
          <w:cantSplit/>
        </w:trPr>
        <w:tc>
          <w:tcPr>
            <w:tcW w:type="dxa" w:w="2520"/>
            <w:shd w:fill="EAB83F"/>
            <w:tcMar>
              <w:top w:w="70" w:type="dxa"/>
              <w:start w:w="90" w:type="dxa"/>
              <w:bottom w:w="70" w:type="dxa"/>
              <w:end w:w="90" w:type="dxa"/>
            </w:tcMar>
          </w:tcPr>
          <w:p>
            <w:pPr>
              <w:spacing w:after="0"/>
            </w:pPr>
            <w:r>
              <w:rPr>
                <w:b/>
                <w:color w:val="111111"/>
                <w:sz w:val="17"/>
              </w:rPr>
              <w:t>Control</w:t>
            </w:r>
          </w:p>
        </w:tc>
        <w:tc>
          <w:tcPr>
            <w:tcW w:type="dxa" w:w="7704"/>
            <w:shd w:fill="EAB83F"/>
            <w:tcMar>
              <w:top w:w="70" w:type="dxa"/>
              <w:start w:w="90" w:type="dxa"/>
              <w:bottom w:w="70" w:type="dxa"/>
              <w:end w:w="90" w:type="dxa"/>
            </w:tcMar>
          </w:tcPr>
          <w:p>
            <w:pPr>
              <w:spacing w:after="0"/>
            </w:pPr>
            <w:r>
              <w:rPr>
                <w:b/>
                <w:color w:val="111111"/>
                <w:sz w:val="17"/>
              </w:rPr>
              <w:t>Result</w:t>
            </w:r>
          </w:p>
        </w:tc>
      </w:tr>
      <w:tr>
        <w:trPr>
          <w:cantSplit/>
        </w:trPr>
        <w:tc>
          <w:tcPr>
            <w:tcW w:type="dxa" w:w="2520"/>
            <w:shd w:fill="FFFFFF"/>
            <w:tcMar>
              <w:top w:w="70" w:type="dxa"/>
              <w:start w:w="90" w:type="dxa"/>
              <w:bottom w:w="70" w:type="dxa"/>
              <w:end w:w="90" w:type="dxa"/>
            </w:tcMar>
          </w:tcPr>
          <w:p>
            <w:pPr>
              <w:spacing w:after="0"/>
            </w:pPr>
            <w:r>
              <w:rPr>
                <w:color w:val="111111"/>
                <w:sz w:val="16"/>
              </w:rPr>
              <w:t>Git checkpoint</w:t>
            </w:r>
          </w:p>
        </w:tc>
        <w:tc>
          <w:tcPr>
            <w:tcW w:type="dxa" w:w="7704"/>
            <w:shd w:fill="FFFFFF"/>
            <w:tcMar>
              <w:top w:w="70" w:type="dxa"/>
              <w:start w:w="90" w:type="dxa"/>
              <w:bottom w:w="70" w:type="dxa"/>
              <w:end w:w="90" w:type="dxa"/>
            </w:tcMar>
          </w:tcPr>
          <w:p>
            <w:pPr>
              <w:spacing w:after="0"/>
            </w:pPr>
            <w:r>
              <w:rPr>
                <w:color w:val="111111"/>
                <w:sz w:val="16"/>
              </w:rPr>
              <w:t>44de744 - Harden responsive layouts across viewport classes</w:t>
            </w:r>
          </w:p>
        </w:tc>
      </w:tr>
      <w:tr>
        <w:trPr>
          <w:cantSplit/>
        </w:trPr>
        <w:tc>
          <w:tcPr>
            <w:tcW w:type="dxa" w:w="2520"/>
            <w:shd w:fill="F7F5F0"/>
            <w:tcMar>
              <w:top w:w="70" w:type="dxa"/>
              <w:start w:w="90" w:type="dxa"/>
              <w:bottom w:w="70" w:type="dxa"/>
              <w:end w:w="90" w:type="dxa"/>
            </w:tcMar>
          </w:tcPr>
          <w:p>
            <w:pPr>
              <w:spacing w:after="0"/>
            </w:pPr>
            <w:r>
              <w:rPr>
                <w:color w:val="111111"/>
                <w:sz w:val="16"/>
              </w:rPr>
              <w:t>Production backup</w:t>
            </w:r>
          </w:p>
        </w:tc>
        <w:tc>
          <w:tcPr>
            <w:tcW w:type="dxa" w:w="7704"/>
            <w:shd w:fill="F7F5F0"/>
            <w:tcMar>
              <w:top w:w="70" w:type="dxa"/>
              <w:start w:w="90" w:type="dxa"/>
              <w:bottom w:w="70" w:type="dxa"/>
              <w:end w:w="90" w:type="dxa"/>
            </w:tcMar>
          </w:tcPr>
          <w:p>
            <w:pPr>
              <w:spacing w:after="0"/>
            </w:pPr>
            <w:r>
              <w:rPr>
                <w:color w:val="111111"/>
                <w:sz w:val="16"/>
              </w:rPr>
              <w:t>inventory-backup-20260721-141450 (.sql, manifest, ~1.6 GB file archive)</w:t>
            </w:r>
          </w:p>
        </w:tc>
      </w:tr>
      <w:tr>
        <w:trPr>
          <w:cantSplit/>
        </w:trPr>
        <w:tc>
          <w:tcPr>
            <w:tcW w:type="dxa" w:w="2520"/>
            <w:shd w:fill="FFFFFF"/>
            <w:tcMar>
              <w:top w:w="70" w:type="dxa"/>
              <w:start w:w="90" w:type="dxa"/>
              <w:bottom w:w="70" w:type="dxa"/>
              <w:end w:w="90" w:type="dxa"/>
            </w:tcMar>
          </w:tcPr>
          <w:p>
            <w:pPr>
              <w:spacing w:after="0"/>
            </w:pPr>
            <w:r>
              <w:rPr>
                <w:color w:val="111111"/>
                <w:sz w:val="16"/>
              </w:rPr>
              <w:t>PHP lint</w:t>
            </w:r>
          </w:p>
        </w:tc>
        <w:tc>
          <w:tcPr>
            <w:tcW w:type="dxa" w:w="7704"/>
            <w:shd w:fill="FFFFFF"/>
            <w:tcMar>
              <w:top w:w="70" w:type="dxa"/>
              <w:start w:w="90" w:type="dxa"/>
              <w:bottom w:w="70" w:type="dxa"/>
              <w:end w:w="90" w:type="dxa"/>
            </w:tcMar>
          </w:tcPr>
          <w:p>
            <w:pPr>
              <w:spacing w:after="0"/>
            </w:pPr>
            <w:r>
              <w:rPr>
                <w:color w:val="111111"/>
                <w:sz w:val="16"/>
              </w:rPr>
              <w:t>PASS across 348 PHP files</w:t>
            </w:r>
          </w:p>
        </w:tc>
      </w:tr>
      <w:tr>
        <w:trPr>
          <w:cantSplit/>
        </w:trPr>
        <w:tc>
          <w:tcPr>
            <w:tcW w:type="dxa" w:w="2520"/>
            <w:shd w:fill="F7F5F0"/>
            <w:tcMar>
              <w:top w:w="70" w:type="dxa"/>
              <w:start w:w="90" w:type="dxa"/>
              <w:bottom w:w="70" w:type="dxa"/>
              <w:end w:w="90" w:type="dxa"/>
            </w:tcMar>
          </w:tcPr>
          <w:p>
            <w:pPr>
              <w:spacing w:after="0"/>
            </w:pPr>
            <w:r>
              <w:rPr>
                <w:color w:val="111111"/>
                <w:sz w:val="16"/>
              </w:rPr>
              <w:t>Frontend checks</w:t>
            </w:r>
          </w:p>
        </w:tc>
        <w:tc>
          <w:tcPr>
            <w:tcW w:type="dxa" w:w="7704"/>
            <w:shd w:fill="F7F5F0"/>
            <w:tcMar>
              <w:top w:w="70" w:type="dxa"/>
              <w:start w:w="90" w:type="dxa"/>
              <w:bottom w:w="70" w:type="dxa"/>
              <w:end w:w="90" w:type="dxa"/>
            </w:tcMar>
          </w:tcPr>
          <w:p>
            <w:pPr>
              <w:spacing w:after="0"/>
            </w:pPr>
            <w:r>
              <w:rPr>
                <w:color w:val="111111"/>
                <w:sz w:val="16"/>
              </w:rPr>
              <w:t>PASS: all JS syntax, frontend assets, module boundaries, git diff check</w:t>
            </w:r>
          </w:p>
        </w:tc>
      </w:tr>
      <w:tr>
        <w:trPr>
          <w:cantSplit/>
        </w:trPr>
        <w:tc>
          <w:tcPr>
            <w:tcW w:type="dxa" w:w="2520"/>
            <w:shd w:fill="FFFFFF"/>
            <w:tcMar>
              <w:top w:w="70" w:type="dxa"/>
              <w:start w:w="90" w:type="dxa"/>
              <w:bottom w:w="70" w:type="dxa"/>
              <w:end w:w="90" w:type="dxa"/>
            </w:tcMar>
          </w:tcPr>
          <w:p>
            <w:pPr>
              <w:spacing w:after="0"/>
            </w:pPr>
            <w:r>
              <w:rPr>
                <w:color w:val="111111"/>
                <w:sz w:val="16"/>
              </w:rPr>
              <w:t>Responsive matrix</w:t>
            </w:r>
          </w:p>
        </w:tc>
        <w:tc>
          <w:tcPr>
            <w:tcW w:type="dxa" w:w="7704"/>
            <w:shd w:fill="FFFFFF"/>
            <w:tcMar>
              <w:top w:w="70" w:type="dxa"/>
              <w:start w:w="90" w:type="dxa"/>
              <w:bottom w:w="70" w:type="dxa"/>
              <w:end w:w="90" w:type="dxa"/>
            </w:tcMar>
          </w:tcPr>
          <w:p>
            <w:pPr>
              <w:spacing w:after="0"/>
            </w:pPr>
            <w:r>
              <w:rPr>
                <w:color w:val="111111"/>
                <w:sz w:val="16"/>
              </w:rPr>
              <w:t>PASS: 21 routes x 6 viewports = 126 combinations</w:t>
            </w:r>
          </w:p>
        </w:tc>
      </w:tr>
      <w:tr>
        <w:trPr>
          <w:cantSplit/>
        </w:trPr>
        <w:tc>
          <w:tcPr>
            <w:tcW w:type="dxa" w:w="2520"/>
            <w:shd w:fill="F7F5F0"/>
            <w:tcMar>
              <w:top w:w="70" w:type="dxa"/>
              <w:start w:w="90" w:type="dxa"/>
              <w:bottom w:w="70" w:type="dxa"/>
              <w:end w:w="90" w:type="dxa"/>
            </w:tcMar>
          </w:tcPr>
          <w:p>
            <w:pPr>
              <w:spacing w:after="0"/>
            </w:pPr>
            <w:r>
              <w:rPr>
                <w:color w:val="111111"/>
                <w:sz w:val="16"/>
              </w:rPr>
              <w:t>Full regression</w:t>
            </w:r>
          </w:p>
        </w:tc>
        <w:tc>
          <w:tcPr>
            <w:tcW w:type="dxa" w:w="7704"/>
            <w:shd w:fill="F7F5F0"/>
            <w:tcMar>
              <w:top w:w="70" w:type="dxa"/>
              <w:start w:w="90" w:type="dxa"/>
              <w:bottom w:w="70" w:type="dxa"/>
              <w:end w:w="90" w:type="dxa"/>
            </w:tcMar>
          </w:tcPr>
          <w:p>
            <w:pPr>
              <w:spacing w:after="0"/>
            </w:pPr>
            <w:r>
              <w:rPr>
                <w:color w:val="111111"/>
                <w:sz w:val="16"/>
              </w:rPr>
              <w:t>PASS before and after responsive deployment; temporary records cleaned</w:t>
            </w:r>
          </w:p>
        </w:tc>
      </w:tr>
      <w:tr>
        <w:trPr>
          <w:cantSplit/>
        </w:trPr>
        <w:tc>
          <w:tcPr>
            <w:tcW w:type="dxa" w:w="2520"/>
            <w:shd w:fill="FFFFFF"/>
            <w:tcMar>
              <w:top w:w="70" w:type="dxa"/>
              <w:start w:w="90" w:type="dxa"/>
              <w:bottom w:w="70" w:type="dxa"/>
              <w:end w:w="90" w:type="dxa"/>
            </w:tcMar>
          </w:tcPr>
          <w:p>
            <w:pPr>
              <w:spacing w:after="0"/>
            </w:pPr>
            <w:r>
              <w:rPr>
                <w:color w:val="111111"/>
                <w:sz w:val="16"/>
              </w:rPr>
              <w:t>Stock invariants</w:t>
            </w:r>
          </w:p>
        </w:tc>
        <w:tc>
          <w:tcPr>
            <w:tcW w:type="dxa" w:w="7704"/>
            <w:shd w:fill="FFFFFF"/>
            <w:tcMar>
              <w:top w:w="70" w:type="dxa"/>
              <w:start w:w="90" w:type="dxa"/>
              <w:bottom w:w="70" w:type="dxa"/>
              <w:end w:w="90" w:type="dxa"/>
            </w:tcMar>
          </w:tcPr>
          <w:p>
            <w:pPr>
              <w:spacing w:after="0"/>
            </w:pPr>
            <w:r>
              <w:rPr>
                <w:color w:val="111111"/>
                <w:sz w:val="16"/>
              </w:rPr>
              <w:t>PASS after production regression and cleanup</w:t>
            </w:r>
          </w:p>
        </w:tc>
      </w:tr>
    </w:tbl>
    <w:p>
      <w:pPr>
        <w:spacing w:after="20"/>
      </w:pPr>
    </w:p>
    <w:p>
      <w:pPr>
        <w:spacing w:after="100" w:line="252" w:lineRule="auto"/>
      </w:pPr>
      <w:r>
        <w:t>No database schema, route, permission, stock calculation, request cycle, handover cycle, purchase cycle, asset cycle, or export behavior changed in this responsive pass.</w:t>
      </w:r>
    </w:p>
    <w:p>
      <w:pPr>
        <w:pStyle w:val="Heading1"/>
        <w:keepNext/>
      </w:pPr>
      <w:r>
        <w:t>17. Responsive Test Command</w:t>
      </w:r>
    </w:p>
    <w:p>
      <w:pPr>
        <w:pStyle w:val="NoSpacing"/>
      </w:pPr>
      <w:r>
        <w:rPr>
          <w:rFonts w:ascii="Courier New" w:hAnsi="Courier New"/>
          <w:sz w:val="16"/>
        </w:rPr>
        <w:t>NODE_PATH=/path/to/playwright/node_modules \</w:t>
        <w:br/>
        <w:t>BASE_URL=https://inventory.ahmaddalao.com \</w:t>
        <w:br/>
        <w:t>INVENTORY_EMAIL=owner@example.com \</w:t>
        <w:br/>
        <w:t>INVENTORY_PASSWORD='password' \</w:t>
        <w:br/>
        <w:t>CAPTURE_SCREENSHOTS=1 \</w:t>
        <w:br/>
        <w:t>node tests/responsive_ui_smoke.js</w:t>
      </w:r>
    </w:p>
    <w:p>
      <w:r>
        <w:br w:type="page"/>
      </w:r>
    </w:p>
    <w:p>
      <w:pPr>
        <w:pStyle w:val="Heading1"/>
        <w:keepNext/>
      </w:pPr>
      <w:r>
        <w:t>18. July 28 Modular Architecture Checkpoint</w:t>
      </w:r>
    </w:p>
    <w:tbl>
      <w:tblPr>
        <w:tblW w:type="auto" w:w="0"/>
        <w:tblLayout w:type="fixed"/>
        <w:tblLook w:firstColumn="1" w:firstRow="1" w:lastColumn="0" w:lastRow="0" w:noHBand="0" w:noVBand="1" w:val="04A0"/>
      </w:tblPr>
      <w:tblGrid>
        <w:gridCol w:w="10080"/>
      </w:tblGrid>
      <w:tr>
        <w:tc>
          <w:tcPr>
            <w:tcW w:type="dxa" w:w="10080"/>
            <w:shd w:fill="FFF6DB"/>
            <w:tcMar>
              <w:top w:w="120" w:type="dxa"/>
              <w:start w:w="140" w:type="dxa"/>
              <w:bottom w:w="120" w:type="dxa"/>
              <w:end w:w="140" w:type="dxa"/>
            </w:tcMar>
          </w:tcPr>
          <w:p>
            <w:pPr>
              <w:spacing w:after="40"/>
            </w:pPr>
            <w:r>
              <w:rPr>
                <w:b/>
                <w:color w:val="111111"/>
              </w:rPr>
              <w:t>Current source organization</w:t>
              <w:br/>
            </w:r>
            <w:r>
              <w:rPr>
                <w:color w:val="6C6C6C"/>
              </w:rPr>
              <w:t>The application remains a plain-PHP modular system. Public routes and function names stay stable while business behavior is owned by focused domain modules. Frontend CSS and JavaScript are modular and loaded through controlled registries rather than a build tool.</w:t>
            </w:r>
          </w:p>
        </w:tc>
      </w:tr>
    </w:tbl>
    <w:p>
      <w:pPr>
        <w:spacing w:after="20"/>
      </w:pPr>
    </w:p>
    <w:tbl>
      <w:tblPr>
        <w:tblStyle w:val="TableGrid"/>
        <w:tblW w:type="auto" w:w="0"/>
        <w:tblLayout w:type="fixed"/>
        <w:tblLook w:firstColumn="1" w:firstRow="1" w:lastColumn="0" w:lastRow="0" w:noHBand="0" w:noVBand="1" w:val="04A0"/>
      </w:tblPr>
      <w:tblGrid>
        <w:gridCol w:w="3360"/>
        <w:gridCol w:w="3360"/>
        <w:gridCol w:w="3360"/>
      </w:tblGrid>
      <w:tr>
        <w:trPr>
          <w:tblHeader/>
          <w:cantSplit/>
        </w:trPr>
        <w:tc>
          <w:tcPr>
            <w:tcW w:type="dxa" w:w="2376"/>
            <w:shd w:fill="EAB83F"/>
            <w:tcMar>
              <w:top w:w="70" w:type="dxa"/>
              <w:start w:w="90" w:type="dxa"/>
              <w:bottom w:w="70" w:type="dxa"/>
              <w:end w:w="90" w:type="dxa"/>
            </w:tcMar>
          </w:tcPr>
          <w:p>
            <w:pPr>
              <w:spacing w:after="0"/>
            </w:pPr>
            <w:r>
              <w:rPr>
                <w:b/>
                <w:color w:val="111111"/>
                <w:sz w:val="17"/>
              </w:rPr>
              <w:t>Module group</w:t>
            </w:r>
          </w:p>
        </w:tc>
        <w:tc>
          <w:tcPr>
            <w:tcW w:type="dxa" w:w="1152"/>
            <w:shd w:fill="EAB83F"/>
            <w:tcMar>
              <w:top w:w="70" w:type="dxa"/>
              <w:start w:w="90" w:type="dxa"/>
              <w:bottom w:w="70" w:type="dxa"/>
              <w:end w:w="90" w:type="dxa"/>
            </w:tcMar>
          </w:tcPr>
          <w:p>
            <w:pPr>
              <w:spacing w:after="0"/>
            </w:pPr>
            <w:r>
              <w:rPr>
                <w:b/>
                <w:color w:val="111111"/>
                <w:sz w:val="17"/>
              </w:rPr>
              <w:t>Focused files</w:t>
            </w:r>
          </w:p>
        </w:tc>
        <w:tc>
          <w:tcPr>
            <w:tcW w:type="dxa" w:w="6840"/>
            <w:shd w:fill="EAB83F"/>
            <w:tcMar>
              <w:top w:w="70" w:type="dxa"/>
              <w:start w:w="90" w:type="dxa"/>
              <w:bottom w:w="70" w:type="dxa"/>
              <w:end w:w="90" w:type="dxa"/>
            </w:tcMar>
          </w:tcPr>
          <w:p>
            <w:pPr>
              <w:spacing w:after="0"/>
            </w:pPr>
            <w:r>
              <w:rPr>
                <w:b/>
                <w:color w:val="111111"/>
                <w:sz w:val="17"/>
              </w:rPr>
              <w:t>Primary ownership</w:t>
            </w:r>
          </w:p>
        </w:tc>
      </w:tr>
      <w:tr>
        <w:trPr>
          <w:cantSplit/>
        </w:trPr>
        <w:tc>
          <w:tcPr>
            <w:tcW w:type="dxa" w:w="2376"/>
            <w:shd w:fill="FFFFFF"/>
            <w:tcMar>
              <w:top w:w="70" w:type="dxa"/>
              <w:start w:w="90" w:type="dxa"/>
              <w:bottom w:w="70" w:type="dxa"/>
              <w:end w:w="90" w:type="dxa"/>
            </w:tcMar>
          </w:tcPr>
          <w:p>
            <w:pPr>
              <w:spacing w:after="0"/>
            </w:pPr>
            <w:r>
              <w:rPr>
                <w:color w:val="111111"/>
                <w:sz w:val="16"/>
              </w:rPr>
              <w:t>core</w:t>
            </w:r>
          </w:p>
        </w:tc>
        <w:tc>
          <w:tcPr>
            <w:tcW w:type="dxa" w:w="1152"/>
            <w:shd w:fill="FFFFFF"/>
            <w:tcMar>
              <w:top w:w="70" w:type="dxa"/>
              <w:start w:w="90" w:type="dxa"/>
              <w:bottom w:w="70" w:type="dxa"/>
              <w:end w:w="90" w:type="dxa"/>
            </w:tcMar>
          </w:tcPr>
          <w:p>
            <w:pPr>
              <w:spacing w:after="0"/>
            </w:pPr>
            <w:r>
              <w:rPr>
                <w:color w:val="111111"/>
                <w:sz w:val="16"/>
              </w:rPr>
              <w:t>17</w:t>
            </w:r>
          </w:p>
        </w:tc>
        <w:tc>
          <w:tcPr>
            <w:tcW w:type="dxa" w:w="6840"/>
            <w:shd w:fill="FFFFFF"/>
            <w:tcMar>
              <w:top w:w="70" w:type="dxa"/>
              <w:start w:w="90" w:type="dxa"/>
              <w:bottom w:w="70" w:type="dxa"/>
              <w:end w:w="90" w:type="dxa"/>
            </w:tcMar>
          </w:tcPr>
          <w:p>
            <w:pPr>
              <w:spacing w:after="0"/>
            </w:pPr>
            <w:r>
              <w:rPr>
                <w:color w:val="111111"/>
                <w:sz w:val="16"/>
              </w:rPr>
              <w:t>Auth, users, settings, email, shared selectors, presentation helpers</w:t>
            </w:r>
          </w:p>
        </w:tc>
      </w:tr>
      <w:tr>
        <w:trPr>
          <w:cantSplit/>
        </w:trPr>
        <w:tc>
          <w:tcPr>
            <w:tcW w:type="dxa" w:w="2376"/>
            <w:shd w:fill="F7F5F0"/>
            <w:tcMar>
              <w:top w:w="70" w:type="dxa"/>
              <w:start w:w="90" w:type="dxa"/>
              <w:bottom w:w="70" w:type="dxa"/>
              <w:end w:w="90" w:type="dxa"/>
            </w:tcMar>
          </w:tcPr>
          <w:p>
            <w:pPr>
              <w:spacing w:after="0"/>
            </w:pPr>
            <w:r>
              <w:rPr>
                <w:color w:val="111111"/>
                <w:sz w:val="16"/>
              </w:rPr>
              <w:t>inventory</w:t>
            </w:r>
          </w:p>
        </w:tc>
        <w:tc>
          <w:tcPr>
            <w:tcW w:type="dxa" w:w="1152"/>
            <w:shd w:fill="F7F5F0"/>
            <w:tcMar>
              <w:top w:w="70" w:type="dxa"/>
              <w:start w:w="90" w:type="dxa"/>
              <w:bottom w:w="70" w:type="dxa"/>
              <w:end w:w="90" w:type="dxa"/>
            </w:tcMar>
          </w:tcPr>
          <w:p>
            <w:pPr>
              <w:spacing w:after="0"/>
            </w:pPr>
            <w:r>
              <w:rPr>
                <w:color w:val="111111"/>
                <w:sz w:val="16"/>
              </w:rPr>
              <w:t>17</w:t>
            </w:r>
          </w:p>
        </w:tc>
        <w:tc>
          <w:tcPr>
            <w:tcW w:type="dxa" w:w="6840"/>
            <w:shd w:fill="F7F5F0"/>
            <w:tcMar>
              <w:top w:w="70" w:type="dxa"/>
              <w:start w:w="90" w:type="dxa"/>
              <w:bottom w:w="70" w:type="dxa"/>
              <w:end w:w="90" w:type="dxa"/>
            </w:tcMar>
          </w:tcPr>
          <w:p>
            <w:pPr>
              <w:spacing w:after="0"/>
            </w:pPr>
            <w:r>
              <w:rPr>
                <w:color w:val="111111"/>
                <w:sz w:val="16"/>
              </w:rPr>
              <w:t>Items, storages, balances, movements, stock posting</w:t>
            </w:r>
          </w:p>
        </w:tc>
      </w:tr>
      <w:tr>
        <w:trPr>
          <w:cantSplit/>
        </w:trPr>
        <w:tc>
          <w:tcPr>
            <w:tcW w:type="dxa" w:w="2376"/>
            <w:shd w:fill="FFFFFF"/>
            <w:tcMar>
              <w:top w:w="70" w:type="dxa"/>
              <w:start w:w="90" w:type="dxa"/>
              <w:bottom w:w="70" w:type="dxa"/>
              <w:end w:w="90" w:type="dxa"/>
            </w:tcMar>
          </w:tcPr>
          <w:p>
            <w:pPr>
              <w:spacing w:after="0"/>
            </w:pPr>
            <w:r>
              <w:rPr>
                <w:color w:val="111111"/>
                <w:sz w:val="16"/>
              </w:rPr>
              <w:t>exports</w:t>
            </w:r>
          </w:p>
        </w:tc>
        <w:tc>
          <w:tcPr>
            <w:tcW w:type="dxa" w:w="1152"/>
            <w:shd w:fill="FFFFFF"/>
            <w:tcMar>
              <w:top w:w="70" w:type="dxa"/>
              <w:start w:w="90" w:type="dxa"/>
              <w:bottom w:w="70" w:type="dxa"/>
              <w:end w:w="90" w:type="dxa"/>
            </w:tcMar>
          </w:tcPr>
          <w:p>
            <w:pPr>
              <w:spacing w:after="0"/>
            </w:pPr>
            <w:r>
              <w:rPr>
                <w:color w:val="111111"/>
                <w:sz w:val="16"/>
              </w:rPr>
              <w:t>9</w:t>
            </w:r>
          </w:p>
        </w:tc>
        <w:tc>
          <w:tcPr>
            <w:tcW w:type="dxa" w:w="6840"/>
            <w:shd w:fill="FFFFFF"/>
            <w:tcMar>
              <w:top w:w="70" w:type="dxa"/>
              <w:start w:w="90" w:type="dxa"/>
              <w:bottom w:w="70" w:type="dxa"/>
              <w:end w:w="90" w:type="dxa"/>
            </w:tcMar>
          </w:tcPr>
          <w:p>
            <w:pPr>
              <w:spacing w:after="0"/>
            </w:pPr>
            <w:r>
              <w:rPr>
                <w:color w:val="111111"/>
                <w:sz w:val="16"/>
              </w:rPr>
              <w:t>CSV/XLSX/PDF export behavior and filter parity</w:t>
            </w:r>
          </w:p>
        </w:tc>
      </w:tr>
      <w:tr>
        <w:trPr>
          <w:cantSplit/>
        </w:trPr>
        <w:tc>
          <w:tcPr>
            <w:tcW w:type="dxa" w:w="2376"/>
            <w:shd w:fill="F7F5F0"/>
            <w:tcMar>
              <w:top w:w="70" w:type="dxa"/>
              <w:start w:w="90" w:type="dxa"/>
              <w:bottom w:w="70" w:type="dxa"/>
              <w:end w:w="90" w:type="dxa"/>
            </w:tcMar>
          </w:tcPr>
          <w:p>
            <w:pPr>
              <w:spacing w:after="0"/>
            </w:pPr>
            <w:r>
              <w:rPr>
                <w:color w:val="111111"/>
                <w:sz w:val="16"/>
              </w:rPr>
              <w:t>reports_and_search</w:t>
            </w:r>
          </w:p>
        </w:tc>
        <w:tc>
          <w:tcPr>
            <w:tcW w:type="dxa" w:w="1152"/>
            <w:shd w:fill="F7F5F0"/>
            <w:tcMar>
              <w:top w:w="70" w:type="dxa"/>
              <w:start w:w="90" w:type="dxa"/>
              <w:bottom w:w="70" w:type="dxa"/>
              <w:end w:w="90" w:type="dxa"/>
            </w:tcMar>
          </w:tcPr>
          <w:p>
            <w:pPr>
              <w:spacing w:after="0"/>
            </w:pPr>
            <w:r>
              <w:rPr>
                <w:color w:val="111111"/>
                <w:sz w:val="16"/>
              </w:rPr>
              <w:t>19</w:t>
            </w:r>
          </w:p>
        </w:tc>
        <w:tc>
          <w:tcPr>
            <w:tcW w:type="dxa" w:w="6840"/>
            <w:shd w:fill="F7F5F0"/>
            <w:tcMar>
              <w:top w:w="70" w:type="dxa"/>
              <w:start w:w="90" w:type="dxa"/>
              <w:bottom w:w="70" w:type="dxa"/>
              <w:end w:w="90" w:type="dxa"/>
            </w:tcMar>
          </w:tcPr>
          <w:p>
            <w:pPr>
              <w:spacing w:after="0"/>
            </w:pPr>
            <w:r>
              <w:rPr>
                <w:color w:val="111111"/>
                <w:sz w:val="16"/>
              </w:rPr>
              <w:t>Dashboard, reports, presets, notifications, search, Scan Center</w:t>
            </w:r>
          </w:p>
        </w:tc>
      </w:tr>
      <w:tr>
        <w:trPr>
          <w:cantSplit/>
        </w:trPr>
        <w:tc>
          <w:tcPr>
            <w:tcW w:type="dxa" w:w="2376"/>
            <w:shd w:fill="FFFFFF"/>
            <w:tcMar>
              <w:top w:w="70" w:type="dxa"/>
              <w:start w:w="90" w:type="dxa"/>
              <w:bottom w:w="70" w:type="dxa"/>
              <w:end w:w="90" w:type="dxa"/>
            </w:tcMar>
          </w:tcPr>
          <w:p>
            <w:pPr>
              <w:spacing w:after="0"/>
            </w:pPr>
            <w:r>
              <w:rPr>
                <w:color w:val="111111"/>
                <w:sz w:val="16"/>
              </w:rPr>
              <w:t>handover_usage</w:t>
            </w:r>
          </w:p>
        </w:tc>
        <w:tc>
          <w:tcPr>
            <w:tcW w:type="dxa" w:w="1152"/>
            <w:shd w:fill="FFFFFF"/>
            <w:tcMar>
              <w:top w:w="70" w:type="dxa"/>
              <w:start w:w="90" w:type="dxa"/>
              <w:bottom w:w="70" w:type="dxa"/>
              <w:end w:w="90" w:type="dxa"/>
            </w:tcMar>
          </w:tcPr>
          <w:p>
            <w:pPr>
              <w:spacing w:after="0"/>
            </w:pPr>
            <w:r>
              <w:rPr>
                <w:color w:val="111111"/>
                <w:sz w:val="16"/>
              </w:rPr>
              <w:t>11</w:t>
            </w:r>
          </w:p>
        </w:tc>
        <w:tc>
          <w:tcPr>
            <w:tcW w:type="dxa" w:w="6840"/>
            <w:shd w:fill="FFFFFF"/>
            <w:tcMar>
              <w:top w:w="70" w:type="dxa"/>
              <w:start w:w="90" w:type="dxa"/>
              <w:bottom w:w="70" w:type="dxa"/>
              <w:end w:w="90" w:type="dxa"/>
            </w:tcMar>
          </w:tcPr>
          <w:p>
            <w:pPr>
              <w:spacing w:after="0"/>
            </w:pPr>
            <w:r>
              <w:rPr>
                <w:color w:val="111111"/>
                <w:sz w:val="16"/>
              </w:rPr>
              <w:t>Expected/actual/reconciliation usage and signoff support</w:t>
            </w:r>
          </w:p>
        </w:tc>
      </w:tr>
      <w:tr>
        <w:trPr>
          <w:cantSplit/>
        </w:trPr>
        <w:tc>
          <w:tcPr>
            <w:tcW w:type="dxa" w:w="2376"/>
            <w:shd w:fill="F7F5F0"/>
            <w:tcMar>
              <w:top w:w="70" w:type="dxa"/>
              <w:start w:w="90" w:type="dxa"/>
              <w:bottom w:w="70" w:type="dxa"/>
              <w:end w:w="90" w:type="dxa"/>
            </w:tcMar>
          </w:tcPr>
          <w:p>
            <w:pPr>
              <w:spacing w:after="0"/>
            </w:pPr>
            <w:r>
              <w:rPr>
                <w:color w:val="111111"/>
                <w:sz w:val="16"/>
              </w:rPr>
              <w:t>workflow_core</w:t>
            </w:r>
          </w:p>
        </w:tc>
        <w:tc>
          <w:tcPr>
            <w:tcW w:type="dxa" w:w="1152"/>
            <w:shd w:fill="F7F5F0"/>
            <w:tcMar>
              <w:top w:w="70" w:type="dxa"/>
              <w:start w:w="90" w:type="dxa"/>
              <w:bottom w:w="70" w:type="dxa"/>
              <w:end w:w="90" w:type="dxa"/>
            </w:tcMar>
          </w:tcPr>
          <w:p>
            <w:pPr>
              <w:spacing w:after="0"/>
            </w:pPr>
            <w:r>
              <w:rPr>
                <w:color w:val="111111"/>
                <w:sz w:val="16"/>
              </w:rPr>
              <w:t>8</w:t>
            </w:r>
          </w:p>
        </w:tc>
        <w:tc>
          <w:tcPr>
            <w:tcW w:type="dxa" w:w="6840"/>
            <w:shd w:fill="F7F5F0"/>
            <w:tcMar>
              <w:top w:w="70" w:type="dxa"/>
              <w:start w:w="90" w:type="dxa"/>
              <w:bottom w:w="70" w:type="dxa"/>
              <w:end w:w="90" w:type="dxa"/>
            </w:tcMar>
          </w:tcPr>
          <w:p>
            <w:pPr>
              <w:spacing w:after="0"/>
            </w:pPr>
            <w:r>
              <w:rPr>
                <w:color w:val="111111"/>
                <w:sz w:val="16"/>
              </w:rPr>
              <w:t>Shared workflow identity, guards, status, documents</w:t>
            </w:r>
          </w:p>
        </w:tc>
      </w:tr>
      <w:tr>
        <w:trPr>
          <w:cantSplit/>
        </w:trPr>
        <w:tc>
          <w:tcPr>
            <w:tcW w:type="dxa" w:w="2376"/>
            <w:shd w:fill="FFFFFF"/>
            <w:tcMar>
              <w:top w:w="70" w:type="dxa"/>
              <w:start w:w="90" w:type="dxa"/>
              <w:bottom w:w="70" w:type="dxa"/>
              <w:end w:w="90" w:type="dxa"/>
            </w:tcMar>
          </w:tcPr>
          <w:p>
            <w:pPr>
              <w:spacing w:after="0"/>
            </w:pPr>
            <w:r>
              <w:rPr>
                <w:color w:val="111111"/>
                <w:sz w:val="16"/>
              </w:rPr>
              <w:t>requests</w:t>
            </w:r>
          </w:p>
        </w:tc>
        <w:tc>
          <w:tcPr>
            <w:tcW w:type="dxa" w:w="1152"/>
            <w:shd w:fill="FFFFFF"/>
            <w:tcMar>
              <w:top w:w="70" w:type="dxa"/>
              <w:start w:w="90" w:type="dxa"/>
              <w:bottom w:w="70" w:type="dxa"/>
              <w:end w:w="90" w:type="dxa"/>
            </w:tcMar>
          </w:tcPr>
          <w:p>
            <w:pPr>
              <w:spacing w:after="0"/>
            </w:pPr>
            <w:r>
              <w:rPr>
                <w:color w:val="111111"/>
                <w:sz w:val="16"/>
              </w:rPr>
              <w:t>7</w:t>
            </w:r>
          </w:p>
        </w:tc>
        <w:tc>
          <w:tcPr>
            <w:tcW w:type="dxa" w:w="6840"/>
            <w:shd w:fill="FFFFFF"/>
            <w:tcMar>
              <w:top w:w="70" w:type="dxa"/>
              <w:start w:w="90" w:type="dxa"/>
              <w:bottom w:w="70" w:type="dxa"/>
              <w:end w:w="90" w:type="dxa"/>
            </w:tcMar>
          </w:tcPr>
          <w:p>
            <w:pPr>
              <w:spacing w:after="0"/>
            </w:pPr>
            <w:r>
              <w:rPr>
                <w:color w:val="111111"/>
                <w:sz w:val="16"/>
              </w:rPr>
              <w:t>Request lifecycle and inventory posting</w:t>
            </w:r>
          </w:p>
        </w:tc>
      </w:tr>
      <w:tr>
        <w:trPr>
          <w:cantSplit/>
        </w:trPr>
        <w:tc>
          <w:tcPr>
            <w:tcW w:type="dxa" w:w="2376"/>
            <w:shd w:fill="F7F5F0"/>
            <w:tcMar>
              <w:top w:w="70" w:type="dxa"/>
              <w:start w:w="90" w:type="dxa"/>
              <w:bottom w:w="70" w:type="dxa"/>
              <w:end w:w="90" w:type="dxa"/>
            </w:tcMar>
          </w:tcPr>
          <w:p>
            <w:pPr>
              <w:spacing w:after="0"/>
            </w:pPr>
            <w:r>
              <w:rPr>
                <w:color w:val="111111"/>
                <w:sz w:val="16"/>
              </w:rPr>
              <w:t>handovers</w:t>
            </w:r>
          </w:p>
        </w:tc>
        <w:tc>
          <w:tcPr>
            <w:tcW w:type="dxa" w:w="1152"/>
            <w:shd w:fill="F7F5F0"/>
            <w:tcMar>
              <w:top w:w="70" w:type="dxa"/>
              <w:start w:w="90" w:type="dxa"/>
              <w:bottom w:w="70" w:type="dxa"/>
              <w:end w:w="90" w:type="dxa"/>
            </w:tcMar>
          </w:tcPr>
          <w:p>
            <w:pPr>
              <w:spacing w:after="0"/>
            </w:pPr>
            <w:r>
              <w:rPr>
                <w:color w:val="111111"/>
                <w:sz w:val="16"/>
              </w:rPr>
              <w:t>10</w:t>
            </w:r>
          </w:p>
        </w:tc>
        <w:tc>
          <w:tcPr>
            <w:tcW w:type="dxa" w:w="6840"/>
            <w:shd w:fill="F7F5F0"/>
            <w:tcMar>
              <w:top w:w="70" w:type="dxa"/>
              <w:start w:w="90" w:type="dxa"/>
              <w:bottom w:w="70" w:type="dxa"/>
              <w:end w:w="90" w:type="dxa"/>
            </w:tcMar>
          </w:tcPr>
          <w:p>
            <w:pPr>
              <w:spacing w:after="0"/>
            </w:pPr>
            <w:r>
              <w:rPr>
                <w:color w:val="111111"/>
                <w:sz w:val="16"/>
              </w:rPr>
              <w:t>Temporary use, custody, storage transfer, return review</w:t>
            </w:r>
          </w:p>
        </w:tc>
      </w:tr>
      <w:tr>
        <w:trPr>
          <w:cantSplit/>
        </w:trPr>
        <w:tc>
          <w:tcPr>
            <w:tcW w:type="dxa" w:w="2376"/>
            <w:shd w:fill="FFFFFF"/>
            <w:tcMar>
              <w:top w:w="70" w:type="dxa"/>
              <w:start w:w="90" w:type="dxa"/>
              <w:bottom w:w="70" w:type="dxa"/>
              <w:end w:w="90" w:type="dxa"/>
            </w:tcMar>
          </w:tcPr>
          <w:p>
            <w:pPr>
              <w:spacing w:after="0"/>
            </w:pPr>
            <w:r>
              <w:rPr>
                <w:color w:val="111111"/>
                <w:sz w:val="16"/>
              </w:rPr>
              <w:t>purchases_and_ocr</w:t>
            </w:r>
          </w:p>
        </w:tc>
        <w:tc>
          <w:tcPr>
            <w:tcW w:type="dxa" w:w="1152"/>
            <w:shd w:fill="FFFFFF"/>
            <w:tcMar>
              <w:top w:w="70" w:type="dxa"/>
              <w:start w:w="90" w:type="dxa"/>
              <w:bottom w:w="70" w:type="dxa"/>
              <w:end w:w="90" w:type="dxa"/>
            </w:tcMar>
          </w:tcPr>
          <w:p>
            <w:pPr>
              <w:spacing w:after="0"/>
            </w:pPr>
            <w:r>
              <w:rPr>
                <w:color w:val="111111"/>
                <w:sz w:val="16"/>
              </w:rPr>
              <w:t>14</w:t>
            </w:r>
          </w:p>
        </w:tc>
        <w:tc>
          <w:tcPr>
            <w:tcW w:type="dxa" w:w="6840"/>
            <w:shd w:fill="FFFFFF"/>
            <w:tcMar>
              <w:top w:w="70" w:type="dxa"/>
              <w:start w:w="90" w:type="dxa"/>
              <w:bottom w:w="70" w:type="dxa"/>
              <w:end w:w="90" w:type="dxa"/>
            </w:tcMar>
          </w:tcPr>
          <w:p>
            <w:pPr>
              <w:spacing w:after="0"/>
            </w:pPr>
            <w:r>
              <w:rPr>
                <w:color w:val="111111"/>
                <w:sz w:val="16"/>
              </w:rPr>
              <w:t>Purchases, suppliers, receiving, OCR review/fallback</w:t>
            </w:r>
          </w:p>
        </w:tc>
      </w:tr>
      <w:tr>
        <w:trPr>
          <w:cantSplit/>
        </w:trPr>
        <w:tc>
          <w:tcPr>
            <w:tcW w:type="dxa" w:w="2376"/>
            <w:shd w:fill="F7F5F0"/>
            <w:tcMar>
              <w:top w:w="70" w:type="dxa"/>
              <w:start w:w="90" w:type="dxa"/>
              <w:bottom w:w="70" w:type="dxa"/>
              <w:end w:w="90" w:type="dxa"/>
            </w:tcMar>
          </w:tcPr>
          <w:p>
            <w:pPr>
              <w:spacing w:after="0"/>
            </w:pPr>
            <w:r>
              <w:rPr>
                <w:color w:val="111111"/>
                <w:sz w:val="16"/>
              </w:rPr>
              <w:t>files_and_operations</w:t>
            </w:r>
          </w:p>
        </w:tc>
        <w:tc>
          <w:tcPr>
            <w:tcW w:type="dxa" w:w="1152"/>
            <w:shd w:fill="F7F5F0"/>
            <w:tcMar>
              <w:top w:w="70" w:type="dxa"/>
              <w:start w:w="90" w:type="dxa"/>
              <w:bottom w:w="70" w:type="dxa"/>
              <w:end w:w="90" w:type="dxa"/>
            </w:tcMar>
          </w:tcPr>
          <w:p>
            <w:pPr>
              <w:spacing w:after="0"/>
            </w:pPr>
            <w:r>
              <w:rPr>
                <w:color w:val="111111"/>
                <w:sz w:val="16"/>
              </w:rPr>
              <w:t>32</w:t>
            </w:r>
          </w:p>
        </w:tc>
        <w:tc>
          <w:tcPr>
            <w:tcW w:type="dxa" w:w="6840"/>
            <w:shd w:fill="F7F5F0"/>
            <w:tcMar>
              <w:top w:w="70" w:type="dxa"/>
              <w:start w:w="90" w:type="dxa"/>
              <w:bottom w:w="70" w:type="dxa"/>
              <w:end w:w="90" w:type="dxa"/>
            </w:tcMar>
          </w:tcPr>
          <w:p>
            <w:pPr>
              <w:spacing w:after="0"/>
            </w:pPr>
            <w:r>
              <w:rPr>
                <w:color w:val="111111"/>
                <w:sz w:val="16"/>
              </w:rPr>
              <w:t>Protected files, stocktakes, reorder, audit, documentation</w:t>
            </w:r>
          </w:p>
        </w:tc>
      </w:tr>
      <w:tr>
        <w:trPr>
          <w:cantSplit/>
        </w:trPr>
        <w:tc>
          <w:tcPr>
            <w:tcW w:type="dxa" w:w="2376"/>
            <w:shd w:fill="FFFFFF"/>
            <w:tcMar>
              <w:top w:w="70" w:type="dxa"/>
              <w:start w:w="90" w:type="dxa"/>
              <w:bottom w:w="70" w:type="dxa"/>
              <w:end w:w="90" w:type="dxa"/>
            </w:tcMar>
          </w:tcPr>
          <w:p>
            <w:pPr>
              <w:spacing w:after="0"/>
            </w:pPr>
            <w:r>
              <w:rPr>
                <w:color w:val="111111"/>
                <w:sz w:val="16"/>
              </w:rPr>
              <w:t>assets</w:t>
            </w:r>
          </w:p>
        </w:tc>
        <w:tc>
          <w:tcPr>
            <w:tcW w:type="dxa" w:w="1152"/>
            <w:shd w:fill="FFFFFF"/>
            <w:tcMar>
              <w:top w:w="70" w:type="dxa"/>
              <w:start w:w="90" w:type="dxa"/>
              <w:bottom w:w="70" w:type="dxa"/>
              <w:end w:w="90" w:type="dxa"/>
            </w:tcMar>
          </w:tcPr>
          <w:p>
            <w:pPr>
              <w:spacing w:after="0"/>
            </w:pPr>
            <w:r>
              <w:rPr>
                <w:color w:val="111111"/>
                <w:sz w:val="16"/>
              </w:rPr>
              <w:t>7</w:t>
            </w:r>
          </w:p>
        </w:tc>
        <w:tc>
          <w:tcPr>
            <w:tcW w:type="dxa" w:w="6840"/>
            <w:shd w:fill="FFFFFF"/>
            <w:tcMar>
              <w:top w:w="70" w:type="dxa"/>
              <w:start w:w="90" w:type="dxa"/>
              <w:bottom w:w="70" w:type="dxa"/>
              <w:end w:w="90" w:type="dxa"/>
            </w:tcMar>
          </w:tcPr>
          <w:p>
            <w:pPr>
              <w:spacing w:after="0"/>
            </w:pPr>
            <w:r>
              <w:rPr>
                <w:color w:val="111111"/>
                <w:sz w:val="16"/>
              </w:rPr>
              <w:t>Durable assets, categories, custody, maintenance, depreciation</w:t>
            </w:r>
          </w:p>
        </w:tc>
      </w:tr>
      <w:tr>
        <w:trPr>
          <w:cantSplit/>
        </w:trPr>
        <w:tc>
          <w:tcPr>
            <w:tcW w:type="dxa" w:w="2376"/>
            <w:shd w:fill="F7F5F0"/>
            <w:tcMar>
              <w:top w:w="70" w:type="dxa"/>
              <w:start w:w="90" w:type="dxa"/>
              <w:bottom w:w="70" w:type="dxa"/>
              <w:end w:w="90" w:type="dxa"/>
            </w:tcMar>
          </w:tcPr>
          <w:p>
            <w:pPr>
              <w:spacing w:after="0"/>
            </w:pPr>
            <w:r>
              <w:rPr>
                <w:color w:val="111111"/>
                <w:sz w:val="16"/>
              </w:rPr>
              <w:t>Total</w:t>
            </w:r>
          </w:p>
        </w:tc>
        <w:tc>
          <w:tcPr>
            <w:tcW w:type="dxa" w:w="1152"/>
            <w:shd w:fill="F7F5F0"/>
            <w:tcMar>
              <w:top w:w="70" w:type="dxa"/>
              <w:start w:w="90" w:type="dxa"/>
              <w:bottom w:w="70" w:type="dxa"/>
              <w:end w:w="90" w:type="dxa"/>
            </w:tcMar>
          </w:tcPr>
          <w:p>
            <w:pPr>
              <w:spacing w:after="0"/>
            </w:pPr>
            <w:r>
              <w:rPr>
                <w:color w:val="111111"/>
                <w:sz w:val="16"/>
              </w:rPr>
              <w:t>151</w:t>
            </w:r>
          </w:p>
        </w:tc>
        <w:tc>
          <w:tcPr>
            <w:tcW w:type="dxa" w:w="6840"/>
            <w:shd w:fill="F7F5F0"/>
            <w:tcMar>
              <w:top w:w="70" w:type="dxa"/>
              <w:start w:w="90" w:type="dxa"/>
              <w:bottom w:w="70" w:type="dxa"/>
              <w:end w:w="90" w:type="dxa"/>
            </w:tcMar>
          </w:tcPr>
          <w:p>
            <w:pPr>
              <w:spacing w:after="0"/>
            </w:pPr>
            <w:r>
              <w:rPr>
                <w:color w:val="111111"/>
                <w:sz w:val="16"/>
              </w:rPr>
              <w:t>Focused PHP domain files loaded through app/module_manifest.php</w:t>
            </w:r>
          </w:p>
        </w:tc>
      </w:tr>
    </w:tbl>
    <w:p>
      <w:pPr>
        <w:spacing w:after="20"/>
      </w:pPr>
    </w:p>
    <w:tbl>
      <w:tblPr>
        <w:tblStyle w:val="TableGrid"/>
        <w:tblW w:type="auto" w:w="0"/>
        <w:tblLayout w:type="fixed"/>
        <w:tblLook w:firstColumn="1" w:firstRow="1" w:lastColumn="0" w:lastRow="0" w:noHBand="0" w:noVBand="1" w:val="04A0"/>
      </w:tblPr>
      <w:tblGrid>
        <w:gridCol w:w="3360"/>
        <w:gridCol w:w="3360"/>
        <w:gridCol w:w="3360"/>
      </w:tblGrid>
      <w:tr>
        <w:trPr>
          <w:tblHeader/>
          <w:cantSplit/>
        </w:trPr>
        <w:tc>
          <w:tcPr>
            <w:tcW w:type="dxa" w:w="2520"/>
            <w:shd w:fill="EAB83F"/>
            <w:tcMar>
              <w:top w:w="70" w:type="dxa"/>
              <w:start w:w="90" w:type="dxa"/>
              <w:bottom w:w="70" w:type="dxa"/>
              <w:end w:w="90" w:type="dxa"/>
            </w:tcMar>
          </w:tcPr>
          <w:p>
            <w:pPr>
              <w:spacing w:after="0"/>
            </w:pPr>
            <w:r>
              <w:rPr>
                <w:b/>
                <w:color w:val="111111"/>
                <w:sz w:val="17"/>
              </w:rPr>
              <w:t>Frontend layer</w:t>
            </w:r>
          </w:p>
        </w:tc>
        <w:tc>
          <w:tcPr>
            <w:tcW w:type="dxa" w:w="1512"/>
            <w:shd w:fill="EAB83F"/>
            <w:tcMar>
              <w:top w:w="70" w:type="dxa"/>
              <w:start w:w="90" w:type="dxa"/>
              <w:bottom w:w="70" w:type="dxa"/>
              <w:end w:w="90" w:type="dxa"/>
            </w:tcMar>
          </w:tcPr>
          <w:p>
            <w:pPr>
              <w:spacing w:after="0"/>
            </w:pPr>
            <w:r>
              <w:rPr>
                <w:b/>
                <w:color w:val="111111"/>
                <w:sz w:val="17"/>
              </w:rPr>
              <w:t>Current count</w:t>
            </w:r>
          </w:p>
        </w:tc>
        <w:tc>
          <w:tcPr>
            <w:tcW w:type="dxa" w:w="6336"/>
            <w:shd w:fill="EAB83F"/>
            <w:tcMar>
              <w:top w:w="70" w:type="dxa"/>
              <w:start w:w="90" w:type="dxa"/>
              <w:bottom w:w="70" w:type="dxa"/>
              <w:end w:w="90" w:type="dxa"/>
            </w:tcMar>
          </w:tcPr>
          <w:p>
            <w:pPr>
              <w:spacing w:after="0"/>
            </w:pPr>
            <w:r>
              <w:rPr>
                <w:b/>
                <w:color w:val="111111"/>
                <w:sz w:val="17"/>
              </w:rPr>
              <w:t>Rule</w:t>
            </w:r>
          </w:p>
        </w:tc>
      </w:tr>
      <w:tr>
        <w:trPr>
          <w:cantSplit/>
        </w:trPr>
        <w:tc>
          <w:tcPr>
            <w:tcW w:type="dxa" w:w="2520"/>
            <w:shd w:fill="FFFFFF"/>
            <w:tcMar>
              <w:top w:w="70" w:type="dxa"/>
              <w:start w:w="90" w:type="dxa"/>
              <w:bottom w:w="70" w:type="dxa"/>
              <w:end w:w="90" w:type="dxa"/>
            </w:tcMar>
          </w:tcPr>
          <w:p>
            <w:pPr>
              <w:spacing w:after="0"/>
            </w:pPr>
            <w:r>
              <w:rPr>
                <w:color w:val="111111"/>
                <w:sz w:val="16"/>
              </w:rPr>
              <w:t>CSS modules</w:t>
            </w:r>
          </w:p>
        </w:tc>
        <w:tc>
          <w:tcPr>
            <w:tcW w:type="dxa" w:w="1512"/>
            <w:shd w:fill="FFFFFF"/>
            <w:tcMar>
              <w:top w:w="70" w:type="dxa"/>
              <w:start w:w="90" w:type="dxa"/>
              <w:bottom w:w="70" w:type="dxa"/>
              <w:end w:w="90" w:type="dxa"/>
            </w:tcMar>
          </w:tcPr>
          <w:p>
            <w:pPr>
              <w:spacing w:after="0"/>
            </w:pPr>
            <w:r>
              <w:rPr>
                <w:color w:val="111111"/>
                <w:sz w:val="16"/>
              </w:rPr>
              <w:t>19</w:t>
            </w:r>
          </w:p>
        </w:tc>
        <w:tc>
          <w:tcPr>
            <w:tcW w:type="dxa" w:w="6336"/>
            <w:shd w:fill="FFFFFF"/>
            <w:tcMar>
              <w:top w:w="70" w:type="dxa"/>
              <w:start w:w="90" w:type="dxa"/>
              <w:bottom w:w="70" w:type="dxa"/>
              <w:end w:w="90" w:type="dxa"/>
            </w:tcMar>
          </w:tcPr>
          <w:p>
            <w:pPr>
              <w:spacing w:after="0"/>
            </w:pPr>
            <w:r>
              <w:rPr>
                <w:color w:val="111111"/>
                <w:sz w:val="16"/>
              </w:rPr>
              <w:t>Foundation-to-mobile cascade; mobile loaded last.</w:t>
            </w:r>
          </w:p>
        </w:tc>
      </w:tr>
      <w:tr>
        <w:trPr>
          <w:cantSplit/>
        </w:trPr>
        <w:tc>
          <w:tcPr>
            <w:tcW w:type="dxa" w:w="2520"/>
            <w:shd w:fill="F7F5F0"/>
            <w:tcMar>
              <w:top w:w="70" w:type="dxa"/>
              <w:start w:w="90" w:type="dxa"/>
              <w:bottom w:w="70" w:type="dxa"/>
              <w:end w:w="90" w:type="dxa"/>
            </w:tcMar>
          </w:tcPr>
          <w:p>
            <w:pPr>
              <w:spacing w:after="0"/>
            </w:pPr>
            <w:r>
              <w:rPr>
                <w:color w:val="111111"/>
                <w:sz w:val="16"/>
              </w:rPr>
              <w:t>JavaScript modules</w:t>
            </w:r>
          </w:p>
        </w:tc>
        <w:tc>
          <w:tcPr>
            <w:tcW w:type="dxa" w:w="1512"/>
            <w:shd w:fill="F7F5F0"/>
            <w:tcMar>
              <w:top w:w="70" w:type="dxa"/>
              <w:start w:w="90" w:type="dxa"/>
              <w:bottom w:w="70" w:type="dxa"/>
              <w:end w:w="90" w:type="dxa"/>
            </w:tcMar>
          </w:tcPr>
          <w:p>
            <w:pPr>
              <w:spacing w:after="0"/>
            </w:pPr>
            <w:r>
              <w:rPr>
                <w:color w:val="111111"/>
                <w:sz w:val="16"/>
              </w:rPr>
              <w:t>28</w:t>
            </w:r>
          </w:p>
        </w:tc>
        <w:tc>
          <w:tcPr>
            <w:tcW w:type="dxa" w:w="6336"/>
            <w:shd w:fill="F7F5F0"/>
            <w:tcMar>
              <w:top w:w="70" w:type="dxa"/>
              <w:start w:w="90" w:type="dxa"/>
              <w:bottom w:w="70" w:type="dxa"/>
              <w:end w:w="90" w:type="dxa"/>
            </w:tcMar>
          </w:tcPr>
          <w:p>
            <w:pPr>
              <w:spacing w:after="0"/>
            </w:pPr>
            <w:r>
              <w:rPr>
                <w:color w:val="111111"/>
                <w:sz w:val="16"/>
              </w:rPr>
              <w:t>Native ES modules with idempotent initializers after AJAX replacement.</w:t>
            </w:r>
          </w:p>
        </w:tc>
      </w:tr>
      <w:tr>
        <w:trPr>
          <w:cantSplit/>
        </w:trPr>
        <w:tc>
          <w:tcPr>
            <w:tcW w:type="dxa" w:w="2520"/>
            <w:shd w:fill="FFFFFF"/>
            <w:tcMar>
              <w:top w:w="70" w:type="dxa"/>
              <w:start w:w="90" w:type="dxa"/>
              <w:bottom w:w="70" w:type="dxa"/>
              <w:end w:w="90" w:type="dxa"/>
            </w:tcMar>
          </w:tcPr>
          <w:p>
            <w:pPr>
              <w:spacing w:after="0"/>
            </w:pPr>
            <w:r>
              <w:rPr>
                <w:color w:val="111111"/>
                <w:sz w:val="16"/>
              </w:rPr>
              <w:t>PHP files</w:t>
            </w:r>
          </w:p>
        </w:tc>
        <w:tc>
          <w:tcPr>
            <w:tcW w:type="dxa" w:w="1512"/>
            <w:shd w:fill="FFFFFF"/>
            <w:tcMar>
              <w:top w:w="70" w:type="dxa"/>
              <w:start w:w="90" w:type="dxa"/>
              <w:bottom w:w="70" w:type="dxa"/>
              <w:end w:w="90" w:type="dxa"/>
            </w:tcMar>
          </w:tcPr>
          <w:p>
            <w:pPr>
              <w:spacing w:after="0"/>
            </w:pPr>
            <w:r>
              <w:rPr>
                <w:color w:val="111111"/>
                <w:sz w:val="16"/>
              </w:rPr>
              <w:t>358</w:t>
            </w:r>
          </w:p>
        </w:tc>
        <w:tc>
          <w:tcPr>
            <w:tcW w:type="dxa" w:w="6336"/>
            <w:shd w:fill="FFFFFF"/>
            <w:tcMar>
              <w:top w:w="70" w:type="dxa"/>
              <w:start w:w="90" w:type="dxa"/>
              <w:bottom w:w="70" w:type="dxa"/>
              <w:end w:w="90" w:type="dxa"/>
            </w:tcMar>
          </w:tcPr>
          <w:p>
            <w:pPr>
              <w:spacing w:after="0"/>
            </w:pPr>
            <w:r>
              <w:rPr>
                <w:color w:val="111111"/>
                <w:sz w:val="16"/>
              </w:rPr>
              <w:t>Includes focused modules, support, maintenance, views, scripts, and tests.</w:t>
            </w:r>
          </w:p>
        </w:tc>
      </w:tr>
    </w:tbl>
    <w:p>
      <w:pPr>
        <w:spacing w:after="20"/>
      </w:pPr>
    </w:p>
    <w:p>
      <w:pPr>
        <w:pStyle w:val="Heading2"/>
        <w:keepNext/>
      </w:pPr>
      <w:r>
        <w:t>Custody-focused implementation files</w:t>
      </w:r>
    </w:p>
    <w:tbl>
      <w:tblPr>
        <w:tblStyle w:val="TableGrid"/>
        <w:tblW w:type="auto" w:w="0"/>
        <w:tblLayout w:type="fixed"/>
        <w:tblLook w:firstColumn="1" w:firstRow="1" w:lastColumn="0" w:lastRow="0" w:noHBand="0" w:noVBand="1" w:val="04A0"/>
      </w:tblPr>
      <w:tblGrid>
        <w:gridCol w:w="5040"/>
        <w:gridCol w:w="5040"/>
      </w:tblGrid>
      <w:tr>
        <w:trPr>
          <w:tblHeader/>
          <w:cantSplit/>
        </w:trPr>
        <w:tc>
          <w:tcPr>
            <w:tcW w:type="dxa" w:w="2592"/>
            <w:shd w:fill="EAB83F"/>
            <w:tcMar>
              <w:top w:w="70" w:type="dxa"/>
              <w:start w:w="90" w:type="dxa"/>
              <w:bottom w:w="70" w:type="dxa"/>
              <w:end w:w="90" w:type="dxa"/>
            </w:tcMar>
          </w:tcPr>
          <w:p>
            <w:pPr>
              <w:spacing w:after="0"/>
            </w:pPr>
            <w:r>
              <w:rPr>
                <w:b/>
                <w:color w:val="111111"/>
                <w:sz w:val="17"/>
              </w:rPr>
              <w:t>Area</w:t>
            </w:r>
          </w:p>
        </w:tc>
        <w:tc>
          <w:tcPr>
            <w:tcW w:type="dxa" w:w="7776"/>
            <w:shd w:fill="EAB83F"/>
            <w:tcMar>
              <w:top w:w="70" w:type="dxa"/>
              <w:start w:w="90" w:type="dxa"/>
              <w:bottom w:w="70" w:type="dxa"/>
              <w:end w:w="90" w:type="dxa"/>
            </w:tcMar>
          </w:tcPr>
          <w:p>
            <w:pPr>
              <w:spacing w:after="0"/>
            </w:pPr>
            <w:r>
              <w:rPr>
                <w:b/>
                <w:color w:val="111111"/>
                <w:sz w:val="17"/>
              </w:rPr>
              <w:t>Primary files / routes</w:t>
            </w:r>
          </w:p>
        </w:tc>
      </w:tr>
      <w:tr>
        <w:trPr>
          <w:cantSplit/>
        </w:trPr>
        <w:tc>
          <w:tcPr>
            <w:tcW w:type="dxa" w:w="2592"/>
            <w:shd w:fill="FFFFFF"/>
            <w:tcMar>
              <w:top w:w="70" w:type="dxa"/>
              <w:start w:w="90" w:type="dxa"/>
              <w:bottom w:w="70" w:type="dxa"/>
              <w:end w:w="90" w:type="dxa"/>
            </w:tcMar>
          </w:tcPr>
          <w:p>
            <w:pPr>
              <w:spacing w:after="0"/>
            </w:pPr>
            <w:r>
              <w:rPr>
                <w:color w:val="111111"/>
                <w:sz w:val="16"/>
              </w:rPr>
              <w:t>Creation and purpose</w:t>
            </w:r>
          </w:p>
        </w:tc>
        <w:tc>
          <w:tcPr>
            <w:tcW w:type="dxa" w:w="7776"/>
            <w:shd w:fill="FFFFFF"/>
            <w:tcMar>
              <w:top w:w="70" w:type="dxa"/>
              <w:start w:w="90" w:type="dxa"/>
              <w:bottom w:w="70" w:type="dxa"/>
              <w:end w:w="90" w:type="dxa"/>
            </w:tcMar>
          </w:tcPr>
          <w:p>
            <w:pPr>
              <w:spacing w:after="0"/>
            </w:pPr>
            <w:r>
              <w:rPr>
                <w:color w:val="111111"/>
                <w:sz w:val="16"/>
              </w:rPr>
              <w:t>app/modules/handover_create.php; handovers.handover_purpose</w:t>
            </w:r>
          </w:p>
        </w:tc>
      </w:tr>
      <w:tr>
        <w:trPr>
          <w:cantSplit/>
        </w:trPr>
        <w:tc>
          <w:tcPr>
            <w:tcW w:type="dxa" w:w="2592"/>
            <w:shd w:fill="F7F5F0"/>
            <w:tcMar>
              <w:top w:w="70" w:type="dxa"/>
              <w:start w:w="90" w:type="dxa"/>
              <w:bottom w:w="70" w:type="dxa"/>
              <w:end w:w="90" w:type="dxa"/>
            </w:tcMar>
          </w:tcPr>
          <w:p>
            <w:pPr>
              <w:spacing w:after="0"/>
            </w:pPr>
            <w:r>
              <w:rPr>
                <w:color w:val="111111"/>
                <w:sz w:val="16"/>
              </w:rPr>
              <w:t>Queries and rules</w:t>
            </w:r>
          </w:p>
        </w:tc>
        <w:tc>
          <w:tcPr>
            <w:tcW w:type="dxa" w:w="7776"/>
            <w:shd w:fill="F7F5F0"/>
            <w:tcMar>
              <w:top w:w="70" w:type="dxa"/>
              <w:start w:w="90" w:type="dxa"/>
              <w:bottom w:w="70" w:type="dxa"/>
              <w:end w:w="90" w:type="dxa"/>
            </w:tcMar>
          </w:tcPr>
          <w:p>
            <w:pPr>
              <w:spacing w:after="0"/>
            </w:pPr>
            <w:r>
              <w:rPr>
                <w:color w:val="111111"/>
                <w:sz w:val="16"/>
              </w:rPr>
              <w:t>app/modules/handover_custody_support.php</w:t>
            </w:r>
          </w:p>
        </w:tc>
      </w:tr>
      <w:tr>
        <w:trPr>
          <w:cantSplit/>
        </w:trPr>
        <w:tc>
          <w:tcPr>
            <w:tcW w:type="dxa" w:w="2592"/>
            <w:shd w:fill="FFFFFF"/>
            <w:tcMar>
              <w:top w:w="70" w:type="dxa"/>
              <w:start w:w="90" w:type="dxa"/>
              <w:bottom w:w="70" w:type="dxa"/>
              <w:end w:w="90" w:type="dxa"/>
            </w:tcMar>
          </w:tcPr>
          <w:p>
            <w:pPr>
              <w:spacing w:after="0"/>
            </w:pPr>
            <w:r>
              <w:rPr>
                <w:color w:val="111111"/>
                <w:sz w:val="16"/>
              </w:rPr>
              <w:t>Pages</w:t>
            </w:r>
          </w:p>
        </w:tc>
        <w:tc>
          <w:tcPr>
            <w:tcW w:type="dxa" w:w="7776"/>
            <w:shd w:fill="FFFFFF"/>
            <w:tcMar>
              <w:top w:w="70" w:type="dxa"/>
              <w:start w:w="90" w:type="dxa"/>
              <w:bottom w:w="70" w:type="dxa"/>
              <w:end w:w="90" w:type="dxa"/>
            </w:tcMar>
          </w:tcPr>
          <w:p>
            <w:pPr>
              <w:spacing w:after="0"/>
            </w:pPr>
            <w:r>
              <w:rPr>
                <w:color w:val="111111"/>
                <w:sz w:val="16"/>
              </w:rPr>
              <w:t>app/modules/handover_custody_pages.php</w:t>
            </w:r>
          </w:p>
        </w:tc>
      </w:tr>
      <w:tr>
        <w:trPr>
          <w:cantSplit/>
        </w:trPr>
        <w:tc>
          <w:tcPr>
            <w:tcW w:type="dxa" w:w="2592"/>
            <w:shd w:fill="F7F5F0"/>
            <w:tcMar>
              <w:top w:w="70" w:type="dxa"/>
              <w:start w:w="90" w:type="dxa"/>
              <w:bottom w:w="70" w:type="dxa"/>
              <w:end w:w="90" w:type="dxa"/>
            </w:tcMar>
          </w:tcPr>
          <w:p>
            <w:pPr>
              <w:spacing w:after="0"/>
            </w:pPr>
            <w:r>
              <w:rPr>
                <w:color w:val="111111"/>
                <w:sz w:val="16"/>
              </w:rPr>
              <w:t>Actions and stock posting</w:t>
            </w:r>
          </w:p>
        </w:tc>
        <w:tc>
          <w:tcPr>
            <w:tcW w:type="dxa" w:w="7776"/>
            <w:shd w:fill="F7F5F0"/>
            <w:tcMar>
              <w:top w:w="70" w:type="dxa"/>
              <w:start w:w="90" w:type="dxa"/>
              <w:bottom w:w="70" w:type="dxa"/>
              <w:end w:w="90" w:type="dxa"/>
            </w:tcMar>
          </w:tcPr>
          <w:p>
            <w:pPr>
              <w:spacing w:after="0"/>
            </w:pPr>
            <w:r>
              <w:rPr>
                <w:color w:val="111111"/>
                <w:sz w:val="16"/>
              </w:rPr>
              <w:t>app/modules/handover_custody_actions.php</w:t>
            </w:r>
          </w:p>
        </w:tc>
      </w:tr>
      <w:tr>
        <w:trPr>
          <w:cantSplit/>
        </w:trPr>
        <w:tc>
          <w:tcPr>
            <w:tcW w:type="dxa" w:w="2592"/>
            <w:shd w:fill="FFFFFF"/>
            <w:tcMar>
              <w:top w:w="70" w:type="dxa"/>
              <w:start w:w="90" w:type="dxa"/>
              <w:bottom w:w="70" w:type="dxa"/>
              <w:end w:w="90" w:type="dxa"/>
            </w:tcMar>
          </w:tcPr>
          <w:p>
            <w:pPr>
              <w:spacing w:after="0"/>
            </w:pPr>
            <w:r>
              <w:rPr>
                <w:color w:val="111111"/>
                <w:sz w:val="16"/>
              </w:rPr>
              <w:t>Schema</w:t>
            </w:r>
          </w:p>
        </w:tc>
        <w:tc>
          <w:tcPr>
            <w:tcW w:type="dxa" w:w="7776"/>
            <w:shd w:fill="FFFFFF"/>
            <w:tcMar>
              <w:top w:w="70" w:type="dxa"/>
              <w:start w:w="90" w:type="dxa"/>
              <w:bottom w:w="70" w:type="dxa"/>
              <w:end w:w="90" w:type="dxa"/>
            </w:tcMar>
          </w:tcPr>
          <w:p>
            <w:pPr>
              <w:spacing w:after="0"/>
            </w:pPr>
            <w:r>
              <w:rPr>
                <w:color w:val="111111"/>
                <w:sz w:val="16"/>
              </w:rPr>
              <w:t>app/maintenance/MaintenanceHandoverSchemas.php</w:t>
            </w:r>
          </w:p>
        </w:tc>
      </w:tr>
      <w:tr>
        <w:trPr>
          <w:cantSplit/>
        </w:trPr>
        <w:tc>
          <w:tcPr>
            <w:tcW w:type="dxa" w:w="2592"/>
            <w:shd w:fill="F7F5F0"/>
            <w:tcMar>
              <w:top w:w="70" w:type="dxa"/>
              <w:start w:w="90" w:type="dxa"/>
              <w:bottom w:w="70" w:type="dxa"/>
              <w:end w:w="90" w:type="dxa"/>
            </w:tcMar>
          </w:tcPr>
          <w:p>
            <w:pPr>
              <w:spacing w:after="0"/>
            </w:pPr>
            <w:r>
              <w:rPr>
                <w:color w:val="111111"/>
                <w:sz w:val="16"/>
              </w:rPr>
              <w:t>Routes</w:t>
            </w:r>
          </w:p>
        </w:tc>
        <w:tc>
          <w:tcPr>
            <w:tcW w:type="dxa" w:w="7776"/>
            <w:shd w:fill="F7F5F0"/>
            <w:tcMar>
              <w:top w:w="70" w:type="dxa"/>
              <w:start w:w="90" w:type="dxa"/>
              <w:bottom w:w="70" w:type="dxa"/>
              <w:end w:w="90" w:type="dxa"/>
            </w:tcMar>
          </w:tcPr>
          <w:p>
            <w:pPr>
              <w:spacing w:after="0"/>
            </w:pPr>
            <w:r>
              <w:rPr>
                <w:color w:val="111111"/>
                <w:sz w:val="16"/>
              </w:rPr>
              <w:t>/handovers/{id}/custody-returns/* and /handovers/custody/quarantine/*</w:t>
            </w:r>
          </w:p>
        </w:tc>
      </w:tr>
      <w:tr>
        <w:trPr>
          <w:cantSplit/>
        </w:trPr>
        <w:tc>
          <w:tcPr>
            <w:tcW w:type="dxa" w:w="2592"/>
            <w:shd w:fill="FFFFFF"/>
            <w:tcMar>
              <w:top w:w="70" w:type="dxa"/>
              <w:start w:w="90" w:type="dxa"/>
              <w:bottom w:w="70" w:type="dxa"/>
              <w:end w:w="90" w:type="dxa"/>
            </w:tcMar>
          </w:tcPr>
          <w:p>
            <w:pPr>
              <w:spacing w:after="0"/>
            </w:pPr>
            <w:r>
              <w:rPr>
                <w:color w:val="111111"/>
                <w:sz w:val="16"/>
              </w:rPr>
              <w:t>Regression coverage</w:t>
            </w:r>
          </w:p>
        </w:tc>
        <w:tc>
          <w:tcPr>
            <w:tcW w:type="dxa" w:w="7776"/>
            <w:shd w:fill="FFFFFF"/>
            <w:tcMar>
              <w:top w:w="70" w:type="dxa"/>
              <w:start w:w="90" w:type="dxa"/>
              <w:bottom w:w="70" w:type="dxa"/>
              <w:end w:w="90" w:type="dxa"/>
            </w:tcMar>
          </w:tcPr>
          <w:p>
            <w:pPr>
              <w:spacing w:after="0"/>
            </w:pPr>
            <w:r>
              <w:rPr>
                <w:color w:val="111111"/>
                <w:sz w:val="16"/>
              </w:rPr>
              <w:t>tests/full_regression.php long-term custody and quarantine cycle</w:t>
            </w:r>
          </w:p>
        </w:tc>
      </w:tr>
    </w:tbl>
    <w:p>
      <w:pPr>
        <w:spacing w:after="20"/>
      </w:pPr>
    </w:p>
    <w:p>
      <w:pPr>
        <w:pStyle w:val="Heading2"/>
        <w:keepNext/>
      </w:pPr>
      <w:r>
        <w:t>Temporary-Use Operational Reconciliation</w:t>
      </w:r>
    </w:p>
    <w:tbl>
      <w:tblPr>
        <w:tblStyle w:val="TableGrid"/>
        <w:tblW w:type="auto" w:w="0"/>
        <w:tblLayout w:type="fixed"/>
        <w:tblLook w:firstColumn="1" w:firstRow="1" w:lastColumn="0" w:lastRow="0" w:noHBand="0" w:noVBand="1" w:val="04A0"/>
      </w:tblPr>
      <w:tblGrid>
        <w:gridCol w:w="5040"/>
        <w:gridCol w:w="5040"/>
      </w:tblGrid>
      <w:tr>
        <w:trPr>
          <w:tblHeader/>
          <w:cantSplit/>
        </w:trPr>
        <w:tc>
          <w:tcPr>
            <w:tcW w:type="dxa" w:w="2520"/>
            <w:shd w:fill="EAB83F"/>
            <w:tcMar>
              <w:top w:w="70" w:type="dxa"/>
              <w:start w:w="90" w:type="dxa"/>
              <w:bottom w:w="70" w:type="dxa"/>
              <w:end w:w="90" w:type="dxa"/>
            </w:tcMar>
          </w:tcPr>
          <w:p>
            <w:pPr>
              <w:spacing w:after="0"/>
            </w:pPr>
            <w:r>
              <w:rPr>
                <w:b/>
                <w:color w:val="111111"/>
                <w:sz w:val="17"/>
              </w:rPr>
              <w:t>Control</w:t>
            </w:r>
          </w:p>
        </w:tc>
        <w:tc>
          <w:tcPr>
            <w:tcW w:type="dxa" w:w="7848"/>
            <w:shd w:fill="EAB83F"/>
            <w:tcMar>
              <w:top w:w="70" w:type="dxa"/>
              <w:start w:w="90" w:type="dxa"/>
              <w:bottom w:w="70" w:type="dxa"/>
              <w:end w:w="90" w:type="dxa"/>
            </w:tcMar>
          </w:tcPr>
          <w:p>
            <w:pPr>
              <w:spacing w:after="0"/>
            </w:pPr>
            <w:r>
              <w:rPr>
                <w:b/>
                <w:color w:val="111111"/>
                <w:sz w:val="17"/>
              </w:rPr>
              <w:t>Definition</w:t>
            </w:r>
          </w:p>
        </w:tc>
      </w:tr>
      <w:tr>
        <w:trPr>
          <w:cantSplit/>
        </w:trPr>
        <w:tc>
          <w:tcPr>
            <w:tcW w:type="dxa" w:w="2520"/>
            <w:shd w:fill="FFFFFF"/>
            <w:tcMar>
              <w:top w:w="70" w:type="dxa"/>
              <w:start w:w="90" w:type="dxa"/>
              <w:bottom w:w="70" w:type="dxa"/>
              <w:end w:w="90" w:type="dxa"/>
            </w:tcMar>
          </w:tcPr>
          <w:p>
            <w:pPr>
              <w:spacing w:after="0"/>
            </w:pPr>
            <w:r>
              <w:rPr>
                <w:color w:val="111111"/>
                <w:sz w:val="16"/>
              </w:rPr>
              <w:t>Physical Used</w:t>
            </w:r>
          </w:p>
        </w:tc>
        <w:tc>
          <w:tcPr>
            <w:tcW w:type="dxa" w:w="7848"/>
            <w:shd w:fill="FFFFFF"/>
            <w:tcMar>
              <w:top w:w="70" w:type="dxa"/>
              <w:start w:w="90" w:type="dxa"/>
              <w:bottom w:w="70" w:type="dxa"/>
              <w:end w:w="90" w:type="dxa"/>
            </w:tcMar>
          </w:tcPr>
          <w:p>
            <w:pPr>
              <w:spacing w:after="0"/>
            </w:pPr>
            <w:r>
              <w:rPr>
                <w:color w:val="111111"/>
                <w:sz w:val="16"/>
              </w:rPr>
              <w:t>Confirmed Received - Returned</w:t>
            </w:r>
          </w:p>
        </w:tc>
      </w:tr>
      <w:tr>
        <w:trPr>
          <w:cantSplit/>
        </w:trPr>
        <w:tc>
          <w:tcPr>
            <w:tcW w:type="dxa" w:w="2520"/>
            <w:shd w:fill="F7F5F0"/>
            <w:tcMar>
              <w:top w:w="70" w:type="dxa"/>
              <w:start w:w="90" w:type="dxa"/>
              <w:bottom w:w="70" w:type="dxa"/>
              <w:end w:w="90" w:type="dxa"/>
            </w:tcMar>
          </w:tcPr>
          <w:p>
            <w:pPr>
              <w:spacing w:after="0"/>
            </w:pPr>
            <w:r>
              <w:rPr>
                <w:color w:val="111111"/>
                <w:sz w:val="16"/>
              </w:rPr>
              <w:t>Operational Used</w:t>
            </w:r>
          </w:p>
        </w:tc>
        <w:tc>
          <w:tcPr>
            <w:tcW w:type="dxa" w:w="7848"/>
            <w:shd w:fill="F7F5F0"/>
            <w:tcMar>
              <w:top w:w="70" w:type="dxa"/>
              <w:start w:w="90" w:type="dxa"/>
              <w:bottom w:w="70" w:type="dxa"/>
              <w:end w:w="90" w:type="dxa"/>
            </w:tcMar>
          </w:tcPr>
          <w:p>
            <w:pPr>
              <w:spacing w:after="0"/>
            </w:pPr>
            <w:r>
              <w:rPr>
                <w:color w:val="111111"/>
                <w:sz w:val="16"/>
              </w:rPr>
              <w:t>Online - No Show + Walk-in + Event + Sport + Damage + Complimentary + Other</w:t>
            </w:r>
          </w:p>
        </w:tc>
      </w:tr>
      <w:tr>
        <w:trPr>
          <w:cantSplit/>
        </w:trPr>
        <w:tc>
          <w:tcPr>
            <w:tcW w:type="dxa" w:w="2520"/>
            <w:shd w:fill="FFFFFF"/>
            <w:tcMar>
              <w:top w:w="70" w:type="dxa"/>
              <w:start w:w="90" w:type="dxa"/>
              <w:bottom w:w="70" w:type="dxa"/>
              <w:end w:w="90" w:type="dxa"/>
            </w:tcMar>
          </w:tcPr>
          <w:p>
            <w:pPr>
              <w:spacing w:after="0"/>
            </w:pPr>
            <w:r>
              <w:rPr>
                <w:color w:val="111111"/>
                <w:sz w:val="16"/>
              </w:rPr>
              <w:t>Difference</w:t>
            </w:r>
          </w:p>
        </w:tc>
        <w:tc>
          <w:tcPr>
            <w:tcW w:type="dxa" w:w="7848"/>
            <w:shd w:fill="FFFFFF"/>
            <w:tcMar>
              <w:top w:w="70" w:type="dxa"/>
              <w:start w:w="90" w:type="dxa"/>
              <w:bottom w:w="70" w:type="dxa"/>
              <w:end w:w="90" w:type="dxa"/>
            </w:tcMar>
          </w:tcPr>
          <w:p>
            <w:pPr>
              <w:spacing w:after="0"/>
            </w:pPr>
            <w:r>
              <w:rPr>
                <w:color w:val="111111"/>
                <w:sz w:val="16"/>
              </w:rPr>
              <w:t>Physical Used - Operational Used</w:t>
            </w:r>
          </w:p>
        </w:tc>
      </w:tr>
      <w:tr>
        <w:trPr>
          <w:cantSplit/>
        </w:trPr>
        <w:tc>
          <w:tcPr>
            <w:tcW w:type="dxa" w:w="2520"/>
            <w:shd w:fill="F7F5F0"/>
            <w:tcMar>
              <w:top w:w="70" w:type="dxa"/>
              <w:start w:w="90" w:type="dxa"/>
              <w:bottom w:w="70" w:type="dxa"/>
              <w:end w:w="90" w:type="dxa"/>
            </w:tcMar>
          </w:tcPr>
          <w:p>
            <w:pPr>
              <w:spacing w:after="0"/>
            </w:pPr>
            <w:r>
              <w:rPr>
                <w:color w:val="111111"/>
                <w:sz w:val="16"/>
              </w:rPr>
              <w:t>Zero Difference</w:t>
            </w:r>
          </w:p>
        </w:tc>
        <w:tc>
          <w:tcPr>
            <w:tcW w:type="dxa" w:w="7848"/>
            <w:shd w:fill="F7F5F0"/>
            <w:tcMar>
              <w:top w:w="70" w:type="dxa"/>
              <w:start w:w="90" w:type="dxa"/>
              <w:bottom w:w="70" w:type="dxa"/>
              <w:end w:w="90" w:type="dxa"/>
            </w:tcMar>
          </w:tcPr>
          <w:p>
            <w:pPr>
              <w:spacing w:after="0"/>
            </w:pPr>
            <w:r>
              <w:rPr>
                <w:color w:val="111111"/>
                <w:sz w:val="16"/>
              </w:rPr>
              <w:t>Reconciled and eligible for normal issuer approval</w:t>
            </w:r>
          </w:p>
        </w:tc>
      </w:tr>
      <w:tr>
        <w:trPr>
          <w:cantSplit/>
        </w:trPr>
        <w:tc>
          <w:tcPr>
            <w:tcW w:type="dxa" w:w="2520"/>
            <w:shd w:fill="FFFFFF"/>
            <w:tcMar>
              <w:top w:w="70" w:type="dxa"/>
              <w:start w:w="90" w:type="dxa"/>
              <w:bottom w:w="70" w:type="dxa"/>
              <w:end w:w="90" w:type="dxa"/>
            </w:tcMar>
          </w:tcPr>
          <w:p>
            <w:pPr>
              <w:spacing w:after="0"/>
            </w:pPr>
            <w:r>
              <w:rPr>
                <w:color w:val="111111"/>
                <w:sz w:val="16"/>
              </w:rPr>
              <w:t>Positive Difference</w:t>
            </w:r>
          </w:p>
        </w:tc>
        <w:tc>
          <w:tcPr>
            <w:tcW w:type="dxa" w:w="7848"/>
            <w:shd w:fill="FFFFFF"/>
            <w:tcMar>
              <w:top w:w="70" w:type="dxa"/>
              <w:start w:w="90" w:type="dxa"/>
              <w:bottom w:w="70" w:type="dxa"/>
              <w:end w:w="90" w:type="dxa"/>
            </w:tcMar>
          </w:tcPr>
          <w:p>
            <w:pPr>
              <w:spacing w:after="0"/>
            </w:pPr>
            <w:r>
              <w:rPr>
                <w:color w:val="111111"/>
                <w:sz w:val="16"/>
              </w:rPr>
              <w:t>Requires receiver discrepancy note and audited issuer variance reason</w:t>
            </w:r>
          </w:p>
        </w:tc>
      </w:tr>
      <w:tr>
        <w:trPr>
          <w:cantSplit/>
        </w:trPr>
        <w:tc>
          <w:tcPr>
            <w:tcW w:type="dxa" w:w="2520"/>
            <w:shd w:fill="F7F5F0"/>
            <w:tcMar>
              <w:top w:w="70" w:type="dxa"/>
              <w:start w:w="90" w:type="dxa"/>
              <w:bottom w:w="70" w:type="dxa"/>
              <w:end w:w="90" w:type="dxa"/>
            </w:tcMar>
          </w:tcPr>
          <w:p>
            <w:pPr>
              <w:spacing w:after="0"/>
            </w:pPr>
            <w:r>
              <w:rPr>
                <w:color w:val="111111"/>
                <w:sz w:val="16"/>
              </w:rPr>
              <w:t>Negative Difference</w:t>
            </w:r>
          </w:p>
        </w:tc>
        <w:tc>
          <w:tcPr>
            <w:tcW w:type="dxa" w:w="7848"/>
            <w:shd w:fill="F7F5F0"/>
            <w:tcMar>
              <w:top w:w="70" w:type="dxa"/>
              <w:start w:w="90" w:type="dxa"/>
              <w:bottom w:w="70" w:type="dxa"/>
              <w:end w:w="90" w:type="dxa"/>
            </w:tcMar>
          </w:tcPr>
          <w:p>
            <w:pPr>
              <w:spacing w:after="0"/>
            </w:pPr>
            <w:r>
              <w:rPr>
                <w:color w:val="111111"/>
                <w:sz w:val="16"/>
              </w:rPr>
              <w:t>Blocked because reported operational activity exceeds physical stock</w:t>
            </w:r>
          </w:p>
        </w:tc>
      </w:tr>
    </w:tbl>
    <w:p>
      <w:pPr>
        <w:spacing w:after="20"/>
      </w:pPr>
    </w:p>
    <w:tbl>
      <w:tblPr>
        <w:tblStyle w:val="TableGrid"/>
        <w:tblW w:type="auto" w:w="0"/>
        <w:tblLayout w:type="fixed"/>
        <w:tblLook w:firstColumn="1" w:firstRow="1" w:lastColumn="0" w:lastRow="0" w:noHBand="0" w:noVBand="1" w:val="04A0"/>
      </w:tblPr>
      <w:tblGrid>
        <w:gridCol w:w="5040"/>
        <w:gridCol w:w="5040"/>
      </w:tblGrid>
      <w:tr>
        <w:trPr>
          <w:tblHeader/>
          <w:cantSplit/>
        </w:trPr>
        <w:tc>
          <w:tcPr>
            <w:tcW w:type="dxa" w:w="3528"/>
            <w:shd w:fill="EAB83F"/>
            <w:tcMar>
              <w:top w:w="70" w:type="dxa"/>
              <w:start w:w="90" w:type="dxa"/>
              <w:bottom w:w="70" w:type="dxa"/>
              <w:end w:w="90" w:type="dxa"/>
            </w:tcMar>
          </w:tcPr>
          <w:p>
            <w:pPr>
              <w:spacing w:after="0"/>
            </w:pPr>
            <w:r>
              <w:rPr>
                <w:b/>
                <w:color w:val="111111"/>
                <w:sz w:val="17"/>
              </w:rPr>
              <w:t>Storage object</w:t>
            </w:r>
          </w:p>
        </w:tc>
        <w:tc>
          <w:tcPr>
            <w:tcW w:type="dxa" w:w="6840"/>
            <w:shd w:fill="EAB83F"/>
            <w:tcMar>
              <w:top w:w="70" w:type="dxa"/>
              <w:start w:w="90" w:type="dxa"/>
              <w:bottom w:w="70" w:type="dxa"/>
              <w:end w:w="90" w:type="dxa"/>
            </w:tcMar>
          </w:tcPr>
          <w:p>
            <w:pPr>
              <w:spacing w:after="0"/>
            </w:pPr>
            <w:r>
              <w:rPr>
                <w:b/>
                <w:color w:val="111111"/>
                <w:sz w:val="17"/>
              </w:rPr>
              <w:t>Purpose</w:t>
            </w:r>
          </w:p>
        </w:tc>
      </w:tr>
      <w:tr>
        <w:trPr>
          <w:cantSplit/>
        </w:trPr>
        <w:tc>
          <w:tcPr>
            <w:tcW w:type="dxa" w:w="3528"/>
            <w:shd w:fill="FFFFFF"/>
            <w:tcMar>
              <w:top w:w="70" w:type="dxa"/>
              <w:start w:w="90" w:type="dxa"/>
              <w:bottom w:w="70" w:type="dxa"/>
              <w:end w:w="90" w:type="dxa"/>
            </w:tcMar>
          </w:tcPr>
          <w:p>
            <w:pPr>
              <w:spacing w:after="0"/>
            </w:pPr>
            <w:r>
              <w:rPr>
                <w:color w:val="111111"/>
                <w:sz w:val="16"/>
              </w:rPr>
              <w:t>handovers.usage_reporting_mode</w:t>
            </w:r>
          </w:p>
        </w:tc>
        <w:tc>
          <w:tcPr>
            <w:tcW w:type="dxa" w:w="6840"/>
            <w:shd w:fill="FFFFFF"/>
            <w:tcMar>
              <w:top w:w="70" w:type="dxa"/>
              <w:start w:w="90" w:type="dxa"/>
              <w:bottom w:w="70" w:type="dxa"/>
              <w:end w:w="90" w:type="dxa"/>
            </w:tcMar>
          </w:tcPr>
          <w:p>
            <w:pPr>
              <w:spacing w:after="0"/>
            </w:pPr>
            <w:r>
              <w:rPr>
                <w:color w:val="111111"/>
                <w:sz w:val="16"/>
              </w:rPr>
              <w:t>operational_summary for new staff handovers; legacy_per_item for historical records</w:t>
            </w:r>
          </w:p>
        </w:tc>
      </w:tr>
      <w:tr>
        <w:trPr>
          <w:cantSplit/>
        </w:trPr>
        <w:tc>
          <w:tcPr>
            <w:tcW w:type="dxa" w:w="3528"/>
            <w:shd w:fill="F7F5F0"/>
            <w:tcMar>
              <w:top w:w="70" w:type="dxa"/>
              <w:start w:w="90" w:type="dxa"/>
              <w:bottom w:w="70" w:type="dxa"/>
              <w:end w:w="90" w:type="dxa"/>
            </w:tcMar>
          </w:tcPr>
          <w:p>
            <w:pPr>
              <w:spacing w:after="0"/>
            </w:pPr>
            <w:r>
              <w:rPr>
                <w:color w:val="111111"/>
                <w:sz w:val="16"/>
              </w:rPr>
              <w:t>handover_reconciliations</w:t>
            </w:r>
          </w:p>
        </w:tc>
        <w:tc>
          <w:tcPr>
            <w:tcW w:type="dxa" w:w="6840"/>
            <w:shd w:fill="F7F5F0"/>
            <w:tcMar>
              <w:top w:w="70" w:type="dxa"/>
              <w:start w:w="90" w:type="dxa"/>
              <w:bottom w:w="70" w:type="dxa"/>
              <w:end w:w="90" w:type="dxa"/>
            </w:tcMar>
          </w:tcPr>
          <w:p>
            <w:pPr>
              <w:spacing w:after="0"/>
            </w:pPr>
            <w:r>
              <w:rPr>
                <w:color w:val="111111"/>
                <w:sz w:val="16"/>
              </w:rPr>
              <w:t>Submitted and approved totals, Difference, notes, users, and timestamps per handover/unit</w:t>
            </w:r>
          </w:p>
        </w:tc>
      </w:tr>
      <w:tr>
        <w:trPr>
          <w:cantSplit/>
        </w:trPr>
        <w:tc>
          <w:tcPr>
            <w:tcW w:type="dxa" w:w="3528"/>
            <w:shd w:fill="FFFFFF"/>
            <w:tcMar>
              <w:top w:w="70" w:type="dxa"/>
              <w:start w:w="90" w:type="dxa"/>
              <w:bottom w:w="70" w:type="dxa"/>
              <w:end w:w="90" w:type="dxa"/>
            </w:tcMar>
          </w:tcPr>
          <w:p>
            <w:pPr>
              <w:spacing w:after="0"/>
            </w:pPr>
            <w:r>
              <w:rPr>
                <w:color w:val="111111"/>
                <w:sz w:val="16"/>
              </w:rPr>
              <w:t>handover_reconciliation_entries</w:t>
            </w:r>
          </w:p>
        </w:tc>
        <w:tc>
          <w:tcPr>
            <w:tcW w:type="dxa" w:w="6840"/>
            <w:shd w:fill="FFFFFF"/>
            <w:tcMar>
              <w:top w:w="70" w:type="dxa"/>
              <w:start w:w="90" w:type="dxa"/>
              <w:bottom w:w="70" w:type="dxa"/>
              <w:end w:w="90" w:type="dxa"/>
            </w:tcMar>
          </w:tcPr>
          <w:p>
            <w:pPr>
              <w:spacing w:after="0"/>
            </w:pPr>
            <w:r>
              <w:rPr>
                <w:color w:val="111111"/>
                <w:sz w:val="16"/>
              </w:rPr>
              <w:t>Operational reason quantities linked to the reconciliation header</w:t>
            </w:r>
          </w:p>
        </w:tc>
      </w:tr>
    </w:tbl>
    <w:p>
      <w:pPr>
        <w:spacing w:after="20"/>
      </w:pPr>
    </w:p>
    <w:p>
      <w:pPr>
        <w:spacing w:after="100" w:line="252" w:lineRule="auto"/>
      </w:pPr>
      <w:r>
        <w:t>Operational reasons describe the handover as a whole. Never fabricate a reason allocation for individual SKUs. Exact item usage remains derived from handover lines and immutable inventory movements.</w:t>
      </w:r>
    </w:p>
    <w:p>
      <w:r>
        <w:br w:type="page"/>
      </w:r>
    </w:p>
    <w:p>
      <w:pPr>
        <w:pStyle w:val="Heading1"/>
        <w:keepNext/>
      </w:pPr>
      <w:r>
        <w:t>19. Long-Term Staff Custody And Damaged Returns</w:t>
      </w:r>
    </w:p>
    <w:tbl>
      <w:tblPr>
        <w:tblW w:type="auto" w:w="0"/>
        <w:tblLayout w:type="fixed"/>
        <w:tblLook w:firstColumn="1" w:firstRow="1" w:lastColumn="0" w:lastRow="0" w:noHBand="0" w:noVBand="1" w:val="04A0"/>
      </w:tblPr>
      <w:tblGrid>
        <w:gridCol w:w="10080"/>
      </w:tblGrid>
      <w:tr>
        <w:tc>
          <w:tcPr>
            <w:tcW w:type="dxa" w:w="10080"/>
            <w:shd w:fill="FFF6DB"/>
            <w:tcMar>
              <w:top w:w="120" w:type="dxa"/>
              <w:start w:w="140" w:type="dxa"/>
              <w:bottom w:w="120" w:type="dxa"/>
              <w:end w:w="140" w:type="dxa"/>
            </w:tcMar>
          </w:tcPr>
          <w:p>
            <w:pPr>
              <w:spacing w:after="40"/>
            </w:pPr>
            <w:r>
              <w:rPr>
                <w:b/>
                <w:color w:val="111111"/>
              </w:rPr>
              <w:t>Use inventory custody, not Assets</w:t>
              <w:br/>
            </w:r>
            <w:r>
              <w:rPr>
                <w:color w:val="6C6C6C"/>
              </w:rPr>
              <w:t>Interchangeable brooms, uniforms, cleaning tools, wristbands, and similar items remain inventory. The custody handover explains who is holding the quantity for weeks or months. Assets remain reserved for individually serialized property such as laptops, radios, cameras, printers, and machines.</w:t>
            </w:r>
          </w:p>
        </w:tc>
      </w:tr>
    </w:tbl>
    <w:p>
      <w:pPr>
        <w:spacing w:after="20"/>
      </w:pPr>
    </w:p>
    <w:tbl>
      <w:tblPr>
        <w:tblStyle w:val="TableGrid"/>
        <w:tblW w:type="auto" w:w="0"/>
        <w:tblLayout w:type="fixed"/>
        <w:tblLook w:firstColumn="1" w:firstRow="1" w:lastColumn="0" w:lastRow="0" w:noHBand="0" w:noVBand="1" w:val="04A0"/>
      </w:tblPr>
      <w:tblGrid>
        <w:gridCol w:w="2520"/>
        <w:gridCol w:w="2520"/>
        <w:gridCol w:w="2520"/>
        <w:gridCol w:w="2520"/>
      </w:tblGrid>
      <w:tr>
        <w:trPr>
          <w:tblHeader/>
          <w:cantSplit/>
        </w:trPr>
        <w:tc>
          <w:tcPr>
            <w:tcW w:type="dxa" w:w="1152"/>
            <w:shd w:fill="EAB83F"/>
            <w:tcMar>
              <w:top w:w="70" w:type="dxa"/>
              <w:start w:w="90" w:type="dxa"/>
              <w:bottom w:w="70" w:type="dxa"/>
              <w:end w:w="90" w:type="dxa"/>
            </w:tcMar>
          </w:tcPr>
          <w:p>
            <w:pPr>
              <w:spacing w:after="0"/>
            </w:pPr>
            <w:r>
              <w:rPr>
                <w:b/>
                <w:color w:val="111111"/>
                <w:sz w:val="17"/>
              </w:rPr>
              <w:t>Step</w:t>
            </w:r>
          </w:p>
        </w:tc>
        <w:tc>
          <w:tcPr>
            <w:tcW w:type="dxa" w:w="1512"/>
            <w:shd w:fill="EAB83F"/>
            <w:tcMar>
              <w:top w:w="70" w:type="dxa"/>
              <w:start w:w="90" w:type="dxa"/>
              <w:bottom w:w="70" w:type="dxa"/>
              <w:end w:w="90" w:type="dxa"/>
            </w:tcMar>
          </w:tcPr>
          <w:p>
            <w:pPr>
              <w:spacing w:after="0"/>
            </w:pPr>
            <w:r>
              <w:rPr>
                <w:b/>
                <w:color w:val="111111"/>
                <w:sz w:val="17"/>
              </w:rPr>
              <w:t>Actor</w:t>
            </w:r>
          </w:p>
        </w:tc>
        <w:tc>
          <w:tcPr>
            <w:tcW w:type="dxa" w:w="4608"/>
            <w:shd w:fill="EAB83F"/>
            <w:tcMar>
              <w:top w:w="70" w:type="dxa"/>
              <w:start w:w="90" w:type="dxa"/>
              <w:bottom w:w="70" w:type="dxa"/>
              <w:end w:w="90" w:type="dxa"/>
            </w:tcMar>
          </w:tcPr>
          <w:p>
            <w:pPr>
              <w:spacing w:after="0"/>
            </w:pPr>
            <w:r>
              <w:rPr>
                <w:b/>
                <w:color w:val="111111"/>
                <w:sz w:val="17"/>
              </w:rPr>
              <w:t>Control</w:t>
            </w:r>
          </w:p>
        </w:tc>
        <w:tc>
          <w:tcPr>
            <w:tcW w:type="dxa" w:w="3096"/>
            <w:shd w:fill="EAB83F"/>
            <w:tcMar>
              <w:top w:w="70" w:type="dxa"/>
              <w:start w:w="90" w:type="dxa"/>
              <w:bottom w:w="70" w:type="dxa"/>
              <w:end w:w="90" w:type="dxa"/>
            </w:tcMar>
          </w:tcPr>
          <w:p>
            <w:pPr>
              <w:spacing w:after="0"/>
            </w:pPr>
            <w:r>
              <w:rPr>
                <w:b/>
                <w:color w:val="111111"/>
                <w:sz w:val="17"/>
              </w:rPr>
              <w:t>Stock result</w:t>
            </w:r>
          </w:p>
        </w:tc>
      </w:tr>
      <w:tr>
        <w:trPr>
          <w:cantSplit/>
        </w:trPr>
        <w:tc>
          <w:tcPr>
            <w:tcW w:type="dxa" w:w="1152"/>
            <w:shd w:fill="FFFFFF"/>
            <w:tcMar>
              <w:top w:w="70" w:type="dxa"/>
              <w:start w:w="90" w:type="dxa"/>
              <w:bottom w:w="70" w:type="dxa"/>
              <w:end w:w="90" w:type="dxa"/>
            </w:tcMar>
          </w:tcPr>
          <w:p>
            <w:pPr>
              <w:spacing w:after="0"/>
            </w:pPr>
            <w:r>
              <w:rPr>
                <w:color w:val="111111"/>
                <w:sz w:val="16"/>
              </w:rPr>
              <w:t>1. Issue</w:t>
            </w:r>
          </w:p>
        </w:tc>
        <w:tc>
          <w:tcPr>
            <w:tcW w:type="dxa" w:w="1512"/>
            <w:shd w:fill="FFFFFF"/>
            <w:tcMar>
              <w:top w:w="70" w:type="dxa"/>
              <w:start w:w="90" w:type="dxa"/>
              <w:bottom w:w="70" w:type="dxa"/>
              <w:end w:w="90" w:type="dxa"/>
            </w:tcMar>
          </w:tcPr>
          <w:p>
            <w:pPr>
              <w:spacing w:after="0"/>
            </w:pPr>
            <w:r>
              <w:rPr>
                <w:color w:val="111111"/>
                <w:sz w:val="16"/>
              </w:rPr>
              <w:t>Source issuer</w:t>
            </w:r>
          </w:p>
        </w:tc>
        <w:tc>
          <w:tcPr>
            <w:tcW w:type="dxa" w:w="4608"/>
            <w:shd w:fill="FFFFFF"/>
            <w:tcMar>
              <w:top w:w="70" w:type="dxa"/>
              <w:start w:w="90" w:type="dxa"/>
              <w:bottom w:w="70" w:type="dxa"/>
              <w:end w:w="90" w:type="dxa"/>
            </w:tcMar>
          </w:tcPr>
          <w:p>
            <w:pPr>
              <w:spacing w:after="0"/>
            </w:pPr>
            <w:r>
              <w:rPr>
                <w:color w:val="111111"/>
                <w:sz w:val="16"/>
              </w:rPr>
              <w:t>Choose Long-Term Staff Custody, staff, item quantities, condition, and review date.</w:t>
            </w:r>
          </w:p>
        </w:tc>
        <w:tc>
          <w:tcPr>
            <w:tcW w:type="dxa" w:w="3096"/>
            <w:shd w:fill="FFFFFF"/>
            <w:tcMar>
              <w:top w:w="70" w:type="dxa"/>
              <w:start w:w="90" w:type="dxa"/>
              <w:bottom w:w="70" w:type="dxa"/>
              <w:end w:w="90" w:type="dxa"/>
            </w:tcMar>
          </w:tcPr>
          <w:p>
            <w:pPr>
              <w:spacing w:after="0"/>
            </w:pPr>
            <w:r>
              <w:rPr>
                <w:color w:val="111111"/>
                <w:sz w:val="16"/>
              </w:rPr>
              <w:t>Source stock moves to the system handover buffer.</w:t>
            </w:r>
          </w:p>
        </w:tc>
      </w:tr>
      <w:tr>
        <w:trPr>
          <w:cantSplit/>
        </w:trPr>
        <w:tc>
          <w:tcPr>
            <w:tcW w:type="dxa" w:w="1152"/>
            <w:shd w:fill="F7F5F0"/>
            <w:tcMar>
              <w:top w:w="70" w:type="dxa"/>
              <w:start w:w="90" w:type="dxa"/>
              <w:bottom w:w="70" w:type="dxa"/>
              <w:end w:w="90" w:type="dxa"/>
            </w:tcMar>
          </w:tcPr>
          <w:p>
            <w:pPr>
              <w:spacing w:after="0"/>
            </w:pPr>
            <w:r>
              <w:rPr>
                <w:color w:val="111111"/>
                <w:sz w:val="16"/>
              </w:rPr>
              <w:t>2. Confirm receipt</w:t>
            </w:r>
          </w:p>
        </w:tc>
        <w:tc>
          <w:tcPr>
            <w:tcW w:type="dxa" w:w="1512"/>
            <w:shd w:fill="F7F5F0"/>
            <w:tcMar>
              <w:top w:w="70" w:type="dxa"/>
              <w:start w:w="90" w:type="dxa"/>
              <w:bottom w:w="70" w:type="dxa"/>
              <w:end w:w="90" w:type="dxa"/>
            </w:tcMar>
          </w:tcPr>
          <w:p>
            <w:pPr>
              <w:spacing w:after="0"/>
            </w:pPr>
            <w:r>
              <w:rPr>
                <w:color w:val="111111"/>
                <w:sz w:val="16"/>
              </w:rPr>
              <w:t>Staff recipient</w:t>
            </w:r>
          </w:p>
        </w:tc>
        <w:tc>
          <w:tcPr>
            <w:tcW w:type="dxa" w:w="4608"/>
            <w:shd w:fill="F7F5F0"/>
            <w:tcMar>
              <w:top w:w="70" w:type="dxa"/>
              <w:start w:w="90" w:type="dxa"/>
              <w:bottom w:w="70" w:type="dxa"/>
              <w:end w:w="90" w:type="dxa"/>
            </w:tcMar>
          </w:tcPr>
          <w:p>
            <w:pPr>
              <w:spacing w:after="0"/>
            </w:pPr>
            <w:r>
              <w:rPr>
                <w:color w:val="111111"/>
                <w:sz w:val="16"/>
              </w:rPr>
              <w:t>Report the exact quantities received.</w:t>
            </w:r>
          </w:p>
        </w:tc>
        <w:tc>
          <w:tcPr>
            <w:tcW w:type="dxa" w:w="3096"/>
            <w:shd w:fill="F7F5F0"/>
            <w:tcMar>
              <w:top w:w="70" w:type="dxa"/>
              <w:start w:w="90" w:type="dxa"/>
              <w:bottom w:w="70" w:type="dxa"/>
              <w:end w:w="90" w:type="dxa"/>
            </w:tcMar>
          </w:tcPr>
          <w:p>
            <w:pPr>
              <w:spacing w:after="0"/>
            </w:pPr>
            <w:r>
              <w:rPr>
                <w:color w:val="111111"/>
                <w:sz w:val="16"/>
              </w:rPr>
              <w:t>Confirmed quantity remains reserved to that employee.</w:t>
            </w:r>
          </w:p>
        </w:tc>
      </w:tr>
      <w:tr>
        <w:trPr>
          <w:cantSplit/>
        </w:trPr>
        <w:tc>
          <w:tcPr>
            <w:tcW w:type="dxa" w:w="1152"/>
            <w:shd w:fill="FFFFFF"/>
            <w:tcMar>
              <w:top w:w="70" w:type="dxa"/>
              <w:start w:w="90" w:type="dxa"/>
              <w:bottom w:w="70" w:type="dxa"/>
              <w:end w:w="90" w:type="dxa"/>
            </w:tcMar>
          </w:tcPr>
          <w:p>
            <w:pPr>
              <w:spacing w:after="0"/>
            </w:pPr>
            <w:r>
              <w:rPr>
                <w:color w:val="111111"/>
                <w:sz w:val="16"/>
              </w:rPr>
              <w:t>3. Hold and use</w:t>
            </w:r>
          </w:p>
        </w:tc>
        <w:tc>
          <w:tcPr>
            <w:tcW w:type="dxa" w:w="1512"/>
            <w:shd w:fill="FFFFFF"/>
            <w:tcMar>
              <w:top w:w="70" w:type="dxa"/>
              <w:start w:w="90" w:type="dxa"/>
              <w:bottom w:w="70" w:type="dxa"/>
              <w:end w:w="90" w:type="dxa"/>
            </w:tcMar>
          </w:tcPr>
          <w:p>
            <w:pPr>
              <w:spacing w:after="0"/>
            </w:pPr>
            <w:r>
              <w:rPr>
                <w:color w:val="111111"/>
                <w:sz w:val="16"/>
              </w:rPr>
              <w:t>Staff recipient</w:t>
            </w:r>
          </w:p>
        </w:tc>
        <w:tc>
          <w:tcPr>
            <w:tcW w:type="dxa" w:w="4608"/>
            <w:shd w:fill="FFFFFF"/>
            <w:tcMar>
              <w:top w:w="70" w:type="dxa"/>
              <w:start w:w="90" w:type="dxa"/>
              <w:bottom w:w="70" w:type="dxa"/>
              <w:end w:w="90" w:type="dxa"/>
            </w:tcMar>
          </w:tcPr>
          <w:p>
            <w:pPr>
              <w:spacing w:after="0"/>
            </w:pPr>
            <w:r>
              <w:rPr>
                <w:color w:val="111111"/>
                <w:sz w:val="16"/>
              </w:rPr>
              <w:t>Custody stays active for the actual holding period.</w:t>
            </w:r>
          </w:p>
        </w:tc>
        <w:tc>
          <w:tcPr>
            <w:tcW w:type="dxa" w:w="3096"/>
            <w:shd w:fill="FFFFFF"/>
            <w:tcMar>
              <w:top w:w="70" w:type="dxa"/>
              <w:start w:w="90" w:type="dxa"/>
              <w:bottom w:w="70" w:type="dxa"/>
              <w:end w:w="90" w:type="dxa"/>
            </w:tcMar>
          </w:tcPr>
          <w:p>
            <w:pPr>
              <w:spacing w:after="0"/>
            </w:pPr>
            <w:r>
              <w:rPr>
                <w:color w:val="111111"/>
                <w:sz w:val="16"/>
              </w:rPr>
              <w:t>Still-held quantity remains outside active-storage availability.</w:t>
            </w:r>
          </w:p>
        </w:tc>
      </w:tr>
      <w:tr>
        <w:trPr>
          <w:cantSplit/>
        </w:trPr>
        <w:tc>
          <w:tcPr>
            <w:tcW w:type="dxa" w:w="1152"/>
            <w:shd w:fill="F7F5F0"/>
            <w:tcMar>
              <w:top w:w="70" w:type="dxa"/>
              <w:start w:w="90" w:type="dxa"/>
              <w:bottom w:w="70" w:type="dxa"/>
              <w:end w:w="90" w:type="dxa"/>
            </w:tcMar>
          </w:tcPr>
          <w:p>
            <w:pPr>
              <w:spacing w:after="0"/>
            </w:pPr>
            <w:r>
              <w:rPr>
                <w:color w:val="111111"/>
                <w:sz w:val="16"/>
              </w:rPr>
              <w:t>4. Return event</w:t>
            </w:r>
          </w:p>
        </w:tc>
        <w:tc>
          <w:tcPr>
            <w:tcW w:type="dxa" w:w="1512"/>
            <w:shd w:fill="F7F5F0"/>
            <w:tcMar>
              <w:top w:w="70" w:type="dxa"/>
              <w:start w:w="90" w:type="dxa"/>
              <w:bottom w:w="70" w:type="dxa"/>
              <w:end w:w="90" w:type="dxa"/>
            </w:tcMar>
          </w:tcPr>
          <w:p>
            <w:pPr>
              <w:spacing w:after="0"/>
            </w:pPr>
            <w:r>
              <w:rPr>
                <w:color w:val="111111"/>
                <w:sz w:val="16"/>
              </w:rPr>
              <w:t>Staff recipient</w:t>
            </w:r>
          </w:p>
        </w:tc>
        <w:tc>
          <w:tcPr>
            <w:tcW w:type="dxa" w:w="4608"/>
            <w:shd w:fill="F7F5F0"/>
            <w:tcMar>
              <w:top w:w="70" w:type="dxa"/>
              <w:start w:w="90" w:type="dxa"/>
              <w:bottom w:w="70" w:type="dxa"/>
              <w:end w:w="90" w:type="dxa"/>
            </w:tcMar>
          </w:tcPr>
          <w:p>
            <w:pPr>
              <w:spacing w:after="0"/>
            </w:pPr>
            <w:r>
              <w:rPr>
                <w:color w:val="111111"/>
                <w:sz w:val="16"/>
              </w:rPr>
              <w:t>Submit one or more partial returns and classify each outcome.</w:t>
            </w:r>
          </w:p>
        </w:tc>
        <w:tc>
          <w:tcPr>
            <w:tcW w:type="dxa" w:w="3096"/>
            <w:shd w:fill="F7F5F0"/>
            <w:tcMar>
              <w:top w:w="70" w:type="dxa"/>
              <w:start w:w="90" w:type="dxa"/>
              <w:bottom w:w="70" w:type="dxa"/>
              <w:end w:w="90" w:type="dxa"/>
            </w:tcMar>
          </w:tcPr>
          <w:p>
            <w:pPr>
              <w:spacing w:after="0"/>
            </w:pPr>
            <w:r>
              <w:rPr>
                <w:color w:val="111111"/>
                <w:sz w:val="16"/>
              </w:rPr>
              <w:t>No stock changes until issuer review.</w:t>
            </w:r>
          </w:p>
        </w:tc>
      </w:tr>
      <w:tr>
        <w:trPr>
          <w:cantSplit/>
        </w:trPr>
        <w:tc>
          <w:tcPr>
            <w:tcW w:type="dxa" w:w="1152"/>
            <w:shd w:fill="FFFFFF"/>
            <w:tcMar>
              <w:top w:w="70" w:type="dxa"/>
              <w:start w:w="90" w:type="dxa"/>
              <w:bottom w:w="70" w:type="dxa"/>
              <w:end w:w="90" w:type="dxa"/>
            </w:tcMar>
          </w:tcPr>
          <w:p>
            <w:pPr>
              <w:spacing w:after="0"/>
            </w:pPr>
            <w:r>
              <w:rPr>
                <w:color w:val="111111"/>
                <w:sz w:val="16"/>
              </w:rPr>
              <w:t>5. Review</w:t>
            </w:r>
          </w:p>
        </w:tc>
        <w:tc>
          <w:tcPr>
            <w:tcW w:type="dxa" w:w="1512"/>
            <w:shd w:fill="FFFFFF"/>
            <w:tcMar>
              <w:top w:w="70" w:type="dxa"/>
              <w:start w:w="90" w:type="dxa"/>
              <w:bottom w:w="70" w:type="dxa"/>
              <w:end w:w="90" w:type="dxa"/>
            </w:tcMar>
          </w:tcPr>
          <w:p>
            <w:pPr>
              <w:spacing w:after="0"/>
            </w:pPr>
            <w:r>
              <w:rPr>
                <w:color w:val="111111"/>
                <w:sz w:val="16"/>
              </w:rPr>
              <w:t>Source issuer</w:t>
            </w:r>
          </w:p>
        </w:tc>
        <w:tc>
          <w:tcPr>
            <w:tcW w:type="dxa" w:w="4608"/>
            <w:shd w:fill="FFFFFF"/>
            <w:tcMar>
              <w:top w:w="70" w:type="dxa"/>
              <w:start w:w="90" w:type="dxa"/>
              <w:bottom w:w="70" w:type="dxa"/>
              <w:end w:w="90" w:type="dxa"/>
            </w:tcMar>
          </w:tcPr>
          <w:p>
            <w:pPr>
              <w:spacing w:after="0"/>
            </w:pPr>
            <w:r>
              <w:rPr>
                <w:color w:val="111111"/>
                <w:sz w:val="16"/>
              </w:rPr>
              <w:t>Approve or reject quantities, explanations, and protected proof images.</w:t>
            </w:r>
          </w:p>
        </w:tc>
        <w:tc>
          <w:tcPr>
            <w:tcW w:type="dxa" w:w="3096"/>
            <w:shd w:fill="FFFFFF"/>
            <w:tcMar>
              <w:top w:w="70" w:type="dxa"/>
              <w:start w:w="90" w:type="dxa"/>
              <w:bottom w:w="70" w:type="dxa"/>
              <w:end w:w="90" w:type="dxa"/>
            </w:tcMar>
          </w:tcPr>
          <w:p>
            <w:pPr>
              <w:spacing w:after="0"/>
            </w:pPr>
            <w:r>
              <w:rPr>
                <w:color w:val="111111"/>
                <w:sz w:val="16"/>
              </w:rPr>
              <w:t>Rejected returns remain editable and do not move stock.</w:t>
            </w:r>
          </w:p>
        </w:tc>
      </w:tr>
      <w:tr>
        <w:trPr>
          <w:cantSplit/>
        </w:trPr>
        <w:tc>
          <w:tcPr>
            <w:tcW w:type="dxa" w:w="1152"/>
            <w:shd w:fill="F7F5F0"/>
            <w:tcMar>
              <w:top w:w="70" w:type="dxa"/>
              <w:start w:w="90" w:type="dxa"/>
              <w:bottom w:w="70" w:type="dxa"/>
              <w:end w:w="90" w:type="dxa"/>
            </w:tcMar>
          </w:tcPr>
          <w:p>
            <w:pPr>
              <w:spacing w:after="0"/>
            </w:pPr>
            <w:r>
              <w:rPr>
                <w:color w:val="111111"/>
                <w:sz w:val="16"/>
              </w:rPr>
              <w:t>6. Post outcome</w:t>
            </w:r>
          </w:p>
        </w:tc>
        <w:tc>
          <w:tcPr>
            <w:tcW w:type="dxa" w:w="1512"/>
            <w:shd w:fill="F7F5F0"/>
            <w:tcMar>
              <w:top w:w="70" w:type="dxa"/>
              <w:start w:w="90" w:type="dxa"/>
              <w:bottom w:w="70" w:type="dxa"/>
              <w:end w:w="90" w:type="dxa"/>
            </w:tcMar>
          </w:tcPr>
          <w:p>
            <w:pPr>
              <w:spacing w:after="0"/>
            </w:pPr>
            <w:r>
              <w:rPr>
                <w:color w:val="111111"/>
                <w:sz w:val="16"/>
              </w:rPr>
              <w:t>System</w:t>
            </w:r>
          </w:p>
        </w:tc>
        <w:tc>
          <w:tcPr>
            <w:tcW w:type="dxa" w:w="4608"/>
            <w:shd w:fill="F7F5F0"/>
            <w:tcMar>
              <w:top w:w="70" w:type="dxa"/>
              <w:start w:w="90" w:type="dxa"/>
              <w:bottom w:w="70" w:type="dxa"/>
              <w:end w:w="90" w:type="dxa"/>
            </w:tcMar>
          </w:tcPr>
          <w:p>
            <w:pPr>
              <w:spacing w:after="0"/>
            </w:pPr>
            <w:r>
              <w:rPr>
                <w:color w:val="111111"/>
                <w:sz w:val="16"/>
              </w:rPr>
              <w:t>Post only the issuer-approved classification.</w:t>
            </w:r>
          </w:p>
        </w:tc>
        <w:tc>
          <w:tcPr>
            <w:tcW w:type="dxa" w:w="3096"/>
            <w:shd w:fill="F7F5F0"/>
            <w:tcMar>
              <w:top w:w="70" w:type="dxa"/>
              <w:start w:w="90" w:type="dxa"/>
              <w:bottom w:w="70" w:type="dxa"/>
              <w:end w:w="90" w:type="dxa"/>
            </w:tcMar>
          </w:tcPr>
          <w:p>
            <w:pPr>
              <w:spacing w:after="0"/>
            </w:pPr>
            <w:r>
              <w:rPr>
                <w:color w:val="111111"/>
                <w:sz w:val="16"/>
              </w:rPr>
              <w:t>Serviceable returns, quarantine transfers, and write-offs are auditable.</w:t>
            </w:r>
          </w:p>
        </w:tc>
      </w:tr>
      <w:tr>
        <w:trPr>
          <w:cantSplit/>
        </w:trPr>
        <w:tc>
          <w:tcPr>
            <w:tcW w:type="dxa" w:w="1152"/>
            <w:shd w:fill="FFFFFF"/>
            <w:tcMar>
              <w:top w:w="70" w:type="dxa"/>
              <w:start w:w="90" w:type="dxa"/>
              <w:bottom w:w="70" w:type="dxa"/>
              <w:end w:w="90" w:type="dxa"/>
            </w:tcMar>
          </w:tcPr>
          <w:p>
            <w:pPr>
              <w:spacing w:after="0"/>
            </w:pPr>
            <w:r>
              <w:rPr>
                <w:color w:val="111111"/>
                <w:sz w:val="16"/>
              </w:rPr>
              <w:t>7. Close</w:t>
            </w:r>
          </w:p>
        </w:tc>
        <w:tc>
          <w:tcPr>
            <w:tcW w:type="dxa" w:w="1512"/>
            <w:shd w:fill="FFFFFF"/>
            <w:tcMar>
              <w:top w:w="70" w:type="dxa"/>
              <w:start w:w="90" w:type="dxa"/>
              <w:bottom w:w="70" w:type="dxa"/>
              <w:end w:w="90" w:type="dxa"/>
            </w:tcMar>
          </w:tcPr>
          <w:p>
            <w:pPr>
              <w:spacing w:after="0"/>
            </w:pPr>
            <w:r>
              <w:rPr>
                <w:color w:val="111111"/>
                <w:sz w:val="16"/>
              </w:rPr>
              <w:t>System</w:t>
            </w:r>
          </w:p>
        </w:tc>
        <w:tc>
          <w:tcPr>
            <w:tcW w:type="dxa" w:w="4608"/>
            <w:shd w:fill="FFFFFF"/>
            <w:tcMar>
              <w:top w:w="70" w:type="dxa"/>
              <w:start w:w="90" w:type="dxa"/>
              <w:bottom w:w="70" w:type="dxa"/>
              <w:end w:w="90" w:type="dxa"/>
            </w:tcMar>
          </w:tcPr>
          <w:p>
            <w:pPr>
              <w:spacing w:after="0"/>
            </w:pPr>
            <w:r>
              <w:rPr>
                <w:color w:val="111111"/>
                <w:sz w:val="16"/>
              </w:rPr>
              <w:t>Close only when no quantity remains held.</w:t>
            </w:r>
          </w:p>
        </w:tc>
        <w:tc>
          <w:tcPr>
            <w:tcW w:type="dxa" w:w="3096"/>
            <w:shd w:fill="FFFFFF"/>
            <w:tcMar>
              <w:top w:w="70" w:type="dxa"/>
              <w:start w:w="90" w:type="dxa"/>
              <w:bottom w:w="70" w:type="dxa"/>
              <w:end w:w="90" w:type="dxa"/>
            </w:tcMar>
          </w:tcPr>
          <w:p>
            <w:pPr>
              <w:spacing w:after="0"/>
            </w:pPr>
            <w:r>
              <w:rPr>
                <w:color w:val="111111"/>
                <w:sz w:val="16"/>
              </w:rPr>
              <w:t>Partial returns keep the custody handover active.</w:t>
            </w:r>
          </w:p>
        </w:tc>
      </w:tr>
    </w:tbl>
    <w:p>
      <w:pPr>
        <w:spacing w:after="20"/>
      </w:pPr>
    </w:p>
    <w:p>
      <w:pPr>
        <w:pStyle w:val="Heading2"/>
        <w:keepNext/>
      </w:pPr>
      <w:r>
        <w:t>Approved return outcomes</w:t>
      </w:r>
    </w:p>
    <w:tbl>
      <w:tblPr>
        <w:tblStyle w:val="TableGrid"/>
        <w:tblW w:type="auto" w:w="0"/>
        <w:tblLayout w:type="fixed"/>
        <w:tblLook w:firstColumn="1" w:firstRow="1" w:lastColumn="0" w:lastRow="0" w:noHBand="0" w:noVBand="1" w:val="04A0"/>
      </w:tblPr>
      <w:tblGrid>
        <w:gridCol w:w="3360"/>
        <w:gridCol w:w="3360"/>
        <w:gridCol w:w="3360"/>
      </w:tblGrid>
      <w:tr>
        <w:trPr>
          <w:tblHeader/>
          <w:cantSplit/>
        </w:trPr>
        <w:tc>
          <w:tcPr>
            <w:tcW w:type="dxa" w:w="2016"/>
            <w:shd w:fill="EAB83F"/>
            <w:tcMar>
              <w:top w:w="70" w:type="dxa"/>
              <w:start w:w="90" w:type="dxa"/>
              <w:bottom w:w="70" w:type="dxa"/>
              <w:end w:w="90" w:type="dxa"/>
            </w:tcMar>
          </w:tcPr>
          <w:p>
            <w:pPr>
              <w:spacing w:after="0"/>
            </w:pPr>
            <w:r>
              <w:rPr>
                <w:b/>
                <w:color w:val="111111"/>
                <w:sz w:val="17"/>
              </w:rPr>
              <w:t>Outcome</w:t>
            </w:r>
          </w:p>
        </w:tc>
        <w:tc>
          <w:tcPr>
            <w:tcW w:type="dxa" w:w="3240"/>
            <w:shd w:fill="EAB83F"/>
            <w:tcMar>
              <w:top w:w="70" w:type="dxa"/>
              <w:start w:w="90" w:type="dxa"/>
              <w:bottom w:w="70" w:type="dxa"/>
              <w:end w:w="90" w:type="dxa"/>
            </w:tcMar>
          </w:tcPr>
          <w:p>
            <w:pPr>
              <w:spacing w:after="0"/>
            </w:pPr>
            <w:r>
              <w:rPr>
                <w:b/>
                <w:color w:val="111111"/>
                <w:sz w:val="17"/>
              </w:rPr>
              <w:t>Required evidence</w:t>
            </w:r>
          </w:p>
        </w:tc>
        <w:tc>
          <w:tcPr>
            <w:tcW w:type="dxa" w:w="5112"/>
            <w:shd w:fill="EAB83F"/>
            <w:tcMar>
              <w:top w:w="70" w:type="dxa"/>
              <w:start w:w="90" w:type="dxa"/>
              <w:bottom w:w="70" w:type="dxa"/>
              <w:end w:w="90" w:type="dxa"/>
            </w:tcMar>
          </w:tcPr>
          <w:p>
            <w:pPr>
              <w:spacing w:after="0"/>
            </w:pPr>
            <w:r>
              <w:rPr>
                <w:b/>
                <w:color w:val="111111"/>
                <w:sz w:val="17"/>
              </w:rPr>
              <w:t>Destination / accounting treatment</w:t>
            </w:r>
          </w:p>
        </w:tc>
      </w:tr>
      <w:tr>
        <w:trPr>
          <w:cantSplit/>
        </w:trPr>
        <w:tc>
          <w:tcPr>
            <w:tcW w:type="dxa" w:w="2016"/>
            <w:shd w:fill="FFFFFF"/>
            <w:tcMar>
              <w:top w:w="70" w:type="dxa"/>
              <w:start w:w="90" w:type="dxa"/>
              <w:bottom w:w="70" w:type="dxa"/>
              <w:end w:w="90" w:type="dxa"/>
            </w:tcMar>
          </w:tcPr>
          <w:p>
            <w:pPr>
              <w:spacing w:after="0"/>
            </w:pPr>
            <w:r>
              <w:rPr>
                <w:color w:val="111111"/>
                <w:sz w:val="16"/>
              </w:rPr>
              <w:t>Serviceable</w:t>
            </w:r>
          </w:p>
        </w:tc>
        <w:tc>
          <w:tcPr>
            <w:tcW w:type="dxa" w:w="3240"/>
            <w:shd w:fill="FFFFFF"/>
            <w:tcMar>
              <w:top w:w="70" w:type="dxa"/>
              <w:start w:w="90" w:type="dxa"/>
              <w:bottom w:w="70" w:type="dxa"/>
              <w:end w:w="90" w:type="dxa"/>
            </w:tcMar>
          </w:tcPr>
          <w:p>
            <w:pPr>
              <w:spacing w:after="0"/>
            </w:pPr>
            <w:r>
              <w:rPr>
                <w:color w:val="111111"/>
                <w:sz w:val="16"/>
              </w:rPr>
              <w:t>Quantity and optional note</w:t>
            </w:r>
          </w:p>
        </w:tc>
        <w:tc>
          <w:tcPr>
            <w:tcW w:type="dxa" w:w="5112"/>
            <w:shd w:fill="FFFFFF"/>
            <w:tcMar>
              <w:top w:w="70" w:type="dxa"/>
              <w:start w:w="90" w:type="dxa"/>
              <w:bottom w:w="70" w:type="dxa"/>
              <w:end w:w="90" w:type="dxa"/>
            </w:tcMar>
          </w:tcPr>
          <w:p>
            <w:pPr>
              <w:spacing w:after="0"/>
            </w:pPr>
            <w:r>
              <w:rPr>
                <w:color w:val="111111"/>
                <w:sz w:val="16"/>
              </w:rPr>
              <w:t>Returns to the source storage and becomes available.</w:t>
            </w:r>
          </w:p>
        </w:tc>
      </w:tr>
      <w:tr>
        <w:trPr>
          <w:cantSplit/>
        </w:trPr>
        <w:tc>
          <w:tcPr>
            <w:tcW w:type="dxa" w:w="2016"/>
            <w:shd w:fill="F7F5F0"/>
            <w:tcMar>
              <w:top w:w="70" w:type="dxa"/>
              <w:start w:w="90" w:type="dxa"/>
              <w:bottom w:w="70" w:type="dxa"/>
              <w:end w:w="90" w:type="dxa"/>
            </w:tcMar>
          </w:tcPr>
          <w:p>
            <w:pPr>
              <w:spacing w:after="0"/>
            </w:pPr>
            <w:r>
              <w:rPr>
                <w:color w:val="111111"/>
                <w:sz w:val="16"/>
              </w:rPr>
              <w:t>Damaged</w:t>
            </w:r>
          </w:p>
        </w:tc>
        <w:tc>
          <w:tcPr>
            <w:tcW w:type="dxa" w:w="3240"/>
            <w:shd w:fill="F7F5F0"/>
            <w:tcMar>
              <w:top w:w="70" w:type="dxa"/>
              <w:start w:w="90" w:type="dxa"/>
              <w:bottom w:w="70" w:type="dxa"/>
              <w:end w:w="90" w:type="dxa"/>
            </w:tcMar>
          </w:tcPr>
          <w:p>
            <w:pPr>
              <w:spacing w:after="0"/>
            </w:pPr>
            <w:r>
              <w:rPr>
                <w:color w:val="111111"/>
                <w:sz w:val="16"/>
              </w:rPr>
              <w:t>Protected proof image is mandatory</w:t>
            </w:r>
          </w:p>
        </w:tc>
        <w:tc>
          <w:tcPr>
            <w:tcW w:type="dxa" w:w="5112"/>
            <w:shd w:fill="F7F5F0"/>
            <w:tcMar>
              <w:top w:w="70" w:type="dxa"/>
              <w:start w:w="90" w:type="dxa"/>
              <w:bottom w:w="70" w:type="dxa"/>
              <w:end w:w="90" w:type="dxa"/>
            </w:tcMar>
          </w:tcPr>
          <w:p>
            <w:pPr>
              <w:spacing w:after="0"/>
            </w:pPr>
            <w:r>
              <w:rPr>
                <w:color w:val="111111"/>
                <w:sz w:val="16"/>
              </w:rPr>
              <w:t>Moves to hidden Damaged / Quarantine; excluded from available stock.</w:t>
            </w:r>
          </w:p>
        </w:tc>
      </w:tr>
      <w:tr>
        <w:trPr>
          <w:cantSplit/>
        </w:trPr>
        <w:tc>
          <w:tcPr>
            <w:tcW w:type="dxa" w:w="2016"/>
            <w:shd w:fill="FFFFFF"/>
            <w:tcMar>
              <w:top w:w="70" w:type="dxa"/>
              <w:start w:w="90" w:type="dxa"/>
              <w:bottom w:w="70" w:type="dxa"/>
              <w:end w:w="90" w:type="dxa"/>
            </w:tcMar>
          </w:tcPr>
          <w:p>
            <w:pPr>
              <w:spacing w:after="0"/>
            </w:pPr>
            <w:r>
              <w:rPr>
                <w:color w:val="111111"/>
                <w:sz w:val="16"/>
              </w:rPr>
              <w:t>Consumed / worn out</w:t>
            </w:r>
          </w:p>
        </w:tc>
        <w:tc>
          <w:tcPr>
            <w:tcW w:type="dxa" w:w="3240"/>
            <w:shd w:fill="FFFFFF"/>
            <w:tcMar>
              <w:top w:w="70" w:type="dxa"/>
              <w:start w:w="90" w:type="dxa"/>
              <w:bottom w:w="70" w:type="dxa"/>
              <w:end w:w="90" w:type="dxa"/>
            </w:tcMar>
          </w:tcPr>
          <w:p>
            <w:pPr>
              <w:spacing w:after="0"/>
            </w:pPr>
            <w:r>
              <w:rPr>
                <w:color w:val="111111"/>
                <w:sz w:val="16"/>
              </w:rPr>
              <w:t>Quantity and operational note</w:t>
            </w:r>
          </w:p>
        </w:tc>
        <w:tc>
          <w:tcPr>
            <w:tcW w:type="dxa" w:w="5112"/>
            <w:shd w:fill="FFFFFF"/>
            <w:tcMar>
              <w:top w:w="70" w:type="dxa"/>
              <w:start w:w="90" w:type="dxa"/>
              <w:bottom w:w="70" w:type="dxa"/>
              <w:end w:w="90" w:type="dxa"/>
            </w:tcMar>
          </w:tcPr>
          <w:p>
            <w:pPr>
              <w:spacing w:after="0"/>
            </w:pPr>
            <w:r>
              <w:rPr>
                <w:color w:val="111111"/>
                <w:sz w:val="16"/>
              </w:rPr>
              <w:t>Posts as audited usage/write-off.</w:t>
            </w:r>
          </w:p>
        </w:tc>
      </w:tr>
      <w:tr>
        <w:trPr>
          <w:cantSplit/>
        </w:trPr>
        <w:tc>
          <w:tcPr>
            <w:tcW w:type="dxa" w:w="2016"/>
            <w:shd w:fill="F7F5F0"/>
            <w:tcMar>
              <w:top w:w="70" w:type="dxa"/>
              <w:start w:w="90" w:type="dxa"/>
              <w:bottom w:w="70" w:type="dxa"/>
              <w:end w:w="90" w:type="dxa"/>
            </w:tcMar>
          </w:tcPr>
          <w:p>
            <w:pPr>
              <w:spacing w:after="0"/>
            </w:pPr>
            <w:r>
              <w:rPr>
                <w:color w:val="111111"/>
                <w:sz w:val="16"/>
              </w:rPr>
              <w:t>Lost / missing</w:t>
            </w:r>
          </w:p>
        </w:tc>
        <w:tc>
          <w:tcPr>
            <w:tcW w:type="dxa" w:w="3240"/>
            <w:shd w:fill="F7F5F0"/>
            <w:tcMar>
              <w:top w:w="70" w:type="dxa"/>
              <w:start w:w="90" w:type="dxa"/>
              <w:bottom w:w="70" w:type="dxa"/>
              <w:end w:w="90" w:type="dxa"/>
            </w:tcMar>
          </w:tcPr>
          <w:p>
            <w:pPr>
              <w:spacing w:after="0"/>
            </w:pPr>
            <w:r>
              <w:rPr>
                <w:color w:val="111111"/>
                <w:sz w:val="16"/>
              </w:rPr>
              <w:t>Explanation is mandatory</w:t>
            </w:r>
          </w:p>
        </w:tc>
        <w:tc>
          <w:tcPr>
            <w:tcW w:type="dxa" w:w="5112"/>
            <w:shd w:fill="F7F5F0"/>
            <w:tcMar>
              <w:top w:w="70" w:type="dxa"/>
              <w:start w:w="90" w:type="dxa"/>
              <w:bottom w:w="70" w:type="dxa"/>
              <w:end w:w="90" w:type="dxa"/>
            </w:tcMar>
          </w:tcPr>
          <w:p>
            <w:pPr>
              <w:spacing w:after="0"/>
            </w:pPr>
            <w:r>
              <w:rPr>
                <w:color w:val="111111"/>
                <w:sz w:val="16"/>
              </w:rPr>
              <w:t>Posts as audited loss/write-off.</w:t>
            </w:r>
          </w:p>
        </w:tc>
      </w:tr>
      <w:tr>
        <w:trPr>
          <w:cantSplit/>
        </w:trPr>
        <w:tc>
          <w:tcPr>
            <w:tcW w:type="dxa" w:w="2016"/>
            <w:shd w:fill="FFFFFF"/>
            <w:tcMar>
              <w:top w:w="70" w:type="dxa"/>
              <w:start w:w="90" w:type="dxa"/>
              <w:bottom w:w="70" w:type="dxa"/>
              <w:end w:w="90" w:type="dxa"/>
            </w:tcMar>
          </w:tcPr>
          <w:p>
            <w:pPr>
              <w:spacing w:after="0"/>
            </w:pPr>
            <w:r>
              <w:rPr>
                <w:color w:val="111111"/>
                <w:sz w:val="16"/>
              </w:rPr>
              <w:t>Still held</w:t>
            </w:r>
          </w:p>
        </w:tc>
        <w:tc>
          <w:tcPr>
            <w:tcW w:type="dxa" w:w="3240"/>
            <w:shd w:fill="FFFFFF"/>
            <w:tcMar>
              <w:top w:w="70" w:type="dxa"/>
              <w:start w:w="90" w:type="dxa"/>
              <w:bottom w:w="70" w:type="dxa"/>
              <w:end w:w="90" w:type="dxa"/>
            </w:tcMar>
          </w:tcPr>
          <w:p>
            <w:pPr>
              <w:spacing w:after="0"/>
            </w:pPr>
            <w:r>
              <w:rPr>
                <w:color w:val="111111"/>
                <w:sz w:val="16"/>
              </w:rPr>
              <w:t>Derived balance</w:t>
            </w:r>
          </w:p>
        </w:tc>
        <w:tc>
          <w:tcPr>
            <w:tcW w:type="dxa" w:w="5112"/>
            <w:shd w:fill="FFFFFF"/>
            <w:tcMar>
              <w:top w:w="70" w:type="dxa"/>
              <w:start w:w="90" w:type="dxa"/>
              <w:bottom w:w="70" w:type="dxa"/>
              <w:end w:w="90" w:type="dxa"/>
            </w:tcMar>
          </w:tcPr>
          <w:p>
            <w:pPr>
              <w:spacing w:after="0"/>
            </w:pPr>
            <w:r>
              <w:rPr>
                <w:color w:val="111111"/>
                <w:sz w:val="16"/>
              </w:rPr>
              <w:t>Remains assigned in the handover buffer.</w:t>
            </w:r>
          </w:p>
        </w:tc>
      </w:tr>
    </w:tbl>
    <w:p>
      <w:pPr>
        <w:spacing w:after="20"/>
      </w:pPr>
    </w:p>
    <w:p>
      <w:pPr>
        <w:pStyle w:val="Heading2"/>
        <w:keepNext/>
      </w:pPr>
      <w:r>
        <w:t>Quarantine and replacement controls</w:t>
      </w:r>
    </w:p>
    <w:p>
      <w:pPr>
        <w:pStyle w:val="ListBullet"/>
        <w:spacing w:after="40"/>
      </w:pPr>
      <w:r>
        <w:t>Owner/super admin can return repaired quarantine stock to a selected storage.</w:t>
      </w:r>
    </w:p>
    <w:p>
      <w:pPr>
        <w:pStyle w:val="ListBullet"/>
        <w:spacing w:after="40"/>
      </w:pPr>
      <w:r>
        <w:t>Owner/super admin can dispose or write off quarantined stock with a mandatory audited reason.</w:t>
      </w:r>
    </w:p>
    <w:p>
      <w:pPr>
        <w:pStyle w:val="ListBullet"/>
        <w:spacing w:after="40"/>
      </w:pPr>
      <w:r>
        <w:t>An approved damaged or lost return can create a linked replacement custody handover.</w:t>
      </w:r>
    </w:p>
    <w:p>
      <w:pPr>
        <w:pStyle w:val="ListBullet"/>
        <w:spacing w:after="40"/>
      </w:pPr>
      <w:r>
        <w:t>Replacement creation never issues stock automatically; the normal approval and receipt cycle still applies.</w:t>
      </w:r>
    </w:p>
    <w:p>
      <w:pPr>
        <w:pStyle w:val="ListBullet"/>
        <w:spacing w:after="40"/>
      </w:pPr>
      <w:r>
        <w:t>Damage proof and return history remain protected and cannot be hard-deleted to hide the event.</w:t>
      </w:r>
    </w:p>
    <w:p>
      <w:pPr>
        <w:pStyle w:val="Heading2"/>
        <w:keepNext/>
      </w:pPr>
      <w:r>
        <w:t>Item stock positions</w:t>
      </w:r>
    </w:p>
    <w:tbl>
      <w:tblPr>
        <w:tblStyle w:val="TableGrid"/>
        <w:tblW w:type="auto" w:w="0"/>
        <w:tblLayout w:type="fixed"/>
        <w:tblLook w:firstColumn="1" w:firstRow="1" w:lastColumn="0" w:lastRow="0" w:noHBand="0" w:noVBand="1" w:val="04A0"/>
      </w:tblPr>
      <w:tblGrid>
        <w:gridCol w:w="3360"/>
        <w:gridCol w:w="3360"/>
        <w:gridCol w:w="3360"/>
      </w:tblGrid>
      <w:tr>
        <w:trPr>
          <w:tblHeader/>
          <w:cantSplit/>
        </w:trPr>
        <w:tc>
          <w:tcPr>
            <w:tcW w:type="dxa" w:w="2232"/>
            <w:shd w:fill="EAB83F"/>
            <w:tcMar>
              <w:top w:w="70" w:type="dxa"/>
              <w:start w:w="90" w:type="dxa"/>
              <w:bottom w:w="70" w:type="dxa"/>
              <w:end w:w="90" w:type="dxa"/>
            </w:tcMar>
          </w:tcPr>
          <w:p>
            <w:pPr>
              <w:spacing w:after="0"/>
            </w:pPr>
            <w:r>
              <w:rPr>
                <w:b/>
                <w:color w:val="111111"/>
                <w:sz w:val="17"/>
              </w:rPr>
              <w:t>Position</w:t>
            </w:r>
          </w:p>
        </w:tc>
        <w:tc>
          <w:tcPr>
            <w:tcW w:type="dxa" w:w="5616"/>
            <w:shd w:fill="EAB83F"/>
            <w:tcMar>
              <w:top w:w="70" w:type="dxa"/>
              <w:start w:w="90" w:type="dxa"/>
              <w:bottom w:w="70" w:type="dxa"/>
              <w:end w:w="90" w:type="dxa"/>
            </w:tcMar>
          </w:tcPr>
          <w:p>
            <w:pPr>
              <w:spacing w:after="0"/>
            </w:pPr>
            <w:r>
              <w:rPr>
                <w:b/>
                <w:color w:val="111111"/>
                <w:sz w:val="17"/>
              </w:rPr>
              <w:t>Meaning</w:t>
            </w:r>
          </w:p>
        </w:tc>
        <w:tc>
          <w:tcPr>
            <w:tcW w:type="dxa" w:w="2520"/>
            <w:shd w:fill="EAB83F"/>
            <w:tcMar>
              <w:top w:w="70" w:type="dxa"/>
              <w:start w:w="90" w:type="dxa"/>
              <w:bottom w:w="70" w:type="dxa"/>
              <w:end w:w="90" w:type="dxa"/>
            </w:tcMar>
          </w:tcPr>
          <w:p>
            <w:pPr>
              <w:spacing w:after="0"/>
            </w:pPr>
            <w:r>
              <w:rPr>
                <w:b/>
                <w:color w:val="111111"/>
                <w:sz w:val="17"/>
              </w:rPr>
              <w:t>Included in availability / reorder</w:t>
            </w:r>
          </w:p>
        </w:tc>
      </w:tr>
      <w:tr>
        <w:trPr>
          <w:cantSplit/>
        </w:trPr>
        <w:tc>
          <w:tcPr>
            <w:tcW w:type="dxa" w:w="2232"/>
            <w:shd w:fill="FFFFFF"/>
            <w:tcMar>
              <w:top w:w="70" w:type="dxa"/>
              <w:start w:w="90" w:type="dxa"/>
              <w:bottom w:w="70" w:type="dxa"/>
              <w:end w:w="90" w:type="dxa"/>
            </w:tcMar>
          </w:tcPr>
          <w:p>
            <w:pPr>
              <w:spacing w:after="0"/>
            </w:pPr>
            <w:r>
              <w:rPr>
                <w:color w:val="111111"/>
                <w:sz w:val="16"/>
              </w:rPr>
              <w:t>Active storage</w:t>
            </w:r>
          </w:p>
        </w:tc>
        <w:tc>
          <w:tcPr>
            <w:tcW w:type="dxa" w:w="5616"/>
            <w:shd w:fill="FFFFFF"/>
            <w:tcMar>
              <w:top w:w="70" w:type="dxa"/>
              <w:start w:w="90" w:type="dxa"/>
              <w:bottom w:w="70" w:type="dxa"/>
              <w:end w:w="90" w:type="dxa"/>
            </w:tcMar>
          </w:tcPr>
          <w:p>
            <w:pPr>
              <w:spacing w:after="0"/>
            </w:pPr>
            <w:r>
              <w:rPr>
                <w:color w:val="111111"/>
                <w:sz w:val="16"/>
              </w:rPr>
              <w:t>Usable quantity physically available in normal storages.</w:t>
            </w:r>
          </w:p>
        </w:tc>
        <w:tc>
          <w:tcPr>
            <w:tcW w:type="dxa" w:w="2520"/>
            <w:shd w:fill="FFFFFF"/>
            <w:tcMar>
              <w:top w:w="70" w:type="dxa"/>
              <w:start w:w="90" w:type="dxa"/>
              <w:bottom w:w="70" w:type="dxa"/>
              <w:end w:w="90" w:type="dxa"/>
            </w:tcMar>
          </w:tcPr>
          <w:p>
            <w:pPr>
              <w:spacing w:after="0"/>
            </w:pPr>
            <w:r>
              <w:rPr>
                <w:color w:val="111111"/>
                <w:sz w:val="16"/>
              </w:rPr>
              <w:t>Yes</w:t>
            </w:r>
          </w:p>
        </w:tc>
      </w:tr>
      <w:tr>
        <w:trPr>
          <w:cantSplit/>
        </w:trPr>
        <w:tc>
          <w:tcPr>
            <w:tcW w:type="dxa" w:w="2232"/>
            <w:shd w:fill="F7F5F0"/>
            <w:tcMar>
              <w:top w:w="70" w:type="dxa"/>
              <w:start w:w="90" w:type="dxa"/>
              <w:bottom w:w="70" w:type="dxa"/>
              <w:end w:w="90" w:type="dxa"/>
            </w:tcMar>
          </w:tcPr>
          <w:p>
            <w:pPr>
              <w:spacing w:after="0"/>
            </w:pPr>
            <w:r>
              <w:rPr>
                <w:color w:val="111111"/>
                <w:sz w:val="16"/>
              </w:rPr>
              <w:t>Held by staff</w:t>
            </w:r>
          </w:p>
        </w:tc>
        <w:tc>
          <w:tcPr>
            <w:tcW w:type="dxa" w:w="5616"/>
            <w:shd w:fill="F7F5F0"/>
            <w:tcMar>
              <w:top w:w="70" w:type="dxa"/>
              <w:start w:w="90" w:type="dxa"/>
              <w:bottom w:w="70" w:type="dxa"/>
              <w:end w:w="90" w:type="dxa"/>
            </w:tcMar>
          </w:tcPr>
          <w:p>
            <w:pPr>
              <w:spacing w:after="0"/>
            </w:pPr>
            <w:r>
              <w:rPr>
                <w:color w:val="111111"/>
                <w:sz w:val="16"/>
              </w:rPr>
              <w:t>Quantity assigned through active temporary or long-term custody.</w:t>
            </w:r>
          </w:p>
        </w:tc>
        <w:tc>
          <w:tcPr>
            <w:tcW w:type="dxa" w:w="2520"/>
            <w:shd w:fill="F7F5F0"/>
            <w:tcMar>
              <w:top w:w="70" w:type="dxa"/>
              <w:start w:w="90" w:type="dxa"/>
              <w:bottom w:w="70" w:type="dxa"/>
              <w:end w:w="90" w:type="dxa"/>
            </w:tcMar>
          </w:tcPr>
          <w:p>
            <w:pPr>
              <w:spacing w:after="0"/>
            </w:pPr>
            <w:r>
              <w:rPr>
                <w:color w:val="111111"/>
                <w:sz w:val="16"/>
              </w:rPr>
              <w:t>No</w:t>
            </w:r>
          </w:p>
        </w:tc>
      </w:tr>
      <w:tr>
        <w:trPr>
          <w:cantSplit/>
        </w:trPr>
        <w:tc>
          <w:tcPr>
            <w:tcW w:type="dxa" w:w="2232"/>
            <w:shd w:fill="FFFFFF"/>
            <w:tcMar>
              <w:top w:w="70" w:type="dxa"/>
              <w:start w:w="90" w:type="dxa"/>
              <w:bottom w:w="70" w:type="dxa"/>
              <w:end w:w="90" w:type="dxa"/>
            </w:tcMar>
          </w:tcPr>
          <w:p>
            <w:pPr>
              <w:spacing w:after="0"/>
            </w:pPr>
            <w:r>
              <w:rPr>
                <w:color w:val="111111"/>
                <w:sz w:val="16"/>
              </w:rPr>
              <w:t>Damaged / quarantine</w:t>
            </w:r>
          </w:p>
        </w:tc>
        <w:tc>
          <w:tcPr>
            <w:tcW w:type="dxa" w:w="5616"/>
            <w:shd w:fill="FFFFFF"/>
            <w:tcMar>
              <w:top w:w="70" w:type="dxa"/>
              <w:start w:w="90" w:type="dxa"/>
              <w:bottom w:w="70" w:type="dxa"/>
              <w:end w:w="90" w:type="dxa"/>
            </w:tcMar>
          </w:tcPr>
          <w:p>
            <w:pPr>
              <w:spacing w:after="0"/>
            </w:pPr>
            <w:r>
              <w:rPr>
                <w:color w:val="111111"/>
                <w:sz w:val="16"/>
              </w:rPr>
              <w:t>Physical quantity awaiting repair or disposal.</w:t>
            </w:r>
          </w:p>
        </w:tc>
        <w:tc>
          <w:tcPr>
            <w:tcW w:type="dxa" w:w="2520"/>
            <w:shd w:fill="FFFFFF"/>
            <w:tcMar>
              <w:top w:w="70" w:type="dxa"/>
              <w:start w:w="90" w:type="dxa"/>
              <w:bottom w:w="70" w:type="dxa"/>
              <w:end w:w="90" w:type="dxa"/>
            </w:tcMar>
          </w:tcPr>
          <w:p>
            <w:pPr>
              <w:spacing w:after="0"/>
            </w:pPr>
            <w:r>
              <w:rPr>
                <w:color w:val="111111"/>
                <w:sz w:val="16"/>
              </w:rPr>
              <w:t>No</w:t>
            </w:r>
          </w:p>
        </w:tc>
      </w:tr>
      <w:tr>
        <w:trPr>
          <w:cantSplit/>
        </w:trPr>
        <w:tc>
          <w:tcPr>
            <w:tcW w:type="dxa" w:w="2232"/>
            <w:shd w:fill="F7F5F0"/>
            <w:tcMar>
              <w:top w:w="70" w:type="dxa"/>
              <w:start w:w="90" w:type="dxa"/>
              <w:bottom w:w="70" w:type="dxa"/>
              <w:end w:w="90" w:type="dxa"/>
            </w:tcMar>
          </w:tcPr>
          <w:p>
            <w:pPr>
              <w:spacing w:after="0"/>
            </w:pPr>
            <w:r>
              <w:rPr>
                <w:color w:val="111111"/>
                <w:sz w:val="16"/>
              </w:rPr>
              <w:t>Total physical</w:t>
            </w:r>
          </w:p>
        </w:tc>
        <w:tc>
          <w:tcPr>
            <w:tcW w:type="dxa" w:w="5616"/>
            <w:shd w:fill="F7F5F0"/>
            <w:tcMar>
              <w:top w:w="70" w:type="dxa"/>
              <w:start w:w="90" w:type="dxa"/>
              <w:bottom w:w="70" w:type="dxa"/>
              <w:end w:w="90" w:type="dxa"/>
            </w:tcMar>
          </w:tcPr>
          <w:p>
            <w:pPr>
              <w:spacing w:after="0"/>
            </w:pPr>
            <w:r>
              <w:rPr>
                <w:color w:val="111111"/>
                <w:sz w:val="16"/>
              </w:rPr>
              <w:t>Active storage + staff-held + quarantine.</w:t>
            </w:r>
          </w:p>
        </w:tc>
        <w:tc>
          <w:tcPr>
            <w:tcW w:type="dxa" w:w="2520"/>
            <w:shd w:fill="F7F5F0"/>
            <w:tcMar>
              <w:top w:w="70" w:type="dxa"/>
              <w:start w:w="90" w:type="dxa"/>
              <w:bottom w:w="70" w:type="dxa"/>
              <w:end w:w="90" w:type="dxa"/>
            </w:tcMar>
          </w:tcPr>
          <w:p>
            <w:pPr>
              <w:spacing w:after="0"/>
            </w:pPr>
            <w:r>
              <w:rPr>
                <w:color w:val="111111"/>
                <w:sz w:val="16"/>
              </w:rPr>
              <w:t>Informational; not the issueable balance</w:t>
            </w:r>
          </w:p>
        </w:tc>
      </w:tr>
    </w:tbl>
    <w:p>
      <w:pPr>
        <w:spacing w:after="20"/>
      </w:pPr>
    </w:p>
    <w:p>
      <w:pPr>
        <w:pStyle w:val="Heading1"/>
        <w:keepNext/>
      </w:pPr>
      <w:r>
        <w:t>20. Custody Data And Stock Rules</w:t>
      </w:r>
    </w:p>
    <w:tbl>
      <w:tblPr>
        <w:tblStyle w:val="TableGrid"/>
        <w:tblW w:type="auto" w:w="0"/>
        <w:tblLayout w:type="fixed"/>
        <w:tblLook w:firstColumn="1" w:firstRow="1" w:lastColumn="0" w:lastRow="0" w:noHBand="0" w:noVBand="1" w:val="04A0"/>
      </w:tblPr>
      <w:tblGrid>
        <w:gridCol w:w="5040"/>
        <w:gridCol w:w="5040"/>
      </w:tblGrid>
      <w:tr>
        <w:trPr>
          <w:tblHeader/>
          <w:cantSplit/>
        </w:trPr>
        <w:tc>
          <w:tcPr>
            <w:tcW w:type="dxa" w:w="3456"/>
            <w:shd w:fill="EAB83F"/>
            <w:tcMar>
              <w:top w:w="70" w:type="dxa"/>
              <w:start w:w="90" w:type="dxa"/>
              <w:bottom w:w="70" w:type="dxa"/>
              <w:end w:w="90" w:type="dxa"/>
            </w:tcMar>
          </w:tcPr>
          <w:p>
            <w:pPr>
              <w:spacing w:after="0"/>
            </w:pPr>
            <w:r>
              <w:rPr>
                <w:b/>
                <w:color w:val="111111"/>
                <w:sz w:val="17"/>
              </w:rPr>
              <w:t>Table / field</w:t>
            </w:r>
          </w:p>
        </w:tc>
        <w:tc>
          <w:tcPr>
            <w:tcW w:type="dxa" w:w="6912"/>
            <w:shd w:fill="EAB83F"/>
            <w:tcMar>
              <w:top w:w="70" w:type="dxa"/>
              <w:start w:w="90" w:type="dxa"/>
              <w:bottom w:w="70" w:type="dxa"/>
              <w:end w:w="90" w:type="dxa"/>
            </w:tcMar>
          </w:tcPr>
          <w:p>
            <w:pPr>
              <w:spacing w:after="0"/>
            </w:pPr>
            <w:r>
              <w:rPr>
                <w:b/>
                <w:color w:val="111111"/>
                <w:sz w:val="17"/>
              </w:rPr>
              <w:t>Purpose</w:t>
            </w:r>
          </w:p>
        </w:tc>
      </w:tr>
      <w:tr>
        <w:trPr>
          <w:cantSplit/>
        </w:trPr>
        <w:tc>
          <w:tcPr>
            <w:tcW w:type="dxa" w:w="3456"/>
            <w:shd w:fill="FFFFFF"/>
            <w:tcMar>
              <w:top w:w="70" w:type="dxa"/>
              <w:start w:w="90" w:type="dxa"/>
              <w:bottom w:w="70" w:type="dxa"/>
              <w:end w:w="90" w:type="dxa"/>
            </w:tcMar>
          </w:tcPr>
          <w:p>
            <w:pPr>
              <w:spacing w:after="0"/>
            </w:pPr>
            <w:r>
              <w:rPr>
                <w:color w:val="111111"/>
                <w:sz w:val="16"/>
              </w:rPr>
              <w:t>handovers.handover_purpose</w:t>
            </w:r>
          </w:p>
        </w:tc>
        <w:tc>
          <w:tcPr>
            <w:tcW w:type="dxa" w:w="6912"/>
            <w:shd w:fill="FFFFFF"/>
            <w:tcMar>
              <w:top w:w="70" w:type="dxa"/>
              <w:start w:w="90" w:type="dxa"/>
              <w:bottom w:w="70" w:type="dxa"/>
              <w:end w:w="90" w:type="dxa"/>
            </w:tcMar>
          </w:tcPr>
          <w:p>
            <w:pPr>
              <w:spacing w:after="0"/>
            </w:pPr>
            <w:r>
              <w:rPr>
                <w:color w:val="111111"/>
                <w:sz w:val="16"/>
              </w:rPr>
              <w:t>temporary_use, staff_custody, or storage_transfer</w:t>
            </w:r>
          </w:p>
        </w:tc>
      </w:tr>
      <w:tr>
        <w:trPr>
          <w:cantSplit/>
        </w:trPr>
        <w:tc>
          <w:tcPr>
            <w:tcW w:type="dxa" w:w="3456"/>
            <w:shd w:fill="F7F5F0"/>
            <w:tcMar>
              <w:top w:w="70" w:type="dxa"/>
              <w:start w:w="90" w:type="dxa"/>
              <w:bottom w:w="70" w:type="dxa"/>
              <w:end w:w="90" w:type="dxa"/>
            </w:tcMar>
          </w:tcPr>
          <w:p>
            <w:pPr>
              <w:spacing w:after="0"/>
            </w:pPr>
            <w:r>
              <w:rPr>
                <w:color w:val="111111"/>
                <w:sz w:val="16"/>
              </w:rPr>
              <w:t>handover_custody_returns</w:t>
            </w:r>
          </w:p>
        </w:tc>
        <w:tc>
          <w:tcPr>
            <w:tcW w:type="dxa" w:w="6912"/>
            <w:shd w:fill="F7F5F0"/>
            <w:tcMar>
              <w:top w:w="70" w:type="dxa"/>
              <w:start w:w="90" w:type="dxa"/>
              <w:bottom w:w="70" w:type="dxa"/>
              <w:end w:w="90" w:type="dxa"/>
            </w:tcMar>
          </w:tcPr>
          <w:p>
            <w:pPr>
              <w:spacing w:after="0"/>
            </w:pPr>
            <w:r>
              <w:rPr>
                <w:color w:val="111111"/>
                <w:sz w:val="16"/>
              </w:rPr>
              <w:t>Return-event header, status, submitter/reviewer, notes, linked replacement</w:t>
            </w:r>
          </w:p>
        </w:tc>
      </w:tr>
      <w:tr>
        <w:trPr>
          <w:cantSplit/>
        </w:trPr>
        <w:tc>
          <w:tcPr>
            <w:tcW w:type="dxa" w:w="3456"/>
            <w:shd w:fill="FFFFFF"/>
            <w:tcMar>
              <w:top w:w="70" w:type="dxa"/>
              <w:start w:w="90" w:type="dxa"/>
              <w:bottom w:w="70" w:type="dxa"/>
              <w:end w:w="90" w:type="dxa"/>
            </w:tcMar>
          </w:tcPr>
          <w:p>
            <w:pPr>
              <w:spacing w:after="0"/>
            </w:pPr>
            <w:r>
              <w:rPr>
                <w:color w:val="111111"/>
                <w:sz w:val="16"/>
              </w:rPr>
              <w:t>handover_custody_return_lines</w:t>
            </w:r>
          </w:p>
        </w:tc>
        <w:tc>
          <w:tcPr>
            <w:tcW w:type="dxa" w:w="6912"/>
            <w:shd w:fill="FFFFFF"/>
            <w:tcMar>
              <w:top w:w="70" w:type="dxa"/>
              <w:start w:w="90" w:type="dxa"/>
              <w:bottom w:w="70" w:type="dxa"/>
              <w:end w:w="90" w:type="dxa"/>
            </w:tcMar>
          </w:tcPr>
          <w:p>
            <w:pPr>
              <w:spacing w:after="0"/>
            </w:pPr>
            <w:r>
              <w:rPr>
                <w:color w:val="111111"/>
                <w:sz w:val="16"/>
              </w:rPr>
              <w:t>Serviceable, damaged, consumed, lost, and derived held quantities per line</w:t>
            </w:r>
          </w:p>
        </w:tc>
      </w:tr>
      <w:tr>
        <w:trPr>
          <w:cantSplit/>
        </w:trPr>
        <w:tc>
          <w:tcPr>
            <w:tcW w:type="dxa" w:w="3456"/>
            <w:shd w:fill="F7F5F0"/>
            <w:tcMar>
              <w:top w:w="70" w:type="dxa"/>
              <w:start w:w="90" w:type="dxa"/>
              <w:bottom w:w="70" w:type="dxa"/>
              <w:end w:w="90" w:type="dxa"/>
            </w:tcMar>
          </w:tcPr>
          <w:p>
            <w:pPr>
              <w:spacing w:after="0"/>
            </w:pPr>
            <w:r>
              <w:rPr>
                <w:color w:val="111111"/>
                <w:sz w:val="16"/>
              </w:rPr>
              <w:t>handover_custody_return_proofs</w:t>
            </w:r>
          </w:p>
        </w:tc>
        <w:tc>
          <w:tcPr>
            <w:tcW w:type="dxa" w:w="6912"/>
            <w:shd w:fill="F7F5F0"/>
            <w:tcMar>
              <w:top w:w="70" w:type="dxa"/>
              <w:start w:w="90" w:type="dxa"/>
              <w:bottom w:w="70" w:type="dxa"/>
              <w:end w:w="90" w:type="dxa"/>
            </w:tcMar>
          </w:tcPr>
          <w:p>
            <w:pPr>
              <w:spacing w:after="0"/>
            </w:pPr>
            <w:r>
              <w:rPr>
                <w:color w:val="111111"/>
                <w:sz w:val="16"/>
              </w:rPr>
              <w:t>Links protected workflow documents to damaged return lines</w:t>
            </w:r>
          </w:p>
        </w:tc>
      </w:tr>
      <w:tr>
        <w:trPr>
          <w:cantSplit/>
        </w:trPr>
        <w:tc>
          <w:tcPr>
            <w:tcW w:type="dxa" w:w="3456"/>
            <w:shd w:fill="FFFFFF"/>
            <w:tcMar>
              <w:top w:w="70" w:type="dxa"/>
              <w:start w:w="90" w:type="dxa"/>
              <w:bottom w:w="70" w:type="dxa"/>
              <w:end w:w="90" w:type="dxa"/>
            </w:tcMar>
          </w:tcPr>
          <w:p>
            <w:pPr>
              <w:spacing w:after="0"/>
            </w:pPr>
            <w:r>
              <w:rPr>
                <w:color w:val="111111"/>
                <w:sz w:val="16"/>
              </w:rPr>
              <w:t>handover_quarantine_dispositions</w:t>
            </w:r>
          </w:p>
        </w:tc>
        <w:tc>
          <w:tcPr>
            <w:tcW w:type="dxa" w:w="6912"/>
            <w:shd w:fill="FFFFFF"/>
            <w:tcMar>
              <w:top w:w="70" w:type="dxa"/>
              <w:start w:w="90" w:type="dxa"/>
              <w:bottom w:w="70" w:type="dxa"/>
              <w:end w:w="90" w:type="dxa"/>
            </w:tcMar>
          </w:tcPr>
          <w:p>
            <w:pPr>
              <w:spacing w:after="0"/>
            </w:pPr>
            <w:r>
              <w:rPr>
                <w:color w:val="111111"/>
                <w:sz w:val="16"/>
              </w:rPr>
              <w:t>Immutable return-to-service and disposal history</w:t>
            </w:r>
          </w:p>
        </w:tc>
      </w:tr>
      <w:tr>
        <w:trPr>
          <w:cantSplit/>
        </w:trPr>
        <w:tc>
          <w:tcPr>
            <w:tcW w:type="dxa" w:w="3456"/>
            <w:shd w:fill="F7F5F0"/>
            <w:tcMar>
              <w:top w:w="70" w:type="dxa"/>
              <w:start w:w="90" w:type="dxa"/>
              <w:bottom w:w="70" w:type="dxa"/>
              <w:end w:w="90" w:type="dxa"/>
            </w:tcMar>
          </w:tcPr>
          <w:p>
            <w:pPr>
              <w:spacing w:after="0"/>
            </w:pPr>
            <w:r>
              <w:rPr>
                <w:color w:val="111111"/>
                <w:sz w:val="16"/>
              </w:rPr>
              <w:t>item_storage_balances</w:t>
            </w:r>
          </w:p>
        </w:tc>
        <w:tc>
          <w:tcPr>
            <w:tcW w:type="dxa" w:w="6912"/>
            <w:shd w:fill="F7F5F0"/>
            <w:tcMar>
              <w:top w:w="70" w:type="dxa"/>
              <w:start w:w="90" w:type="dxa"/>
              <w:bottom w:w="70" w:type="dxa"/>
              <w:end w:w="90" w:type="dxa"/>
            </w:tcMar>
          </w:tcPr>
          <w:p>
            <w:pPr>
              <w:spacing w:after="0"/>
            </w:pPr>
            <w:r>
              <w:rPr>
                <w:color w:val="111111"/>
                <w:sz w:val="16"/>
              </w:rPr>
              <w:t>Source of truth for source, buffer, quarantine, and operating storage quantities</w:t>
            </w:r>
          </w:p>
        </w:tc>
      </w:tr>
      <w:tr>
        <w:trPr>
          <w:cantSplit/>
        </w:trPr>
        <w:tc>
          <w:tcPr>
            <w:tcW w:type="dxa" w:w="3456"/>
            <w:shd w:fill="FFFFFF"/>
            <w:tcMar>
              <w:top w:w="70" w:type="dxa"/>
              <w:start w:w="90" w:type="dxa"/>
              <w:bottom w:w="70" w:type="dxa"/>
              <w:end w:w="90" w:type="dxa"/>
            </w:tcMar>
          </w:tcPr>
          <w:p>
            <w:pPr>
              <w:spacing w:after="0"/>
            </w:pPr>
            <w:r>
              <w:rPr>
                <w:color w:val="111111"/>
                <w:sz w:val="16"/>
              </w:rPr>
              <w:t>inventory_movements</w:t>
            </w:r>
          </w:p>
        </w:tc>
        <w:tc>
          <w:tcPr>
            <w:tcW w:type="dxa" w:w="6912"/>
            <w:shd w:fill="FFFFFF"/>
            <w:tcMar>
              <w:top w:w="70" w:type="dxa"/>
              <w:start w:w="90" w:type="dxa"/>
              <w:bottom w:w="70" w:type="dxa"/>
              <w:end w:w="90" w:type="dxa"/>
            </w:tcMar>
          </w:tcPr>
          <w:p>
            <w:pPr>
              <w:spacing w:after="0"/>
            </w:pPr>
            <w:r>
              <w:rPr>
                <w:color w:val="111111"/>
                <w:sz w:val="16"/>
              </w:rPr>
              <w:t>Immutable stock ledger tied back to the custody handover context</w:t>
            </w:r>
          </w:p>
        </w:tc>
      </w:tr>
    </w:tbl>
    <w:p>
      <w:pPr>
        <w:spacing w:after="20"/>
      </w:pPr>
    </w:p>
    <w:p>
      <w:pPr>
        <w:pStyle w:val="ListBullet"/>
        <w:spacing w:after="40"/>
      </w:pPr>
      <w:r>
        <w:t>Custody return submission validates all classifications before changing stock.</w:t>
      </w:r>
    </w:p>
    <w:p>
      <w:pPr>
        <w:pStyle w:val="ListBullet"/>
        <w:spacing w:after="40"/>
      </w:pPr>
      <w:r>
        <w:t>Damage requires a protected image; lost quantity requires an explanation.</w:t>
      </w:r>
    </w:p>
    <w:p>
      <w:pPr>
        <w:pStyle w:val="ListBullet"/>
        <w:spacing w:after="40"/>
      </w:pPr>
      <w:r>
        <w:t>Approval posts serviceable, damaged, consumed, and lost outcomes transactionally.</w:t>
      </w:r>
    </w:p>
    <w:p>
      <w:pPr>
        <w:pStyle w:val="ListBullet"/>
        <w:spacing w:after="40"/>
      </w:pPr>
      <w:r>
        <w:t>Still-held quantity remains in the handover buffer and the handover closes only at zero.</w:t>
      </w:r>
    </w:p>
    <w:p>
      <w:pPr>
        <w:pStyle w:val="ListBullet"/>
        <w:spacing w:after="40"/>
      </w:pPr>
      <w:r>
        <w:t>Never bypass apply_inventory_movement() or update only items.current_quantity.</w:t>
      </w:r>
    </w:p>
    <w:p>
      <w:pPr>
        <w:pStyle w:val="Heading1"/>
        <w:keepNext/>
      </w:pPr>
      <w:r>
        <w:t>21. Safe Custody Extension Checklist</w:t>
      </w:r>
    </w:p>
    <w:p>
      <w:pPr>
        <w:pStyle w:val="ListNumber"/>
        <w:spacing w:after="60"/>
      </w:pPr>
      <w:r>
        <w:t>Place new custody behavior in handover_custody_* modules; do not add it to compatibility loaders.</w:t>
      </w:r>
    </w:p>
    <w:p>
      <w:pPr>
        <w:pStyle w:val="ListNumber"/>
        <w:spacing w:after="60"/>
      </w:pPr>
      <w:r>
        <w:t>Add the permission and position seed before exposing a new action.</w:t>
      </w:r>
    </w:p>
    <w:p>
      <w:pPr>
        <w:pStyle w:val="ListNumber"/>
        <w:spacing w:after="60"/>
      </w:pPr>
      <w:r>
        <w:t>Keep recipient scope and source-owner review checks in server-side guards.</w:t>
      </w:r>
    </w:p>
    <w:p>
      <w:pPr>
        <w:pStyle w:val="ListNumber"/>
        <w:spacing w:after="60"/>
      </w:pPr>
      <w:r>
        <w:t>Register proof files through the protected workflow document layer.</w:t>
      </w:r>
    </w:p>
    <w:p>
      <w:pPr>
        <w:pStyle w:val="ListNumber"/>
        <w:spacing w:after="60"/>
      </w:pPr>
      <w:r>
        <w:t>Post every stock outcome through apply_inventory_movement() inside a transaction.</w:t>
      </w:r>
    </w:p>
    <w:p>
      <w:pPr>
        <w:pStyle w:val="ListNumber"/>
        <w:spacing w:after="60"/>
      </w:pPr>
      <w:r>
        <w:t>Add regression cleanup for every new table or file record.</w:t>
      </w:r>
    </w:p>
    <w:p>
      <w:pPr>
        <w:pStyle w:val="ListNumber"/>
        <w:spacing w:after="60"/>
      </w:pPr>
      <w:r>
        <w:t>Run full regression and stock invariants before and after production deployment.</w:t>
      </w:r>
    </w:p>
    <w:p>
      <w:pPr>
        <w:pStyle w:val="ListNumber"/>
        <w:spacing w:after="60"/>
      </w:pPr>
      <w:r>
        <w:t>Update docs/developer-handover.md, docs/system-diagrams.md, and in-app documentation in the same release.</w:t>
      </w:r>
    </w:p>
    <w:p>
      <w:pPr>
        <w:pStyle w:val="Heading1"/>
        <w:keepNext/>
      </w:pPr>
      <w:r>
        <w:t>22. July 28 Production Evidence</w:t>
      </w:r>
    </w:p>
    <w:tbl>
      <w:tblPr>
        <w:tblStyle w:val="TableGrid"/>
        <w:tblW w:type="auto" w:w="0"/>
        <w:tblLayout w:type="fixed"/>
        <w:tblLook w:firstColumn="1" w:firstRow="1" w:lastColumn="0" w:lastRow="0" w:noHBand="0" w:noVBand="1" w:val="04A0"/>
      </w:tblPr>
      <w:tblGrid>
        <w:gridCol w:w="5040"/>
        <w:gridCol w:w="5040"/>
      </w:tblGrid>
      <w:tr>
        <w:trPr>
          <w:tblHeader/>
          <w:cantSplit/>
        </w:trPr>
        <w:tc>
          <w:tcPr>
            <w:tcW w:type="dxa" w:w="2448"/>
            <w:shd w:fill="EAB83F"/>
            <w:tcMar>
              <w:top w:w="70" w:type="dxa"/>
              <w:start w:w="90" w:type="dxa"/>
              <w:bottom w:w="70" w:type="dxa"/>
              <w:end w:w="90" w:type="dxa"/>
            </w:tcMar>
          </w:tcPr>
          <w:p>
            <w:pPr>
              <w:spacing w:after="0"/>
            </w:pPr>
            <w:r>
              <w:rPr>
                <w:b/>
                <w:color w:val="111111"/>
                <w:sz w:val="17"/>
              </w:rPr>
              <w:t>Control</w:t>
            </w:r>
          </w:p>
        </w:tc>
        <w:tc>
          <w:tcPr>
            <w:tcW w:type="dxa" w:w="7920"/>
            <w:shd w:fill="EAB83F"/>
            <w:tcMar>
              <w:top w:w="70" w:type="dxa"/>
              <w:start w:w="90" w:type="dxa"/>
              <w:bottom w:w="70" w:type="dxa"/>
              <w:end w:w="90" w:type="dxa"/>
            </w:tcMar>
          </w:tcPr>
          <w:p>
            <w:pPr>
              <w:spacing w:after="0"/>
            </w:pPr>
            <w:r>
              <w:rPr>
                <w:b/>
                <w:color w:val="111111"/>
                <w:sz w:val="17"/>
              </w:rPr>
              <w:t>Verified result</w:t>
            </w:r>
          </w:p>
        </w:tc>
      </w:tr>
      <w:tr>
        <w:trPr>
          <w:cantSplit/>
        </w:trPr>
        <w:tc>
          <w:tcPr>
            <w:tcW w:type="dxa" w:w="2448"/>
            <w:shd w:fill="FFFFFF"/>
            <w:tcMar>
              <w:top w:w="70" w:type="dxa"/>
              <w:start w:w="90" w:type="dxa"/>
              <w:bottom w:w="70" w:type="dxa"/>
              <w:end w:w="90" w:type="dxa"/>
            </w:tcMar>
          </w:tcPr>
          <w:p>
            <w:pPr>
              <w:spacing w:after="0"/>
            </w:pPr>
            <w:r>
              <w:rPr>
                <w:color w:val="111111"/>
                <w:sz w:val="16"/>
              </w:rPr>
              <w:t>Release commits</w:t>
            </w:r>
          </w:p>
        </w:tc>
        <w:tc>
          <w:tcPr>
            <w:tcW w:type="dxa" w:w="7920"/>
            <w:shd w:fill="FFFFFF"/>
            <w:tcMar>
              <w:top w:w="70" w:type="dxa"/>
              <w:start w:w="90" w:type="dxa"/>
              <w:bottom w:w="70" w:type="dxa"/>
              <w:end w:w="90" w:type="dxa"/>
            </w:tcMar>
          </w:tcPr>
          <w:p>
            <w:pPr>
              <w:spacing w:after="0"/>
            </w:pPr>
            <w:r>
              <w:rPr>
                <w:color w:val="111111"/>
                <w:sz w:val="16"/>
              </w:rPr>
              <w:t>27f1571 custody workflow; 3e4661a PHP 7.4 compatibility; 69542db custody return completion regression fix</w:t>
            </w:r>
          </w:p>
        </w:tc>
      </w:tr>
      <w:tr>
        <w:trPr>
          <w:cantSplit/>
        </w:trPr>
        <w:tc>
          <w:tcPr>
            <w:tcW w:type="dxa" w:w="2448"/>
            <w:shd w:fill="F7F5F0"/>
            <w:tcMar>
              <w:top w:w="70" w:type="dxa"/>
              <w:start w:w="90" w:type="dxa"/>
              <w:bottom w:w="70" w:type="dxa"/>
              <w:end w:w="90" w:type="dxa"/>
            </w:tcMar>
          </w:tcPr>
          <w:p>
            <w:pPr>
              <w:spacing w:after="0"/>
            </w:pPr>
            <w:r>
              <w:rPr>
                <w:color w:val="111111"/>
                <w:sz w:val="16"/>
              </w:rPr>
              <w:t>Production backup</w:t>
            </w:r>
          </w:p>
        </w:tc>
        <w:tc>
          <w:tcPr>
            <w:tcW w:type="dxa" w:w="7920"/>
            <w:shd w:fill="F7F5F0"/>
            <w:tcMar>
              <w:top w:w="70" w:type="dxa"/>
              <w:start w:w="90" w:type="dxa"/>
              <w:bottom w:w="70" w:type="dxa"/>
              <w:end w:w="90" w:type="dxa"/>
            </w:tcMar>
          </w:tcPr>
          <w:p>
            <w:pPr>
              <w:spacing w:after="0"/>
            </w:pPr>
            <w:r>
              <w:rPr>
                <w:color w:val="111111"/>
                <w:sz w:val="16"/>
              </w:rPr>
              <w:t>inventory-backup-20260728-154527 SQL, manifest, and files archive</w:t>
            </w:r>
          </w:p>
        </w:tc>
      </w:tr>
      <w:tr>
        <w:trPr>
          <w:cantSplit/>
        </w:trPr>
        <w:tc>
          <w:tcPr>
            <w:tcW w:type="dxa" w:w="2448"/>
            <w:shd w:fill="FFFFFF"/>
            <w:tcMar>
              <w:top w:w="70" w:type="dxa"/>
              <w:start w:w="90" w:type="dxa"/>
              <w:bottom w:w="70" w:type="dxa"/>
              <w:end w:w="90" w:type="dxa"/>
            </w:tcMar>
          </w:tcPr>
          <w:p>
            <w:pPr>
              <w:spacing w:after="0"/>
            </w:pPr>
            <w:r>
              <w:rPr>
                <w:color w:val="111111"/>
                <w:sz w:val="16"/>
              </w:rPr>
              <w:t>Backup contents</w:t>
            </w:r>
          </w:p>
        </w:tc>
        <w:tc>
          <w:tcPr>
            <w:tcW w:type="dxa" w:w="7920"/>
            <w:shd w:fill="FFFFFF"/>
            <w:tcMar>
              <w:top w:w="70" w:type="dxa"/>
              <w:start w:w="90" w:type="dxa"/>
              <w:bottom w:w="70" w:type="dxa"/>
              <w:end w:w="90" w:type="dxa"/>
            </w:tcMar>
          </w:tcPr>
          <w:p>
            <w:pPr>
              <w:spacing w:after="0"/>
            </w:pPr>
            <w:r>
              <w:rPr>
                <w:color w:val="111111"/>
                <w:sz w:val="16"/>
              </w:rPr>
              <w:t>16,418 files, approximately 1.8 GB, no recorded warnings</w:t>
            </w:r>
          </w:p>
        </w:tc>
      </w:tr>
      <w:tr>
        <w:trPr>
          <w:cantSplit/>
        </w:trPr>
        <w:tc>
          <w:tcPr>
            <w:tcW w:type="dxa" w:w="2448"/>
            <w:shd w:fill="F7F5F0"/>
            <w:tcMar>
              <w:top w:w="70" w:type="dxa"/>
              <w:start w:w="90" w:type="dxa"/>
              <w:bottom w:w="70" w:type="dxa"/>
              <w:end w:w="90" w:type="dxa"/>
            </w:tcMar>
          </w:tcPr>
          <w:p>
            <w:pPr>
              <w:spacing w:after="0"/>
            </w:pPr>
            <w:r>
              <w:rPr>
                <w:color w:val="111111"/>
                <w:sz w:val="16"/>
              </w:rPr>
              <w:t>PHP/static checks</w:t>
            </w:r>
          </w:p>
        </w:tc>
        <w:tc>
          <w:tcPr>
            <w:tcW w:type="dxa" w:w="7920"/>
            <w:shd w:fill="F7F5F0"/>
            <w:tcMar>
              <w:top w:w="70" w:type="dxa"/>
              <w:start w:w="90" w:type="dxa"/>
              <w:bottom w:w="70" w:type="dxa"/>
              <w:end w:w="90" w:type="dxa"/>
            </w:tcMar>
          </w:tcPr>
          <w:p>
            <w:pPr>
              <w:spacing w:after="0"/>
            </w:pPr>
            <w:r>
              <w:rPr>
                <w:color w:val="111111"/>
                <w:sz w:val="16"/>
              </w:rPr>
              <w:t>PASS after the custody workflow correction</w:t>
            </w:r>
          </w:p>
        </w:tc>
      </w:tr>
      <w:tr>
        <w:trPr>
          <w:cantSplit/>
        </w:trPr>
        <w:tc>
          <w:tcPr>
            <w:tcW w:type="dxa" w:w="2448"/>
            <w:shd w:fill="FFFFFF"/>
            <w:tcMar>
              <w:top w:w="70" w:type="dxa"/>
              <w:start w:w="90" w:type="dxa"/>
              <w:bottom w:w="70" w:type="dxa"/>
              <w:end w:w="90" w:type="dxa"/>
            </w:tcMar>
          </w:tcPr>
          <w:p>
            <w:pPr>
              <w:spacing w:after="0"/>
            </w:pPr>
            <w:r>
              <w:rPr>
                <w:color w:val="111111"/>
                <w:sz w:val="16"/>
              </w:rPr>
              <w:t>Full regression</w:t>
            </w:r>
          </w:p>
        </w:tc>
        <w:tc>
          <w:tcPr>
            <w:tcW w:type="dxa" w:w="7920"/>
            <w:shd w:fill="FFFFFF"/>
            <w:tcMar>
              <w:top w:w="70" w:type="dxa"/>
              <w:start w:w="90" w:type="dxa"/>
              <w:bottom w:w="70" w:type="dxa"/>
              <w:end w:w="90" w:type="dxa"/>
            </w:tcMar>
          </w:tcPr>
          <w:p>
            <w:pPr>
              <w:spacing w:after="0"/>
            </w:pPr>
            <w:r>
              <w:rPr>
                <w:color w:val="111111"/>
                <w:sz w:val="16"/>
              </w:rPr>
              <w:t>PASS on production with temporary test records cleaned</w:t>
            </w:r>
          </w:p>
        </w:tc>
      </w:tr>
      <w:tr>
        <w:trPr>
          <w:cantSplit/>
        </w:trPr>
        <w:tc>
          <w:tcPr>
            <w:tcW w:type="dxa" w:w="2448"/>
            <w:shd w:fill="F7F5F0"/>
            <w:tcMar>
              <w:top w:w="70" w:type="dxa"/>
              <w:start w:w="90" w:type="dxa"/>
              <w:bottom w:w="70" w:type="dxa"/>
              <w:end w:w="90" w:type="dxa"/>
            </w:tcMar>
          </w:tcPr>
          <w:p>
            <w:pPr>
              <w:spacing w:after="0"/>
            </w:pPr>
            <w:r>
              <w:rPr>
                <w:color w:val="111111"/>
                <w:sz w:val="16"/>
              </w:rPr>
              <w:t>Stock invariants</w:t>
            </w:r>
          </w:p>
        </w:tc>
        <w:tc>
          <w:tcPr>
            <w:tcW w:type="dxa" w:w="7920"/>
            <w:shd w:fill="F7F5F0"/>
            <w:tcMar>
              <w:top w:w="70" w:type="dxa"/>
              <w:start w:w="90" w:type="dxa"/>
              <w:bottom w:w="70" w:type="dxa"/>
              <w:end w:w="90" w:type="dxa"/>
            </w:tcMar>
          </w:tcPr>
          <w:p>
            <w:pPr>
              <w:spacing w:after="0"/>
            </w:pPr>
            <w:r>
              <w:rPr>
                <w:color w:val="111111"/>
                <w:sz w:val="16"/>
              </w:rPr>
              <w:t>PASS after regression and cleanup</w:t>
            </w:r>
          </w:p>
        </w:tc>
      </w:tr>
      <w:tr>
        <w:trPr>
          <w:cantSplit/>
        </w:trPr>
        <w:tc>
          <w:tcPr>
            <w:tcW w:type="dxa" w:w="2448"/>
            <w:shd w:fill="FFFFFF"/>
            <w:tcMar>
              <w:top w:w="70" w:type="dxa"/>
              <w:start w:w="90" w:type="dxa"/>
              <w:bottom w:w="70" w:type="dxa"/>
              <w:end w:w="90" w:type="dxa"/>
            </w:tcMar>
          </w:tcPr>
          <w:p>
            <w:pPr>
              <w:spacing w:after="0"/>
            </w:pPr>
            <w:r>
              <w:rPr>
                <w:color w:val="111111"/>
                <w:sz w:val="16"/>
              </w:rPr>
              <w:t>Custody coverage</w:t>
            </w:r>
          </w:p>
        </w:tc>
        <w:tc>
          <w:tcPr>
            <w:tcW w:type="dxa" w:w="7920"/>
            <w:shd w:fill="FFFFFF"/>
            <w:tcMar>
              <w:top w:w="70" w:type="dxa"/>
              <w:start w:w="90" w:type="dxa"/>
              <w:bottom w:w="70" w:type="dxa"/>
              <w:end w:w="90" w:type="dxa"/>
            </w:tcMar>
          </w:tcPr>
          <w:p>
            <w:pPr>
              <w:spacing w:after="0"/>
            </w:pPr>
            <w:r>
              <w:rPr>
                <w:color w:val="111111"/>
                <w:sz w:val="16"/>
              </w:rPr>
              <w:t>Receipt, partial return, damage proof, rejection/correction, approval, replacement, return-to-service, disposal</w:t>
            </w:r>
          </w:p>
        </w:tc>
      </w:tr>
    </w:tbl>
    <w:p>
      <w:pPr>
        <w:spacing w:after="20"/>
      </w:pPr>
    </w:p>
    <w:p>
      <w:pPr>
        <w:spacing w:after="100" w:line="252" w:lineRule="auto"/>
      </w:pPr>
      <w:r>
        <w:t>The test evidence verifies stock behavior and lifecycle controls. It does not replace operating discipline: real users must still attach honest evidence, close overdue custody, and review quarantine regularly.</w:t>
      </w:r>
    </w:p>
    <w:p>
      <w:pPr>
        <w:pStyle w:val="Heading1"/>
        <w:keepNext/>
      </w:pPr>
      <w:r>
        <w:t>23. Current Developer Source Of Truth</w:t>
      </w:r>
    </w:p>
    <w:tbl>
      <w:tblPr>
        <w:tblStyle w:val="TableGrid"/>
        <w:tblW w:type="auto" w:w="0"/>
        <w:tblLayout w:type="fixed"/>
        <w:tblLook w:firstColumn="1" w:firstRow="1" w:lastColumn="0" w:lastRow="0" w:noHBand="0" w:noVBand="1" w:val="04A0"/>
      </w:tblPr>
      <w:tblGrid>
        <w:gridCol w:w="5040"/>
        <w:gridCol w:w="5040"/>
      </w:tblGrid>
      <w:tr>
        <w:trPr>
          <w:tblHeader/>
          <w:cantSplit/>
        </w:trPr>
        <w:tc>
          <w:tcPr>
            <w:tcW w:type="dxa" w:w="3600"/>
            <w:shd w:fill="EAB83F"/>
            <w:tcMar>
              <w:top w:w="70" w:type="dxa"/>
              <w:start w:w="90" w:type="dxa"/>
              <w:bottom w:w="70" w:type="dxa"/>
              <w:end w:w="90" w:type="dxa"/>
            </w:tcMar>
          </w:tcPr>
          <w:p>
            <w:pPr>
              <w:spacing w:after="0"/>
            </w:pPr>
            <w:r>
              <w:rPr>
                <w:b/>
                <w:color w:val="111111"/>
                <w:sz w:val="17"/>
              </w:rPr>
              <w:t>Resource</w:t>
            </w:r>
          </w:p>
        </w:tc>
        <w:tc>
          <w:tcPr>
            <w:tcW w:type="dxa" w:w="6768"/>
            <w:shd w:fill="EAB83F"/>
            <w:tcMar>
              <w:top w:w="70" w:type="dxa"/>
              <w:start w:w="90" w:type="dxa"/>
              <w:bottom w:w="70" w:type="dxa"/>
              <w:end w:w="90" w:type="dxa"/>
            </w:tcMar>
          </w:tcPr>
          <w:p>
            <w:pPr>
              <w:spacing w:after="0"/>
            </w:pPr>
            <w:r>
              <w:rPr>
                <w:b/>
                <w:color w:val="111111"/>
                <w:sz w:val="17"/>
              </w:rPr>
              <w:t>Purpose</w:t>
            </w:r>
          </w:p>
        </w:tc>
      </w:tr>
      <w:tr>
        <w:trPr>
          <w:cantSplit/>
        </w:trPr>
        <w:tc>
          <w:tcPr>
            <w:tcW w:type="dxa" w:w="3600"/>
            <w:shd w:fill="FFFFFF"/>
            <w:tcMar>
              <w:top w:w="70" w:type="dxa"/>
              <w:start w:w="90" w:type="dxa"/>
              <w:bottom w:w="70" w:type="dxa"/>
              <w:end w:w="90" w:type="dxa"/>
            </w:tcMar>
          </w:tcPr>
          <w:p>
            <w:pPr>
              <w:spacing w:after="0"/>
            </w:pPr>
            <w:r>
              <w:rPr>
                <w:color w:val="111111"/>
                <w:sz w:val="16"/>
              </w:rPr>
              <w:t>docs/developer-handover.md</w:t>
            </w:r>
          </w:p>
        </w:tc>
        <w:tc>
          <w:tcPr>
            <w:tcW w:type="dxa" w:w="6768"/>
            <w:shd w:fill="FFFFFF"/>
            <w:tcMar>
              <w:top w:w="70" w:type="dxa"/>
              <w:start w:w="90" w:type="dxa"/>
              <w:bottom w:w="70" w:type="dxa"/>
              <w:end w:w="90" w:type="dxa"/>
            </w:tcMar>
          </w:tcPr>
          <w:p>
            <w:pPr>
              <w:spacing w:after="0"/>
            </w:pPr>
            <w:r>
              <w:rPr>
                <w:color w:val="111111"/>
                <w:sz w:val="16"/>
              </w:rPr>
              <w:t>Maintained architecture, setup, deployment, rollback, testing, and extension guide</w:t>
            </w:r>
          </w:p>
        </w:tc>
      </w:tr>
      <w:tr>
        <w:trPr>
          <w:cantSplit/>
        </w:trPr>
        <w:tc>
          <w:tcPr>
            <w:tcW w:type="dxa" w:w="3600"/>
            <w:shd w:fill="F7F5F0"/>
            <w:tcMar>
              <w:top w:w="70" w:type="dxa"/>
              <w:start w:w="90" w:type="dxa"/>
              <w:bottom w:w="70" w:type="dxa"/>
              <w:end w:w="90" w:type="dxa"/>
            </w:tcMar>
          </w:tcPr>
          <w:p>
            <w:pPr>
              <w:spacing w:after="0"/>
            </w:pPr>
            <w:r>
              <w:rPr>
                <w:color w:val="111111"/>
                <w:sz w:val="16"/>
              </w:rPr>
              <w:t>docs/system-diagrams.md</w:t>
            </w:r>
          </w:p>
        </w:tc>
        <w:tc>
          <w:tcPr>
            <w:tcW w:type="dxa" w:w="6768"/>
            <w:shd w:fill="F7F5F0"/>
            <w:tcMar>
              <w:top w:w="70" w:type="dxa"/>
              <w:start w:w="90" w:type="dxa"/>
              <w:bottom w:w="70" w:type="dxa"/>
              <w:end w:w="90" w:type="dxa"/>
            </w:tcMar>
          </w:tcPr>
          <w:p>
            <w:pPr>
              <w:spacing w:after="0"/>
            </w:pPr>
            <w:r>
              <w:rPr>
                <w:color w:val="111111"/>
                <w:sz w:val="16"/>
              </w:rPr>
              <w:t>Mermaid data-flow and use-case diagrams</w:t>
            </w:r>
          </w:p>
        </w:tc>
      </w:tr>
      <w:tr>
        <w:trPr>
          <w:cantSplit/>
        </w:trPr>
        <w:tc>
          <w:tcPr>
            <w:tcW w:type="dxa" w:w="3600"/>
            <w:shd w:fill="FFFFFF"/>
            <w:tcMar>
              <w:top w:w="70" w:type="dxa"/>
              <w:start w:w="90" w:type="dxa"/>
              <w:bottom w:w="70" w:type="dxa"/>
              <w:end w:w="90" w:type="dxa"/>
            </w:tcMar>
          </w:tcPr>
          <w:p>
            <w:pPr>
              <w:spacing w:after="0"/>
            </w:pPr>
            <w:r>
              <w:rPr>
                <w:color w:val="111111"/>
                <w:sz w:val="16"/>
              </w:rPr>
              <w:t>app/module_manifest.php</w:t>
            </w:r>
          </w:p>
        </w:tc>
        <w:tc>
          <w:tcPr>
            <w:tcW w:type="dxa" w:w="6768"/>
            <w:shd w:fill="FFFFFF"/>
            <w:tcMar>
              <w:top w:w="70" w:type="dxa"/>
              <w:start w:w="90" w:type="dxa"/>
              <w:bottom w:w="70" w:type="dxa"/>
              <w:end w:w="90" w:type="dxa"/>
            </w:tcMar>
          </w:tcPr>
          <w:p>
            <w:pPr>
              <w:spacing w:after="0"/>
            </w:pPr>
            <w:r>
              <w:rPr>
                <w:color w:val="111111"/>
                <w:sz w:val="16"/>
              </w:rPr>
              <w:t>Authoritative PHP module load order and ownership</w:t>
            </w:r>
          </w:p>
        </w:tc>
      </w:tr>
      <w:tr>
        <w:trPr>
          <w:cantSplit/>
        </w:trPr>
        <w:tc>
          <w:tcPr>
            <w:tcW w:type="dxa" w:w="3600"/>
            <w:shd w:fill="F7F5F0"/>
            <w:tcMar>
              <w:top w:w="70" w:type="dxa"/>
              <w:start w:w="90" w:type="dxa"/>
              <w:bottom w:w="70" w:type="dxa"/>
              <w:end w:w="90" w:type="dxa"/>
            </w:tcMar>
          </w:tcPr>
          <w:p>
            <w:pPr>
              <w:spacing w:after="0"/>
            </w:pPr>
            <w:r>
              <w:rPr>
                <w:color w:val="111111"/>
                <w:sz w:val="16"/>
              </w:rPr>
              <w:t>assets/js/app.js and registries</w:t>
            </w:r>
          </w:p>
        </w:tc>
        <w:tc>
          <w:tcPr>
            <w:tcW w:type="dxa" w:w="6768"/>
            <w:shd w:fill="F7F5F0"/>
            <w:tcMar>
              <w:top w:w="70" w:type="dxa"/>
              <w:start w:w="90" w:type="dxa"/>
              <w:bottom w:w="70" w:type="dxa"/>
              <w:end w:w="90" w:type="dxa"/>
            </w:tcMar>
          </w:tcPr>
          <w:p>
            <w:pPr>
              <w:spacing w:after="0"/>
            </w:pPr>
            <w:r>
              <w:rPr>
                <w:color w:val="111111"/>
                <w:sz w:val="16"/>
              </w:rPr>
              <w:t>Native ES-module bootstrap and AJAX reinitialization</w:t>
            </w:r>
          </w:p>
        </w:tc>
      </w:tr>
      <w:tr>
        <w:trPr>
          <w:cantSplit/>
        </w:trPr>
        <w:tc>
          <w:tcPr>
            <w:tcW w:type="dxa" w:w="3600"/>
            <w:shd w:fill="FFFFFF"/>
            <w:tcMar>
              <w:top w:w="70" w:type="dxa"/>
              <w:start w:w="90" w:type="dxa"/>
              <w:bottom w:w="70" w:type="dxa"/>
              <w:end w:w="90" w:type="dxa"/>
            </w:tcMar>
          </w:tcPr>
          <w:p>
            <w:pPr>
              <w:spacing w:after="0"/>
            </w:pPr>
            <w:r>
              <w:rPr>
                <w:color w:val="111111"/>
                <w:sz w:val="16"/>
              </w:rPr>
              <w:t>tests/full_regression.php</w:t>
            </w:r>
          </w:p>
        </w:tc>
        <w:tc>
          <w:tcPr>
            <w:tcW w:type="dxa" w:w="6768"/>
            <w:shd w:fill="FFFFFF"/>
            <w:tcMar>
              <w:top w:w="70" w:type="dxa"/>
              <w:start w:w="90" w:type="dxa"/>
              <w:bottom w:w="70" w:type="dxa"/>
              <w:end w:w="90" w:type="dxa"/>
            </w:tcMar>
          </w:tcPr>
          <w:p>
            <w:pPr>
              <w:spacing w:after="0"/>
            </w:pPr>
            <w:r>
              <w:rPr>
                <w:color w:val="111111"/>
                <w:sz w:val="16"/>
              </w:rPr>
              <w:t>Lifecycle regression and temporary-record cleanup</w:t>
            </w:r>
          </w:p>
        </w:tc>
      </w:tr>
      <w:tr>
        <w:trPr>
          <w:cantSplit/>
        </w:trPr>
        <w:tc>
          <w:tcPr>
            <w:tcW w:type="dxa" w:w="3600"/>
            <w:shd w:fill="F7F5F0"/>
            <w:tcMar>
              <w:top w:w="70" w:type="dxa"/>
              <w:start w:w="90" w:type="dxa"/>
              <w:bottom w:w="70" w:type="dxa"/>
              <w:end w:w="90" w:type="dxa"/>
            </w:tcMar>
          </w:tcPr>
          <w:p>
            <w:pPr>
              <w:spacing w:after="0"/>
            </w:pPr>
            <w:r>
              <w:rPr>
                <w:color w:val="111111"/>
                <w:sz w:val="16"/>
              </w:rPr>
              <w:t>tests/stock_invariants.php</w:t>
            </w:r>
          </w:p>
        </w:tc>
        <w:tc>
          <w:tcPr>
            <w:tcW w:type="dxa" w:w="6768"/>
            <w:shd w:fill="F7F5F0"/>
            <w:tcMar>
              <w:top w:w="70" w:type="dxa"/>
              <w:start w:w="90" w:type="dxa"/>
              <w:bottom w:w="70" w:type="dxa"/>
              <w:end w:w="90" w:type="dxa"/>
            </w:tcMar>
          </w:tcPr>
          <w:p>
            <w:pPr>
              <w:spacing w:after="0"/>
            </w:pPr>
            <w:r>
              <w:rPr>
                <w:color w:val="111111"/>
                <w:sz w:val="16"/>
              </w:rPr>
              <w:t>Production stock consistency gate</w:t>
            </w:r>
          </w:p>
        </w:tc>
      </w:tr>
    </w:tbl>
    <w:p>
      <w:pPr>
        <w:spacing w:after="20"/>
      </w:pPr>
    </w:p>
    <w:p>
      <w:pPr>
        <w:pStyle w:val="NoSpacing"/>
      </w:pPr>
      <w:r>
        <w:rPr>
          <w:rFonts w:ascii="Courier New" w:hAnsi="Courier New"/>
          <w:sz w:val="16"/>
        </w:rPr>
        <w:t>php scripts/backup.php</w:t>
        <w:br/>
        <w:t>find app views scripts tests -name '*.php' -print0 | xargs -0 -n1 php -l</w:t>
        <w:br/>
        <w:t>node --check assets/app.js</w:t>
        <w:br/>
        <w:t>php tests/full_regression.php --base-url=https://inventory.ahmaddalao.com --allow-live</w:t>
        <w:br/>
        <w:t>php tests/stock_invariants.php</w:t>
      </w:r>
    </w:p>
    <w:sectPr w:rsidR="00FC693F" w:rsidRPr="0006063C" w:rsidSect="00034616">
      <w:headerReference w:type="default" r:id="rId9"/>
      <w:footerReference w:type="default" r:id="rId10"/>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6D7078"/>
        <w:sz w:val="16"/>
      </w:rPr>
      <w:t>Internal technical handover | July 28,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6D7078"/>
        <w:sz w:val="16"/>
      </w:rPr>
      <w:t>Inventory KONA | Developer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111111"/>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B78918"/>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1111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b/>
      <w:color w:val="11111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iCs/>
      <w:color w:val="6D707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89" w:hanging="216"/>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KONA Developer Handover - July 28, 2026</dc:title>
  <dc:subject>Architecture, modules, stock invariants, custody, testing, deployment, rollback, and safe extension</dc:subject>
  <dc:creator>python-docx</dc:creator>
  <cp:keywords/>
  <dc:description>Updated after the production long-term custody and quarantine release.</dc:description>
  <cp:lastModifiedBy/>
  <cp:revision>1</cp:revision>
  <dcterms:created xsi:type="dcterms:W3CDTF">2013-12-23T23:15:00Z</dcterms:created>
  <dcterms:modified xsi:type="dcterms:W3CDTF">2013-12-23T23:15:00Z</dcterms:modified>
  <cp:category/>
</cp:coreProperties>
</file>