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920240" cy="516929"/>
            <wp:docPr id="1" name="Picture 1"/>
            <wp:cNvGraphicFramePr>
              <a:graphicFrameLocks noChangeAspect="1"/>
            </wp:cNvGraphicFramePr>
            <a:graphic>
              <a:graphicData uri="http://schemas.openxmlformats.org/drawingml/2006/picture">
                <pic:pic>
                  <pic:nvPicPr>
                    <pic:cNvPr id="0" name="kona-logo-official.png"/>
                    <pic:cNvPicPr/>
                  </pic:nvPicPr>
                  <pic:blipFill>
                    <a:blip r:embed="rId11"/>
                    <a:stretch>
                      <a:fillRect/>
                    </a:stretch>
                  </pic:blipFill>
                  <pic:spPr>
                    <a:xfrm>
                      <a:off x="0" y="0"/>
                      <a:ext cx="1920240" cy="516929"/>
                    </a:xfrm>
                    <a:prstGeom prst="rect"/>
                  </pic:spPr>
                </pic:pic>
              </a:graphicData>
            </a:graphic>
          </wp:inline>
        </w:drawing>
      </w:r>
    </w:p>
    <w:p>
      <w:pPr>
        <w:pStyle w:val="Title"/>
      </w:pPr>
      <w:r>
        <w:t>Inventory KONA Developer Handover</w:t>
      </w:r>
    </w:p>
    <w:p>
      <w:pPr>
        <w:pStyle w:val="Subtitle"/>
      </w:pPr>
      <w:r>
        <w:t>Architecture, module ownership, stock invariants, workflow rules, testing, deployment, rollback, and safe extension guide.</w:t>
      </w:r>
    </w:p>
    <w:p>
      <w:pPr>
        <w:spacing w:after="20"/>
      </w:pPr>
      <w:r>
        <w:rPr>
          <w:rFonts w:ascii="Calibri" w:hAnsi="Calibri"/>
          <w:b/>
          <w:color w:val="B78918"/>
          <w:sz w:val="18"/>
        </w:rPr>
        <w:t xml:space="preserve">Production URL: </w:t>
      </w:r>
      <w:r>
        <w:rPr>
          <w:rFonts w:ascii="Calibri" w:hAnsi="Calibri"/>
          <w:b w:val="0"/>
          <w:color w:val="111111"/>
          <w:sz w:val="18"/>
        </w:rPr>
        <w:t>https://inventory.ahmaddalao.com</w:t>
      </w:r>
    </w:p>
    <w:p>
      <w:pPr>
        <w:spacing w:after="20"/>
      </w:pPr>
      <w:r>
        <w:rPr>
          <w:rFonts w:ascii="Calibri" w:hAnsi="Calibri"/>
          <w:b/>
          <w:color w:val="B78918"/>
          <w:sz w:val="18"/>
        </w:rPr>
        <w:t xml:space="preserve">Production path: </w:t>
      </w:r>
      <w:r>
        <w:rPr>
          <w:rFonts w:ascii="Calibri" w:hAnsi="Calibri"/>
          <w:b w:val="0"/>
          <w:color w:val="111111"/>
          <w:sz w:val="18"/>
        </w:rPr>
        <w:t>/home/u867436826/domains/ahmaddalao.com/public_html/inventory</w:t>
      </w:r>
    </w:p>
    <w:p>
      <w:pPr>
        <w:spacing w:after="20"/>
      </w:pPr>
      <w:r>
        <w:rPr>
          <w:rFonts w:ascii="Calibri" w:hAnsi="Calibri"/>
          <w:b/>
          <w:color w:val="B78918"/>
          <w:sz w:val="18"/>
        </w:rPr>
        <w:t xml:space="preserve">Repository: </w:t>
      </w:r>
      <w:r>
        <w:rPr>
          <w:rFonts w:ascii="Calibri" w:hAnsi="Calibri"/>
          <w:b w:val="0"/>
          <w:color w:val="111111"/>
          <w:sz w:val="18"/>
        </w:rPr>
        <w:t>https://github.com/AhmadDalao/inventory.git</w:t>
      </w:r>
    </w:p>
    <w:p>
      <w:pPr>
        <w:spacing w:after="20"/>
      </w:pPr>
      <w:r>
        <w:rPr>
          <w:rFonts w:ascii="Calibri" w:hAnsi="Calibri"/>
          <w:b/>
          <w:color w:val="B78918"/>
          <w:sz w:val="18"/>
        </w:rPr>
        <w:t xml:space="preserve">Branch: </w:t>
      </w:r>
      <w:r>
        <w:rPr>
          <w:rFonts w:ascii="Calibri" w:hAnsi="Calibri"/>
          <w:b w:val="0"/>
          <w:color w:val="111111"/>
          <w:sz w:val="18"/>
        </w:rPr>
        <w:t>main</w:t>
      </w:r>
    </w:p>
    <w:p>
      <w:pPr>
        <w:spacing w:after="20"/>
      </w:pPr>
      <w:r>
        <w:rPr>
          <w:rFonts w:ascii="Calibri" w:hAnsi="Calibri"/>
          <w:b/>
          <w:color w:val="B78918"/>
          <w:sz w:val="18"/>
        </w:rPr>
        <w:t xml:space="preserve">Verified application commit: </w:t>
      </w:r>
      <w:r>
        <w:rPr>
          <w:rFonts w:ascii="Calibri" w:hAnsi="Calibri"/>
          <w:b w:val="0"/>
          <w:color w:val="111111"/>
          <w:sz w:val="18"/>
        </w:rPr>
        <w:t>7b16698 - Verify purchase permission boundaries</w:t>
      </w:r>
    </w:p>
    <w:p>
      <w:pPr>
        <w:spacing w:after="20"/>
      </w:pPr>
      <w:r>
        <w:rPr>
          <w:rFonts w:ascii="Calibri" w:hAnsi="Calibri"/>
          <w:b/>
          <w:color w:val="B78918"/>
          <w:sz w:val="18"/>
        </w:rPr>
        <w:t xml:space="preserve">Local document build commit: </w:t>
      </w:r>
      <w:r>
        <w:rPr>
          <w:rFonts w:ascii="Calibri" w:hAnsi="Calibri"/>
          <w:b w:val="0"/>
          <w:color w:val="111111"/>
          <w:sz w:val="18"/>
        </w:rPr>
        <w:t>7b16698 Verify purchase permission boundaries</w:t>
      </w:r>
    </w:p>
    <w:p>
      <w:pPr>
        <w:spacing w:after="20"/>
      </w:pPr>
      <w:r>
        <w:rPr>
          <w:rFonts w:ascii="Calibri" w:hAnsi="Calibri"/>
          <w:b/>
          <w:color w:val="B78918"/>
          <w:sz w:val="18"/>
        </w:rPr>
        <w:t xml:space="preserve">Source developer guide: </w:t>
      </w:r>
      <w:r>
        <w:rPr>
          <w:rFonts w:ascii="Calibri" w:hAnsi="Calibri"/>
          <w:b w:val="0"/>
          <w:color w:val="111111"/>
          <w:sz w:val="18"/>
        </w:rPr>
        <w:t>docs/developer-handover.md</w:t>
      </w:r>
    </w:p>
    <w:tbl>
      <w:tblPr>
        <w:tblW w:type="dxa" w:w="9360"/>
        <w:jc w:val="left"/>
        <w:tblLayout w:type="fixed"/>
        <w:tblLook w:firstColumn="1" w:firstRow="1" w:lastColumn="0" w:lastRow="0" w:noHBand="0" w:noVBand="1" w:val="04A0"/>
      </w:tblPr>
      <w:tblGrid>
        <w:gridCol w:w="9360"/>
      </w:tblGrid>
      <w:tr>
        <w:tc>
          <w:tcPr>
            <w:tcW w:type="dxa" w:w="9360"/>
            <w:shd w:fill="FFF6D8"/>
            <w:tcBorders>
              <w:top w:val="single" w:sz="4" w:color="D9D2C3"/>
              <w:left w:val="single" w:sz="4" w:color="D9D2C3"/>
              <w:bottom w:val="single" w:sz="4" w:color="D9D2C3"/>
              <w:right w:val="single" w:sz="4" w:color="D9D2C3"/>
              <w:insideH w:val="single" w:sz="4" w:color="D9D2C3"/>
              <w:insideV w:val="single" w:sz="4" w:color="D9D2C3"/>
            </w:tcBorders>
            <w:tcMar>
              <w:top w:w="110" w:type="dxa"/>
              <w:start w:w="140" w:type="dxa"/>
              <w:bottom w:w="110" w:type="dxa"/>
              <w:end w:w="140" w:type="dxa"/>
            </w:tcMar>
          </w:tcPr>
          <w:p>
            <w:r>
              <w:rPr>
                <w:rFonts w:ascii="Calibri" w:hAnsi="Calibri"/>
                <w:b/>
                <w:color w:val="B78918"/>
                <w:sz w:val="20"/>
              </w:rPr>
              <w:t>Handover position</w:t>
              <w:br/>
            </w:r>
            <w:r>
              <w:rPr>
                <w:rFonts w:ascii="Calibri" w:hAnsi="Calibri"/>
                <w:b w:val="0"/>
                <w:color w:val="111111"/>
                <w:sz w:val="19"/>
              </w:rPr>
              <w:t>The application is modular and production-ready for internal use. Do not rewrite it into classes or a framework for style points. Preserve public routes and function names, place new behavior in the focused domain module, and prove stock behavior with regression plus stock invariants.</w:t>
            </w:r>
          </w:p>
        </w:tc>
      </w:tr>
    </w:tbl>
    <w:p>
      <w:pPr>
        <w:spacing w:after="0"/>
      </w:pPr>
    </w:p>
    <w:p>
      <w:pPr>
        <w:pStyle w:val="Heading1"/>
      </w:pPr>
      <w:r>
        <w:t>1. System And Architecture</w:t>
      </w:r>
    </w:p>
    <w:p>
      <w:pPr>
        <w:pStyle w:val="ListBullet"/>
      </w:pPr>
      <w:r>
        <w:rPr>
          <w:rFonts w:ascii="Calibri" w:hAnsi="Calibri"/>
          <w:b w:val="0"/>
          <w:color w:val="111111"/>
          <w:sz w:val="19"/>
        </w:rPr>
        <w:t>Plain PHP and MySQL application. It is not Laravel.</w:t>
      </w:r>
    </w:p>
    <w:p>
      <w:pPr>
        <w:pStyle w:val="ListBullet"/>
      </w:pPr>
      <w:r>
        <w:rPr>
          <w:rFonts w:ascii="Calibri" w:hAnsi="Calibri"/>
          <w:b w:val="0"/>
          <w:color w:val="111111"/>
          <w:sz w:val="19"/>
        </w:rPr>
        <w:t>index.php is the public route registry. Existing URLs must stay stable unless a route change is deliberate.</w:t>
      </w:r>
    </w:p>
    <w:p>
      <w:pPr>
        <w:pStyle w:val="ListBullet"/>
      </w:pPr>
      <w:r>
        <w:rPr>
          <w:rFonts w:ascii="Calibri" w:hAnsi="Calibri"/>
          <w:b w:val="0"/>
          <w:color w:val="111111"/>
          <w:sz w:val="19"/>
        </w:rPr>
        <w:t>app/module_manifest.php defines 11 domain groups and 146 focused modules.</w:t>
      </w:r>
    </w:p>
    <w:p>
      <w:pPr>
        <w:pStyle w:val="ListBullet"/>
      </w:pPr>
      <w:r>
        <w:rPr>
          <w:rFonts w:ascii="Calibri" w:hAnsi="Calibri"/>
          <w:b w:val="0"/>
          <w:color w:val="111111"/>
          <w:sz w:val="19"/>
        </w:rPr>
        <w:t>app/modules.php flattens the manifest and loads the focused modules.</w:t>
      </w:r>
    </w:p>
    <w:p>
      <w:pPr>
        <w:pStyle w:val="ListBullet"/>
      </w:pPr>
      <w:r>
        <w:rPr>
          <w:rFonts w:ascii="Calibri" w:hAnsi="Calibri"/>
          <w:b w:val="0"/>
          <w:color w:val="111111"/>
          <w:sz w:val="19"/>
        </w:rPr>
        <w:t>app/support contains bootstrap-safe permissions, HTTP/security, branding, settings, and presentation helpers.</w:t>
      </w:r>
    </w:p>
    <w:p>
      <w:pPr>
        <w:pStyle w:val="ListBullet"/>
      </w:pPr>
      <w:r>
        <w:rPr>
          <w:rFonts w:ascii="Calibri" w:hAnsi="Calibri"/>
          <w:b w:val="0"/>
          <w:color w:val="111111"/>
          <w:sz w:val="19"/>
        </w:rPr>
        <w:t>app/maintenance contains schema checks, backfills, and permission seeds.</w:t>
      </w:r>
    </w:p>
    <w:p>
      <w:pPr>
        <w:pStyle w:val="ListBullet"/>
      </w:pPr>
      <w:r>
        <w:rPr>
          <w:rFonts w:ascii="Calibri" w:hAnsi="Calibri"/>
          <w:b w:val="0"/>
          <w:color w:val="111111"/>
          <w:sz w:val="19"/>
        </w:rPr>
        <w:t>Legacy aggregate files are compatibility loaders only. Never add new business logic to app/controllers.php, app/workflows.php, app/company_assets.php, or app/report_presets.php.</w:t>
      </w:r>
    </w:p>
    <w:tbl>
      <w:tblPr>
        <w:tblW w:type="dxa" w:w="9360"/>
        <w:jc w:val="left"/>
        <w:tblLayout w:type="fixed"/>
        <w:tblLook w:firstColumn="1" w:firstRow="1" w:lastColumn="0" w:lastRow="0" w:noHBand="0" w:noVBand="1" w:val="04A0"/>
      </w:tblPr>
      <w:tblGrid>
        <w:gridCol w:w="1944"/>
        <w:gridCol w:w="936"/>
        <w:gridCol w:w="6480"/>
      </w:tblGrid>
      <w:tr>
        <w:tc>
          <w:tcPr>
            <w:tcW w:type="dxa" w:w="1944"/>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Manifest group</w:t>
            </w:r>
          </w:p>
        </w:tc>
        <w:tc>
          <w:tcPr>
            <w:tcW w:type="dxa" w:w="936"/>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Modules</w:t>
            </w:r>
          </w:p>
        </w:tc>
        <w:tc>
          <w:tcPr>
            <w:tcW w:type="dxa" w:w="6480"/>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Main responsibility</w:t>
            </w:r>
          </w:p>
        </w:tc>
      </w:tr>
      <w:tr>
        <w:tc>
          <w:tcPr>
            <w:tcW w:type="dxa" w:w="194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core</w:t>
            </w:r>
          </w:p>
        </w:tc>
        <w:tc>
          <w:tcPr>
            <w:tcW w:type="dxa" w:w="93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17</w:t>
            </w:r>
          </w:p>
        </w:tc>
        <w:tc>
          <w:tcPr>
            <w:tcW w:type="dxa" w:w="648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Auth, settings, users, email, shared selectors and exports.</w:t>
            </w:r>
          </w:p>
        </w:tc>
      </w:tr>
      <w:tr>
        <w:tc>
          <w:tcPr>
            <w:tcW w:type="dxa" w:w="194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inventory</w:t>
            </w:r>
          </w:p>
        </w:tc>
        <w:tc>
          <w:tcPr>
            <w:tcW w:type="dxa" w:w="93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17</w:t>
            </w:r>
          </w:p>
        </w:tc>
        <w:tc>
          <w:tcPr>
            <w:tcW w:type="dxa" w:w="648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Items, storages, balances, movements, stock posting and package presets.</w:t>
            </w:r>
          </w:p>
        </w:tc>
      </w:tr>
      <w:tr>
        <w:tc>
          <w:tcPr>
            <w:tcW w:type="dxa" w:w="194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exports</w:t>
            </w:r>
          </w:p>
        </w:tc>
        <w:tc>
          <w:tcPr>
            <w:tcW w:type="dxa" w:w="93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9</w:t>
            </w:r>
          </w:p>
        </w:tc>
        <w:tc>
          <w:tcPr>
            <w:tcW w:type="dxa" w:w="648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Item, movement, storage, workflow and daily summary exports.</w:t>
            </w:r>
          </w:p>
        </w:tc>
      </w:tr>
      <w:tr>
        <w:tc>
          <w:tcPr>
            <w:tcW w:type="dxa" w:w="194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reports_and_search</w:t>
            </w:r>
          </w:p>
        </w:tc>
        <w:tc>
          <w:tcPr>
            <w:tcW w:type="dxa" w:w="93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18</w:t>
            </w:r>
          </w:p>
        </w:tc>
        <w:tc>
          <w:tcPr>
            <w:tcW w:type="dxa" w:w="648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Dashboard, reports, presets, notifications, global search and Scan Center.</w:t>
            </w:r>
          </w:p>
        </w:tc>
      </w:tr>
      <w:tr>
        <w:tc>
          <w:tcPr>
            <w:tcW w:type="dxa" w:w="194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handover_usage</w:t>
            </w:r>
          </w:p>
        </w:tc>
        <w:tc>
          <w:tcPr>
            <w:tcW w:type="dxa" w:w="93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9</w:t>
            </w:r>
          </w:p>
        </w:tc>
        <w:tc>
          <w:tcPr>
            <w:tcW w:type="dxa" w:w="648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Usage reasons, receipt/closeout updates, permissions and status rules.</w:t>
            </w:r>
          </w:p>
        </w:tc>
      </w:tr>
      <w:tr>
        <w:tc>
          <w:tcPr>
            <w:tcW w:type="dxa" w:w="194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workflow_core</w:t>
            </w:r>
          </w:p>
        </w:tc>
        <w:tc>
          <w:tcPr>
            <w:tcW w:type="dxa" w:w="93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8</w:t>
            </w:r>
          </w:p>
        </w:tc>
        <w:tc>
          <w:tcPr>
            <w:tcW w:type="dxa" w:w="648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Shared workflow identity, inputs, stock impact, system locations and filters.</w:t>
            </w:r>
          </w:p>
        </w:tc>
      </w:tr>
      <w:tr>
        <w:tc>
          <w:tcPr>
            <w:tcW w:type="dxa" w:w="194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requests</w:t>
            </w:r>
          </w:p>
        </w:tc>
        <w:tc>
          <w:tcPr>
            <w:tcW w:type="dxa" w:w="93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7</w:t>
            </w:r>
          </w:p>
        </w:tc>
        <w:tc>
          <w:tcPr>
            <w:tcW w:type="dxa" w:w="648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Request queries, guards, inventory posting, decisions, receipt and status actions.</w:t>
            </w:r>
          </w:p>
        </w:tc>
      </w:tr>
      <w:tr>
        <w:tc>
          <w:tcPr>
            <w:tcW w:type="dxa" w:w="194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handovers</w:t>
            </w:r>
          </w:p>
        </w:tc>
        <w:tc>
          <w:tcPr>
            <w:tcW w:type="dxa" w:w="93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8</w:t>
            </w:r>
          </w:p>
        </w:tc>
        <w:tc>
          <w:tcPr>
            <w:tcW w:type="dxa" w:w="648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Staff and storage-transfer lifecycle, inventory, receipt, closeout and signoff.</w:t>
            </w:r>
          </w:p>
        </w:tc>
      </w:tr>
      <w:tr>
        <w:tc>
          <w:tcPr>
            <w:tcW w:type="dxa" w:w="194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purchases_and_ocr</w:t>
            </w:r>
          </w:p>
        </w:tc>
        <w:tc>
          <w:tcPr>
            <w:tcW w:type="dxa" w:w="93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14</w:t>
            </w:r>
          </w:p>
        </w:tc>
        <w:tc>
          <w:tcPr>
            <w:tcW w:type="dxa" w:w="648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Suppliers, purchases, documents, approval, receiving, OCR and weighted cost.</w:t>
            </w:r>
          </w:p>
        </w:tc>
      </w:tr>
      <w:tr>
        <w:tc>
          <w:tcPr>
            <w:tcW w:type="dxa" w:w="194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files_and_operations</w:t>
            </w:r>
          </w:p>
        </w:tc>
        <w:tc>
          <w:tcPr>
            <w:tcW w:type="dxa" w:w="93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32</w:t>
            </w:r>
          </w:p>
        </w:tc>
        <w:tc>
          <w:tcPr>
            <w:tcW w:type="dxa" w:w="648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Files, labels, stocktakes, reorder, audit, documentation and signoff rendering.</w:t>
            </w:r>
          </w:p>
        </w:tc>
      </w:tr>
      <w:tr>
        <w:tc>
          <w:tcPr>
            <w:tcW w:type="dxa" w:w="194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assets</w:t>
            </w:r>
          </w:p>
        </w:tc>
        <w:tc>
          <w:tcPr>
            <w:tcW w:type="dxa" w:w="93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7</w:t>
            </w:r>
          </w:p>
        </w:tc>
        <w:tc>
          <w:tcPr>
            <w:tcW w:type="dxa" w:w="648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Asset CRUD, categories, custody, maintenance, depreciation and exports.</w:t>
            </w:r>
          </w:p>
        </w:tc>
      </w:tr>
    </w:tbl>
    <w:p>
      <w:pPr>
        <w:spacing w:after="0"/>
      </w:pPr>
    </w:p>
    <w:p>
      <w:pPr>
        <w:pStyle w:val="Heading1"/>
      </w:pPr>
      <w:r>
        <w:t>2. Domain Ownership</w:t>
      </w:r>
    </w:p>
    <w:tbl>
      <w:tblPr>
        <w:tblW w:type="dxa" w:w="9360"/>
        <w:jc w:val="left"/>
        <w:tblLayout w:type="fixed"/>
        <w:tblLook w:firstColumn="1" w:firstRow="1" w:lastColumn="0" w:lastRow="0" w:noHBand="0" w:noVBand="1" w:val="04A0"/>
      </w:tblPr>
      <w:tblGrid>
        <w:gridCol w:w="1656"/>
        <w:gridCol w:w="3528"/>
        <w:gridCol w:w="4176"/>
      </w:tblGrid>
      <w:tr>
        <w:tc>
          <w:tcPr>
            <w:tcW w:type="dxa" w:w="1656"/>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Domain</w:t>
            </w:r>
          </w:p>
        </w:tc>
        <w:tc>
          <w:tcPr>
            <w:tcW w:type="dxa" w:w="3528"/>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Primary focused files</w:t>
            </w:r>
          </w:p>
        </w:tc>
        <w:tc>
          <w:tcPr>
            <w:tcW w:type="dxa" w:w="4176"/>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Change here when</w:t>
            </w:r>
          </w:p>
        </w:tc>
      </w:tr>
      <w:tr>
        <w:tc>
          <w:tcPr>
            <w:tcW w:type="dxa" w:w="165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Inventory</w:t>
            </w:r>
          </w:p>
        </w:tc>
        <w:tc>
          <w:tcPr>
            <w:tcW w:type="dxa" w:w="352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item_*, storage_*, inventory_stock.php, movement_*</w:t>
            </w:r>
          </w:p>
        </w:tc>
        <w:tc>
          <w:tcPr>
            <w:tcW w:type="dxa" w:w="417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item/storage queries, quantities, transfers, usage, restock or adjustment.</w:t>
            </w:r>
          </w:p>
        </w:tc>
      </w:tr>
      <w:tr>
        <w:tc>
          <w:tcPr>
            <w:tcW w:type="dxa" w:w="165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Dashboard</w:t>
            </w:r>
          </w:p>
        </w:tc>
        <w:tc>
          <w:tcPr>
            <w:tcW w:type="dxa" w:w="352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dashboard_filters.php, dashboard_metrics.php, dashboard_payloads.php</w:t>
            </w:r>
          </w:p>
        </w:tc>
        <w:tc>
          <w:tcPr>
            <w:tcW w:type="dxa" w:w="417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cards, queues, storage/date scope or role dashboards.</w:t>
            </w:r>
          </w:p>
        </w:tc>
      </w:tr>
      <w:tr>
        <w:tc>
          <w:tcPr>
            <w:tcW w:type="dxa" w:w="165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Scan/manual stock</w:t>
            </w:r>
          </w:p>
        </w:tc>
        <w:tc>
          <w:tcPr>
            <w:tcW w:type="dxa" w:w="352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scan_pages.php, scan_lookup.php, scan_manual_restock.php</w:t>
            </w:r>
          </w:p>
        </w:tc>
        <w:tc>
          <w:tcPr>
            <w:tcW w:type="dxa" w:w="417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barcode/SKU lookup, batch scan, package conversion or manual restock.</w:t>
            </w:r>
          </w:p>
        </w:tc>
      </w:tr>
      <w:tr>
        <w:tc>
          <w:tcPr>
            <w:tcW w:type="dxa" w:w="165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Requests</w:t>
            </w:r>
          </w:p>
        </w:tc>
        <w:tc>
          <w:tcPr>
            <w:tcW w:type="dxa" w:w="352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request_queries.php, request_guards.php, request_inventory.php, request_*_actions.php</w:t>
            </w:r>
          </w:p>
        </w:tc>
        <w:tc>
          <w:tcPr>
            <w:tcW w:type="dxa" w:w="417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permanent item requests, approval, transit, receipt mismatch or status.</w:t>
            </w:r>
          </w:p>
        </w:tc>
      </w:tr>
      <w:tr>
        <w:tc>
          <w:tcPr>
            <w:tcW w:type="dxa" w:w="165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Handovers</w:t>
            </w:r>
          </w:p>
        </w:tc>
        <w:tc>
          <w:tcPr>
            <w:tcW w:type="dxa" w:w="352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handover_receipts.php, handover_closeout.php, handover_inventory.php, handover_permissions.php</w:t>
            </w:r>
          </w:p>
        </w:tc>
        <w:tc>
          <w:tcPr>
            <w:tcW w:type="dxa" w:w="417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staff issue, storage transfer, receipt review, return, usage or issuer approval.</w:t>
            </w:r>
          </w:p>
        </w:tc>
      </w:tr>
      <w:tr>
        <w:tc>
          <w:tcPr>
            <w:tcW w:type="dxa" w:w="165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Signoff</w:t>
            </w:r>
          </w:p>
        </w:tc>
        <w:tc>
          <w:tcPr>
            <w:tcW w:type="dxa" w:w="352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signoff_rows.php, signoff_totals.php, signoff_reconciliation.php, signoff_pdf.php, signoff_xlsx.php</w:t>
            </w:r>
          </w:p>
        </w:tc>
        <w:tc>
          <w:tcPr>
            <w:tcW w:type="dxa" w:w="417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PDF/XLSX content without mixing rendering into workflow rules.</w:t>
            </w:r>
          </w:p>
        </w:tc>
      </w:tr>
      <w:tr>
        <w:tc>
          <w:tcPr>
            <w:tcW w:type="dxa" w:w="165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Purchases</w:t>
            </w:r>
          </w:p>
        </w:tc>
        <w:tc>
          <w:tcPr>
            <w:tcW w:type="dxa" w:w="352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purchase_*</w:t>
            </w:r>
          </w:p>
        </w:tc>
        <w:tc>
          <w:tcPr>
            <w:tcW w:type="dxa" w:w="417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draft, supplier linkage, documents, approval, receiving, completion or cancellation.</w:t>
            </w:r>
          </w:p>
        </w:tc>
      </w:tr>
      <w:tr>
        <w:tc>
          <w:tcPr>
            <w:tcW w:type="dxa" w:w="165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OCR</w:t>
            </w:r>
          </w:p>
        </w:tc>
        <w:tc>
          <w:tcPr>
            <w:tcW w:type="dxa" w:w="352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ocr_*</w:t>
            </w:r>
          </w:p>
        </w:tc>
        <w:tc>
          <w:tcPr>
            <w:tcW w:type="dxa" w:w="417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extraction engines, confidence/review, OpenAI fallback or OCR logs. OCR must never post stock.</w:t>
            </w:r>
          </w:p>
        </w:tc>
      </w:tr>
      <w:tr>
        <w:tc>
          <w:tcPr>
            <w:tcW w:type="dxa" w:w="165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Assets</w:t>
            </w:r>
          </w:p>
        </w:tc>
        <w:tc>
          <w:tcPr>
            <w:tcW w:type="dxa" w:w="352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asset_*</w:t>
            </w:r>
          </w:p>
        </w:tc>
        <w:tc>
          <w:tcPr>
            <w:tcW w:type="dxa" w:w="417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durable property, category hierarchy, custody, maintenance, warranty or depreciation.</w:t>
            </w:r>
          </w:p>
        </w:tc>
      </w:tr>
      <w:tr>
        <w:tc>
          <w:tcPr>
            <w:tcW w:type="dxa" w:w="165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Reports/exports</w:t>
            </w:r>
          </w:p>
        </w:tc>
        <w:tc>
          <w:tcPr>
            <w:tcW w:type="dxa" w:w="352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report_*, export_*</w:t>
            </w:r>
          </w:p>
        </w:tc>
        <w:tc>
          <w:tcPr>
            <w:tcW w:type="dxa" w:w="417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filters, saved presets, summaries or output. Screen and export scope must match.</w:t>
            </w:r>
          </w:p>
        </w:tc>
      </w:tr>
      <w:tr>
        <w:tc>
          <w:tcPr>
            <w:tcW w:type="dxa" w:w="165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Files</w:t>
            </w:r>
          </w:p>
        </w:tc>
        <w:tc>
          <w:tcPr>
            <w:tcW w:type="dxa" w:w="352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file_*</w:t>
            </w:r>
          </w:p>
        </w:tc>
        <w:tc>
          <w:tcPr>
            <w:tcW w:type="dxa" w:w="417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protected uploads, downloads, previews, context links or the centralized file library.</w:t>
            </w:r>
          </w:p>
        </w:tc>
      </w:tr>
      <w:tr>
        <w:tc>
          <w:tcPr>
            <w:tcW w:type="dxa" w:w="165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Users/settings</w:t>
            </w:r>
          </w:p>
        </w:tc>
        <w:tc>
          <w:tcPr>
            <w:tcW w:type="dxa" w:w="352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user_*, settings_*, app/support/permissions.php</w:t>
            </w:r>
          </w:p>
        </w:tc>
        <w:tc>
          <w:tcPr>
            <w:tcW w:type="dxa" w:w="417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access, roles, positions, settings, logo, mail, OCR or export controls.</w:t>
            </w:r>
          </w:p>
        </w:tc>
      </w:tr>
    </w:tbl>
    <w:p>
      <w:pPr>
        <w:spacing w:after="0"/>
      </w:pPr>
    </w:p>
    <w:p>
      <w:pPr>
        <w:pStyle w:val="Heading1"/>
      </w:pPr>
      <w:r>
        <w:t>3. Stock Safety Model</w:t>
      </w:r>
    </w:p>
    <w:tbl>
      <w:tblPr>
        <w:tblW w:type="dxa" w:w="9360"/>
        <w:jc w:val="left"/>
        <w:tblLayout w:type="fixed"/>
        <w:tblLook w:firstColumn="1" w:firstRow="1" w:lastColumn="0" w:lastRow="0" w:noHBand="0" w:noVBand="1" w:val="04A0"/>
      </w:tblPr>
      <w:tblGrid>
        <w:gridCol w:w="9360"/>
      </w:tblGrid>
      <w:tr>
        <w:tc>
          <w:tcPr>
            <w:tcW w:type="dxa" w:w="9360"/>
            <w:shd w:fill="FFF6D8"/>
            <w:tcBorders>
              <w:top w:val="single" w:sz="4" w:color="D9D2C3"/>
              <w:left w:val="single" w:sz="4" w:color="D9D2C3"/>
              <w:bottom w:val="single" w:sz="4" w:color="D9D2C3"/>
              <w:right w:val="single" w:sz="4" w:color="D9D2C3"/>
              <w:insideH w:val="single" w:sz="4" w:color="D9D2C3"/>
              <w:insideV w:val="single" w:sz="4" w:color="D9D2C3"/>
            </w:tcBorders>
            <w:tcMar>
              <w:top w:w="110" w:type="dxa"/>
              <w:start w:w="140" w:type="dxa"/>
              <w:bottom w:w="110" w:type="dxa"/>
              <w:end w:w="140" w:type="dxa"/>
            </w:tcMar>
          </w:tcPr>
          <w:p>
            <w:r>
              <w:rPr>
                <w:rFonts w:ascii="Calibri" w:hAnsi="Calibri"/>
                <w:b/>
                <w:color w:val="B78918"/>
                <w:sz w:val="20"/>
              </w:rPr>
              <w:t>Non-negotiable invariant</w:t>
              <w:br/>
            </w:r>
            <w:r>
              <w:rPr>
                <w:rFonts w:ascii="Calibri" w:hAnsi="Calibri"/>
                <w:b w:val="0"/>
                <w:color w:val="111111"/>
                <w:sz w:val="19"/>
              </w:rPr>
              <w:t>item_storage_balances is the live quantity source by item and storage. Inventory movements are immutable history. The item total is a synchronized snapshot. Never update only items.current_quantity and never erase movement history to make a workflow look cleaner.</w:t>
            </w:r>
          </w:p>
        </w:tc>
      </w:tr>
    </w:tbl>
    <w:p>
      <w:pPr>
        <w:spacing w:after="0"/>
      </w:pPr>
    </w:p>
    <w:tbl>
      <w:tblPr>
        <w:tblW w:type="dxa" w:w="9360"/>
        <w:jc w:val="left"/>
        <w:tblLayout w:type="fixed"/>
        <w:tblLook w:firstColumn="1" w:firstRow="1" w:lastColumn="0" w:lastRow="0" w:noHBand="0" w:noVBand="1" w:val="04A0"/>
      </w:tblPr>
      <w:tblGrid>
        <w:gridCol w:w="1800"/>
        <w:gridCol w:w="4824"/>
        <w:gridCol w:w="2736"/>
      </w:tblGrid>
      <w:tr>
        <w:tc>
          <w:tcPr>
            <w:tcW w:type="dxa" w:w="1800"/>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Action</w:t>
            </w:r>
          </w:p>
        </w:tc>
        <w:tc>
          <w:tcPr>
            <w:tcW w:type="dxa" w:w="4824"/>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Stock rule</w:t>
            </w:r>
          </w:p>
        </w:tc>
        <w:tc>
          <w:tcPr>
            <w:tcW w:type="dxa" w:w="2736"/>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Audit result</w:t>
            </w:r>
          </w:p>
        </w:tc>
      </w:tr>
      <w:tr>
        <w:tc>
          <w:tcPr>
            <w:tcW w:type="dxa" w:w="180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Usage</w:t>
            </w:r>
          </w:p>
        </w:tc>
        <w:tc>
          <w:tcPr>
            <w:tcW w:type="dxa" w:w="482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Subtract from the selected storage.</w:t>
            </w:r>
          </w:p>
        </w:tc>
        <w:tc>
          <w:tcPr>
            <w:tcW w:type="dxa" w:w="273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Usage movement records item, quantity, location, user, context and notes.</w:t>
            </w:r>
          </w:p>
        </w:tc>
      </w:tr>
      <w:tr>
        <w:tc>
          <w:tcPr>
            <w:tcW w:type="dxa" w:w="180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Restock</w:t>
            </w:r>
          </w:p>
        </w:tc>
        <w:tc>
          <w:tcPr>
            <w:tcW w:type="dxa" w:w="482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Add to the selected storage.</w:t>
            </w:r>
          </w:p>
        </w:tc>
        <w:tc>
          <w:tcPr>
            <w:tcW w:type="dxa" w:w="273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Restock movement explains supplier/manual/purchase source.</w:t>
            </w:r>
          </w:p>
        </w:tc>
      </w:tr>
      <w:tr>
        <w:tc>
          <w:tcPr>
            <w:tcW w:type="dxa" w:w="180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Transfer</w:t>
            </w:r>
          </w:p>
        </w:tc>
        <w:tc>
          <w:tcPr>
            <w:tcW w:type="dxa" w:w="482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Subtract source and add destination atomically.</w:t>
            </w:r>
          </w:p>
        </w:tc>
        <w:tc>
          <w:tcPr>
            <w:tcW w:type="dxa" w:w="273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Paired movement context keeps the relocation explainable.</w:t>
            </w:r>
          </w:p>
        </w:tc>
      </w:tr>
      <w:tr>
        <w:tc>
          <w:tcPr>
            <w:tcW w:type="dxa" w:w="180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Staff handover</w:t>
            </w:r>
          </w:p>
        </w:tc>
        <w:tc>
          <w:tcPr>
            <w:tcW w:type="dxa" w:w="482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Reserve in buffer; final used and returned movements post only after source issuer approval.</w:t>
            </w:r>
          </w:p>
        </w:tc>
        <w:tc>
          <w:tcPr>
            <w:tcW w:type="dxa" w:w="273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Receipt, closeout and approval remain visible.</w:t>
            </w:r>
          </w:p>
        </w:tc>
      </w:tr>
      <w:tr>
        <w:tc>
          <w:tcPr>
            <w:tcW w:type="dxa" w:w="180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Storage transfer handover</w:t>
            </w:r>
          </w:p>
        </w:tc>
        <w:tc>
          <w:tcPr>
            <w:tcW w:type="dxa" w:w="482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Reserve in buffer; destination receipt moves actual quantity to destination and short quantity back to source.</w:t>
            </w:r>
          </w:p>
        </w:tc>
        <w:tc>
          <w:tcPr>
            <w:tcW w:type="dxa" w:w="273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No usage reasons because this is relocation.</w:t>
            </w:r>
          </w:p>
        </w:tc>
      </w:tr>
      <w:tr>
        <w:tc>
          <w:tcPr>
            <w:tcW w:type="dxa" w:w="180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Purchase</w:t>
            </w:r>
          </w:p>
        </w:tc>
        <w:tc>
          <w:tcPr>
            <w:tcW w:type="dxa" w:w="482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No stock on approval. Restock posts only after final receipt confirmation.</w:t>
            </w:r>
          </w:p>
        </w:tc>
        <w:tc>
          <w:tcPr>
            <w:tcW w:type="dxa" w:w="273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Purchase reference and proof remain attached.</w:t>
            </w:r>
          </w:p>
        </w:tc>
      </w:tr>
      <w:tr>
        <w:tc>
          <w:tcPr>
            <w:tcW w:type="dxa" w:w="180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Stocktake</w:t>
            </w:r>
          </w:p>
        </w:tc>
        <w:tc>
          <w:tcPr>
            <w:tcW w:type="dxa" w:w="482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Variance becomes an adjustment only after approval.</w:t>
            </w:r>
          </w:p>
        </w:tc>
        <w:tc>
          <w:tcPr>
            <w:tcW w:type="dxa" w:w="273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Expected, counted, variance and approver remain recorded.</w:t>
            </w:r>
          </w:p>
        </w:tc>
      </w:tr>
      <w:tr>
        <w:tc>
          <w:tcPr>
            <w:tcW w:type="dxa" w:w="180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Asset</w:t>
            </w:r>
          </w:p>
        </w:tc>
        <w:tc>
          <w:tcPr>
            <w:tcW w:type="dxa" w:w="482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Never changes consumable inventory quantity.</w:t>
            </w:r>
          </w:p>
        </w:tc>
        <w:tc>
          <w:tcPr>
            <w:tcW w:type="dxa" w:w="273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Custody and maintenance use asset events instead.</w:t>
            </w:r>
          </w:p>
        </w:tc>
      </w:tr>
    </w:tbl>
    <w:p>
      <w:pPr>
        <w:spacing w:after="0"/>
      </w:pPr>
    </w:p>
    <w:p>
      <w:pPr>
        <w:pStyle w:val="Heading1"/>
      </w:pPr>
      <w:r>
        <w:t>4. Staff Handover Cycle</w:t>
      </w:r>
    </w:p>
    <w:tbl>
      <w:tblPr>
        <w:tblW w:type="dxa" w:w="9360"/>
        <w:jc w:val="left"/>
        <w:tblLayout w:type="fixed"/>
        <w:tblLook w:firstColumn="1" w:firstRow="1" w:lastColumn="0" w:lastRow="0" w:noHBand="0" w:noVBand="1" w:val="04A0"/>
      </w:tblPr>
      <w:tblGrid>
        <w:gridCol w:w="1080"/>
        <w:gridCol w:w="1728"/>
        <w:gridCol w:w="6552"/>
      </w:tblGrid>
      <w:tr>
        <w:tc>
          <w:tcPr>
            <w:tcW w:type="dxa" w:w="1080"/>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Step</w:t>
            </w:r>
          </w:p>
        </w:tc>
        <w:tc>
          <w:tcPr>
            <w:tcW w:type="dxa" w:w="1728"/>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Actor</w:t>
            </w:r>
          </w:p>
        </w:tc>
        <w:tc>
          <w:tcPr>
            <w:tcW w:type="dxa" w:w="6552"/>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Required behavior</w:t>
            </w:r>
          </w:p>
        </w:tc>
      </w:tr>
      <w:tr>
        <w:tc>
          <w:tcPr>
            <w:tcW w:type="dxa" w:w="108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1. Issue</w:t>
            </w:r>
          </w:p>
        </w:tc>
        <w:tc>
          <w:tcPr>
            <w:tcW w:type="dxa" w:w="172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Source issuer</w:t>
            </w:r>
          </w:p>
        </w:tc>
        <w:tc>
          <w:tcPr>
            <w:tcW w:type="dxa" w:w="655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Create handover, select source, staff recipient, items, quantities and optional expected usage. Stock enters the handover buffer.</w:t>
            </w:r>
          </w:p>
        </w:tc>
      </w:tr>
      <w:tr>
        <w:tc>
          <w:tcPr>
            <w:tcW w:type="dxa" w:w="108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2. Report receipt</w:t>
            </w:r>
          </w:p>
        </w:tc>
        <w:tc>
          <w:tcPr>
            <w:tcW w:type="dxa" w:w="172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Receiver</w:t>
            </w:r>
          </w:p>
        </w:tc>
        <w:tc>
          <w:tcPr>
            <w:tcW w:type="dxa" w:w="655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Enter the exact quantity received. Exact and short receipts both enter Receipt Review.</w:t>
            </w:r>
          </w:p>
        </w:tc>
      </w:tr>
      <w:tr>
        <w:tc>
          <w:tcPr>
            <w:tcW w:type="dxa" w:w="108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3. Confirm receipt</w:t>
            </w:r>
          </w:p>
        </w:tc>
        <w:tc>
          <w:tcPr>
            <w:tcW w:type="dxa" w:w="172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Source issuer</w:t>
            </w:r>
          </w:p>
        </w:tc>
        <w:tc>
          <w:tcPr>
            <w:tcW w:type="dxa" w:w="655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Open editable per-line quantities, correct if needed and confirm. Blind approval without submitted quantities is rejected.</w:t>
            </w:r>
          </w:p>
        </w:tc>
      </w:tr>
      <w:tr>
        <w:tc>
          <w:tcPr>
            <w:tcW w:type="dxa" w:w="108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4. Use/return</w:t>
            </w:r>
          </w:p>
        </w:tc>
        <w:tc>
          <w:tcPr>
            <w:tcW w:type="dxa" w:w="172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Receiver</w:t>
            </w:r>
          </w:p>
        </w:tc>
        <w:tc>
          <w:tcPr>
            <w:tcW w:type="dxa" w:w="655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After Delivered, enter returned quantity first. System calculates used = received - returned and accepts optional reason splits.</w:t>
            </w:r>
          </w:p>
        </w:tc>
      </w:tr>
      <w:tr>
        <w:tc>
          <w:tcPr>
            <w:tcW w:type="dxa" w:w="108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5. Final review</w:t>
            </w:r>
          </w:p>
        </w:tc>
        <w:tc>
          <w:tcPr>
            <w:tcW w:type="dxa" w:w="172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Source issuer</w:t>
            </w:r>
          </w:p>
        </w:tc>
        <w:tc>
          <w:tcPr>
            <w:tcW w:type="dxa" w:w="655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Edit returned quantity and actual reason split if needed, add approval note and approve closeout.</w:t>
            </w:r>
          </w:p>
        </w:tc>
      </w:tr>
      <w:tr>
        <w:tc>
          <w:tcPr>
            <w:tcW w:type="dxa" w:w="108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6. Post stock</w:t>
            </w:r>
          </w:p>
        </w:tc>
        <w:tc>
          <w:tcPr>
            <w:tcW w:type="dxa" w:w="172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System</w:t>
            </w:r>
          </w:p>
        </w:tc>
        <w:tc>
          <w:tcPr>
            <w:tcW w:type="dxa" w:w="655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Only issuer approval posts final usage and return movements, closes the handover and regenerates PDF/XLSX.</w:t>
            </w:r>
          </w:p>
        </w:tc>
      </w:tr>
      <w:tr>
        <w:tc>
          <w:tcPr>
            <w:tcW w:type="dxa" w:w="108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7. Correct later</w:t>
            </w:r>
          </w:p>
        </w:tc>
        <w:tc>
          <w:tcPr>
            <w:tcW w:type="dxa" w:w="172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Owner/super admin</w:t>
            </w:r>
          </w:p>
        </w:tc>
        <w:tc>
          <w:tcPr>
            <w:tcW w:type="dxa" w:w="655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Use audited reopen, status override, recover or void. Never hard-delete stock-impact records.</w:t>
            </w:r>
          </w:p>
        </w:tc>
      </w:tr>
    </w:tbl>
    <w:p>
      <w:pPr>
        <w:spacing w:after="0"/>
      </w:pPr>
    </w:p>
    <w:tbl>
      <w:tblPr>
        <w:tblW w:type="dxa" w:w="9360"/>
        <w:jc w:val="left"/>
        <w:tblLayout w:type="fixed"/>
        <w:tblLook w:firstColumn="1" w:firstRow="1" w:lastColumn="0" w:lastRow="0" w:noHBand="0" w:noVBand="1" w:val="04A0"/>
      </w:tblPr>
      <w:tblGrid>
        <w:gridCol w:w="9360"/>
      </w:tblGrid>
      <w:tr>
        <w:tc>
          <w:tcPr>
            <w:tcW w:type="dxa" w:w="9360"/>
            <w:shd w:fill="F8F5ED"/>
            <w:tcBorders>
              <w:top w:val="single" w:sz="4" w:color="D9D2C3"/>
              <w:left w:val="single" w:sz="4" w:color="D9D2C3"/>
              <w:bottom w:val="single" w:sz="4" w:color="D9D2C3"/>
              <w:right w:val="single" w:sz="4" w:color="D9D2C3"/>
              <w:insideH w:val="single" w:sz="4" w:color="D9D2C3"/>
              <w:insideV w:val="single" w:sz="4" w:color="D9D2C3"/>
            </w:tcBorders>
            <w:tcMar>
              <w:top w:w="110" w:type="dxa"/>
              <w:start w:w="140" w:type="dxa"/>
              <w:bottom w:w="110" w:type="dxa"/>
              <w:end w:w="140" w:type="dxa"/>
            </w:tcMar>
          </w:tcPr>
          <w:p>
            <w:r>
              <w:rPr>
                <w:rFonts w:ascii="Calibri" w:hAnsi="Calibri"/>
                <w:b/>
                <w:color w:val="B78918"/>
                <w:sz w:val="20"/>
              </w:rPr>
              <w:t>Why two issuer approvals exist</w:t>
              <w:br/>
            </w:r>
            <w:r>
              <w:rPr>
                <w:rFonts w:ascii="Calibri" w:hAnsi="Calibri"/>
                <w:b w:val="0"/>
                <w:color w:val="111111"/>
                <w:sz w:val="19"/>
              </w:rPr>
              <w:t>The receiver reports reality. The source issuer owns stock accountability. The issuer first confirms what actually arrived, then later confirms what was used and returned. The modular refactor did not change this business rule.</w:t>
            </w:r>
          </w:p>
        </w:tc>
      </w:tr>
    </w:tbl>
    <w:p>
      <w:pPr>
        <w:spacing w:after="0"/>
      </w:pPr>
    </w:p>
    <w:p>
      <w:pPr>
        <w:pStyle w:val="Heading1"/>
      </w:pPr>
      <w:r>
        <w:t>5. Storage Transfer Handover</w:t>
      </w:r>
    </w:p>
    <w:tbl>
      <w:tblPr>
        <w:tblW w:type="dxa" w:w="9360"/>
        <w:jc w:val="left"/>
        <w:tblLayout w:type="fixed"/>
        <w:tblLook w:firstColumn="1" w:firstRow="1" w:lastColumn="0" w:lastRow="0" w:noHBand="0" w:noVBand="1" w:val="04A0"/>
      </w:tblPr>
      <w:tblGrid>
        <w:gridCol w:w="1152"/>
        <w:gridCol w:w="2232"/>
        <w:gridCol w:w="5976"/>
      </w:tblGrid>
      <w:tr>
        <w:tc>
          <w:tcPr>
            <w:tcW w:type="dxa" w:w="1152"/>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Step</w:t>
            </w:r>
          </w:p>
        </w:tc>
        <w:tc>
          <w:tcPr>
            <w:tcW w:type="dxa" w:w="2232"/>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Actor</w:t>
            </w:r>
          </w:p>
        </w:tc>
        <w:tc>
          <w:tcPr>
            <w:tcW w:type="dxa" w:w="5976"/>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Behavior</w:t>
            </w:r>
          </w:p>
        </w:tc>
      </w:tr>
      <w:tr>
        <w:tc>
          <w:tcPr>
            <w:tcW w:type="dxa" w:w="115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1. Create</w:t>
            </w:r>
          </w:p>
        </w:tc>
        <w:tc>
          <w:tcPr>
            <w:tcW w:type="dxa" w:w="223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Source owner/admin</w:t>
            </w:r>
          </w:p>
        </w:tc>
        <w:tc>
          <w:tcPr>
            <w:tcW w:type="dxa" w:w="597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Choose Transfer to Storage, source, destination and quantities. Same source/destination is blocked.</w:t>
            </w:r>
          </w:p>
        </w:tc>
      </w:tr>
      <w:tr>
        <w:tc>
          <w:tcPr>
            <w:tcW w:type="dxa" w:w="115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2. Reserve</w:t>
            </w:r>
          </w:p>
        </w:tc>
        <w:tc>
          <w:tcPr>
            <w:tcW w:type="dxa" w:w="223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System</w:t>
            </w:r>
          </w:p>
        </w:tc>
        <w:tc>
          <w:tcPr>
            <w:tcW w:type="dxa" w:w="597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Source quantity moves into the handover buffer.</w:t>
            </w:r>
          </w:p>
        </w:tc>
      </w:tr>
      <w:tr>
        <w:tc>
          <w:tcPr>
            <w:tcW w:type="dxa" w:w="115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3. Confirm receipt</w:t>
            </w:r>
          </w:p>
        </w:tc>
        <w:tc>
          <w:tcPr>
            <w:tcW w:type="dxa" w:w="223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Destination owner</w:t>
            </w:r>
          </w:p>
        </w:tc>
        <w:tc>
          <w:tcPr>
            <w:tcW w:type="dxa" w:w="597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Enter actual received quantity for the destination storage.</w:t>
            </w:r>
          </w:p>
        </w:tc>
      </w:tr>
      <w:tr>
        <w:tc>
          <w:tcPr>
            <w:tcW w:type="dxa" w:w="115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4. Full receipt</w:t>
            </w:r>
          </w:p>
        </w:tc>
        <w:tc>
          <w:tcPr>
            <w:tcW w:type="dxa" w:w="223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System</w:t>
            </w:r>
          </w:p>
        </w:tc>
        <w:tc>
          <w:tcPr>
            <w:tcW w:type="dxa" w:w="597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Move all buffer quantity to destination and close.</w:t>
            </w:r>
          </w:p>
        </w:tc>
      </w:tr>
      <w:tr>
        <w:tc>
          <w:tcPr>
            <w:tcW w:type="dxa" w:w="115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5. Short receipt</w:t>
            </w:r>
          </w:p>
        </w:tc>
        <w:tc>
          <w:tcPr>
            <w:tcW w:type="dxa" w:w="223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Source + destination owners</w:t>
            </w:r>
          </w:p>
        </w:tc>
        <w:tc>
          <w:tcPr>
            <w:tcW w:type="dxa" w:w="597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Move actual quantity to destination; return missing quantity to source after shortage review.</w:t>
            </w:r>
          </w:p>
        </w:tc>
      </w:tr>
      <w:tr>
        <w:tc>
          <w:tcPr>
            <w:tcW w:type="dxa" w:w="115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6. Cancel/void</w:t>
            </w:r>
          </w:p>
        </w:tc>
        <w:tc>
          <w:tcPr>
            <w:tcW w:type="dxa" w:w="223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Authorized owner/admin</w:t>
            </w:r>
          </w:p>
        </w:tc>
        <w:tc>
          <w:tcPr>
            <w:tcW w:type="dxa" w:w="597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Return reserved stock safely and preserve the workflow and movement audit.</w:t>
            </w:r>
          </w:p>
        </w:tc>
      </w:tr>
    </w:tbl>
    <w:p>
      <w:pPr>
        <w:spacing w:after="0"/>
      </w:pPr>
    </w:p>
    <w:p>
      <w:pPr>
        <w:pStyle w:val="Heading1"/>
      </w:pPr>
      <w:r>
        <w:t>6. Other Workflow Cycles</w:t>
      </w:r>
    </w:p>
    <w:tbl>
      <w:tblPr>
        <w:tblW w:type="dxa" w:w="9360"/>
        <w:jc w:val="left"/>
        <w:tblLayout w:type="fixed"/>
        <w:tblLook w:firstColumn="1" w:firstRow="1" w:lastColumn="0" w:lastRow="0" w:noHBand="0" w:noVBand="1" w:val="04A0"/>
      </w:tblPr>
      <w:tblGrid>
        <w:gridCol w:w="1800"/>
        <w:gridCol w:w="5400"/>
        <w:gridCol w:w="2160"/>
      </w:tblGrid>
      <w:tr>
        <w:tc>
          <w:tcPr>
            <w:tcW w:type="dxa" w:w="1800"/>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Workflow</w:t>
            </w:r>
          </w:p>
        </w:tc>
        <w:tc>
          <w:tcPr>
            <w:tcW w:type="dxa" w:w="5400"/>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Lifecycle</w:t>
            </w:r>
          </w:p>
        </w:tc>
        <w:tc>
          <w:tcPr>
            <w:tcW w:type="dxa" w:w="2160"/>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Stock boundary</w:t>
            </w:r>
          </w:p>
        </w:tc>
      </w:tr>
      <w:tr>
        <w:tc>
          <w:tcPr>
            <w:tcW w:type="dxa" w:w="180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Request</w:t>
            </w:r>
          </w:p>
        </w:tc>
        <w:tc>
          <w:tcPr>
            <w:tcW w:type="dxa" w:w="540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Draft/create -&gt; approve or reject -&gt; issue/transit -&gt; receiver reports exact quantity -&gt; approver confirms mismatch -&gt; complete.</w:t>
            </w:r>
          </w:p>
        </w:tc>
        <w:tc>
          <w:tcPr>
            <w:tcW w:type="dxa" w:w="216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Movement posts through request inventory helpers; self-approval is blocked where required.</w:t>
            </w:r>
          </w:p>
        </w:tc>
      </w:tr>
      <w:tr>
        <w:tc>
          <w:tcPr>
            <w:tcW w:type="dxa" w:w="180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Purchase</w:t>
            </w:r>
          </w:p>
        </w:tc>
        <w:tc>
          <w:tcPr>
            <w:tcW w:type="dxa" w:w="540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Draft + proof -&gt; submit -&gt; approver adjusts/approves -&gt; receiver reports actual -&gt; receipt review -&gt; approver confirms.</w:t>
            </w:r>
          </w:p>
        </w:tc>
        <w:tc>
          <w:tcPr>
            <w:tcW w:type="dxa" w:w="216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No stock until final confirmation; weighted average cost updates with confirmed quantity.</w:t>
            </w:r>
          </w:p>
        </w:tc>
      </w:tr>
      <w:tr>
        <w:tc>
          <w:tcPr>
            <w:tcW w:type="dxa" w:w="180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Stocktake</w:t>
            </w:r>
          </w:p>
        </w:tc>
        <w:tc>
          <w:tcPr>
            <w:tcW w:type="dxa" w:w="540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Create snapshot -&gt; count -&gt; submit -&gt; approver reviews -&gt; approve/cancel.</w:t>
            </w:r>
          </w:p>
        </w:tc>
        <w:tc>
          <w:tcPr>
            <w:tcW w:type="dxa" w:w="216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Only approved variance posts an adjustment.</w:t>
            </w:r>
          </w:p>
        </w:tc>
      </w:tr>
      <w:tr>
        <w:tc>
          <w:tcPr>
            <w:tcW w:type="dxa" w:w="180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Asset custody</w:t>
            </w:r>
          </w:p>
        </w:tc>
        <w:tc>
          <w:tcPr>
            <w:tcW w:type="dxa" w:w="540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Create -&gt; assign -&gt; receiver confirms -&gt; return request -&gt; admin confirms condition/return.</w:t>
            </w:r>
          </w:p>
        </w:tc>
        <w:tc>
          <w:tcPr>
            <w:tcW w:type="dxa" w:w="216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Uses asset events, not inventory movements.</w:t>
            </w:r>
          </w:p>
        </w:tc>
      </w:tr>
      <w:tr>
        <w:tc>
          <w:tcPr>
            <w:tcW w:type="dxa" w:w="180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Asset maintenance</w:t>
            </w:r>
          </w:p>
        </w:tc>
        <w:tc>
          <w:tcPr>
            <w:tcW w:type="dxa" w:w="540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Open ticket -&gt; maintenance state -&gt; service details/files/cost -&gt; complete.</w:t>
            </w:r>
          </w:p>
        </w:tc>
        <w:tc>
          <w:tcPr>
            <w:tcW w:type="dxa" w:w="216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Updates asset status and event history; book value remains depreciation-driven.</w:t>
            </w:r>
          </w:p>
        </w:tc>
      </w:tr>
    </w:tbl>
    <w:p>
      <w:pPr>
        <w:spacing w:after="0"/>
      </w:pPr>
    </w:p>
    <w:p>
      <w:pPr>
        <w:pStyle w:val="Heading1"/>
      </w:pPr>
      <w:r>
        <w:t>7. Permissions And Guardrails</w:t>
      </w:r>
    </w:p>
    <w:p>
      <w:pPr>
        <w:pStyle w:val="ListBullet"/>
      </w:pPr>
      <w:r>
        <w:rPr>
          <w:rFonts w:ascii="Calibri" w:hAnsi="Calibri"/>
          <w:b w:val="0"/>
          <w:color w:val="111111"/>
          <w:sz w:val="19"/>
        </w:rPr>
        <w:t>Owner has full access. Admin behavior comes from explicit permissions and position defaults.</w:t>
      </w:r>
    </w:p>
    <w:p>
      <w:pPr>
        <w:pStyle w:val="ListBullet"/>
      </w:pPr>
      <w:r>
        <w:rPr>
          <w:rFonts w:ascii="Calibri" w:hAnsi="Calibri"/>
          <w:b w:val="0"/>
          <w:color w:val="111111"/>
          <w:sz w:val="19"/>
        </w:rPr>
        <w:t>Staff sees only assigned requests, handovers and assets where applicable.</w:t>
      </w:r>
    </w:p>
    <w:p>
      <w:pPr>
        <w:pStyle w:val="ListBullet"/>
      </w:pPr>
      <w:r>
        <w:rPr>
          <w:rFonts w:ascii="Calibri" w:hAnsi="Calibri"/>
          <w:b w:val="0"/>
          <w:color w:val="111111"/>
          <w:sz w:val="19"/>
        </w:rPr>
        <w:t>Status override stays owner/super-admin only and every override is audited.</w:t>
      </w:r>
    </w:p>
    <w:p>
      <w:pPr>
        <w:pStyle w:val="ListBullet"/>
      </w:pPr>
      <w:r>
        <w:rPr>
          <w:rFonts w:ascii="Calibri" w:hAnsi="Calibri"/>
          <w:b w:val="0"/>
          <w:color w:val="111111"/>
          <w:sz w:val="19"/>
        </w:rPr>
        <w:t>Default admin without purchases.files cannot delete protected purchase documents.</w:t>
      </w:r>
    </w:p>
    <w:p>
      <w:pPr>
        <w:pStyle w:val="ListBullet"/>
      </w:pPr>
      <w:r>
        <w:rPr>
          <w:rFonts w:ascii="Calibri" w:hAnsi="Calibri"/>
          <w:b w:val="0"/>
          <w:color w:val="111111"/>
          <w:sz w:val="19"/>
        </w:rPr>
        <w:t>Default admin without purchases.cancel cannot cancel a purchase draft.</w:t>
      </w:r>
    </w:p>
    <w:p>
      <w:pPr>
        <w:pStyle w:val="ListBullet"/>
      </w:pPr>
      <w:r>
        <w:rPr>
          <w:rFonts w:ascii="Calibri" w:hAnsi="Calibri"/>
          <w:b w:val="0"/>
          <w:color w:val="111111"/>
          <w:sz w:val="19"/>
        </w:rPr>
        <w:t>Owner purchase document deletion and draft cancellation are verified allowed paths.</w:t>
      </w:r>
    </w:p>
    <w:p>
      <w:pPr>
        <w:pStyle w:val="ListBullet"/>
      </w:pPr>
      <w:r>
        <w:rPr>
          <w:rFonts w:ascii="Calibri" w:hAnsi="Calibri"/>
          <w:b w:val="0"/>
          <w:color w:val="111111"/>
          <w:sz w:val="19"/>
        </w:rPr>
        <w:t>Self-approval remains blocked for purchases and other workflows where separation of duties matters.</w:t>
      </w:r>
    </w:p>
    <w:p>
      <w:pPr>
        <w:pStyle w:val="Heading1"/>
      </w:pPr>
      <w:r>
        <w:t>8. Local Setup And Tests</w:t>
      </w:r>
    </w:p>
    <w:tbl>
      <w:tblPr>
        <w:tblW w:type="dxa" w:w="9360"/>
        <w:jc w:val="left"/>
        <w:tblLayout w:type="fixed"/>
        <w:tblLook w:firstColumn="1" w:firstRow="1" w:lastColumn="0" w:lastRow="0" w:noHBand="0" w:noVBand="1" w:val="04A0"/>
      </w:tblPr>
      <w:tblGrid>
        <w:gridCol w:w="2088"/>
        <w:gridCol w:w="7272"/>
      </w:tblGrid>
      <w:tr>
        <w:tc>
          <w:tcPr>
            <w:tcW w:type="dxa" w:w="2088"/>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Task</w:t>
            </w:r>
          </w:p>
        </w:tc>
        <w:tc>
          <w:tcPr>
            <w:tcW w:type="dxa" w:w="7272"/>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Command / action</w:t>
            </w:r>
          </w:p>
        </w:tc>
      </w:tr>
      <w:tr>
        <w:tc>
          <w:tcPr>
            <w:tcW w:type="dxa" w:w="208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Environment</w:t>
            </w:r>
          </w:p>
        </w:tc>
        <w:tc>
          <w:tcPr>
            <w:tcW w:type="dxa" w:w="727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Copy .env.example to .env and fill database settings. Never commit credentials.</w:t>
            </w:r>
          </w:p>
        </w:tc>
      </w:tr>
      <w:tr>
        <w:tc>
          <w:tcPr>
            <w:tcW w:type="dxa" w:w="208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Local server</w:t>
            </w:r>
          </w:p>
        </w:tc>
        <w:tc>
          <w:tcPr>
            <w:tcW w:type="dxa" w:w="727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php -S 127.0.0.1:8080 router.php</w:t>
            </w:r>
          </w:p>
        </w:tc>
      </w:tr>
      <w:tr>
        <w:tc>
          <w:tcPr>
            <w:tcW w:type="dxa" w:w="208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PHP lint</w:t>
            </w:r>
          </w:p>
        </w:tc>
        <w:tc>
          <w:tcPr>
            <w:tcW w:type="dxa" w:w="727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find app views scripts tests -name '*.php' -print0 | xargs -0 -n1 php -l</w:t>
            </w:r>
          </w:p>
        </w:tc>
      </w:tr>
      <w:tr>
        <w:tc>
          <w:tcPr>
            <w:tcW w:type="dxa" w:w="208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Frontend syntax</w:t>
            </w:r>
          </w:p>
        </w:tc>
        <w:tc>
          <w:tcPr>
            <w:tcW w:type="dxa" w:w="727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node --check assets/app.js</w:t>
            </w:r>
          </w:p>
        </w:tc>
      </w:tr>
      <w:tr>
        <w:tc>
          <w:tcPr>
            <w:tcW w:type="dxa" w:w="208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Architecture</w:t>
            </w:r>
          </w:p>
        </w:tc>
        <w:tc>
          <w:tcPr>
            <w:tcW w:type="dxa" w:w="727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php tests/module_boundaries.php</w:t>
            </w:r>
          </w:p>
        </w:tc>
      </w:tr>
      <w:tr>
        <w:tc>
          <w:tcPr>
            <w:tcW w:type="dxa" w:w="208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Frontend registry</w:t>
            </w:r>
          </w:p>
        </w:tc>
        <w:tc>
          <w:tcPr>
            <w:tcW w:type="dxa" w:w="727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php tests/frontend_assets.php</w:t>
            </w:r>
          </w:p>
        </w:tc>
      </w:tr>
      <w:tr>
        <w:tc>
          <w:tcPr>
            <w:tcW w:type="dxa" w:w="208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Backup archive</w:t>
            </w:r>
          </w:p>
        </w:tc>
        <w:tc>
          <w:tcPr>
            <w:tcW w:type="dxa" w:w="727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php tests/backup_archive.php</w:t>
            </w:r>
          </w:p>
        </w:tc>
      </w:tr>
      <w:tr>
        <w:tc>
          <w:tcPr>
            <w:tcW w:type="dxa" w:w="208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Full regression</w:t>
            </w:r>
          </w:p>
        </w:tc>
        <w:tc>
          <w:tcPr>
            <w:tcW w:type="dxa" w:w="727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php tests/full_regression.php</w:t>
            </w:r>
          </w:p>
        </w:tc>
      </w:tr>
      <w:tr>
        <w:tc>
          <w:tcPr>
            <w:tcW w:type="dxa" w:w="208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Stock invariants</w:t>
            </w:r>
          </w:p>
        </w:tc>
        <w:tc>
          <w:tcPr>
            <w:tcW w:type="dxa" w:w="727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php tests/stock_invariants.php</w:t>
            </w:r>
          </w:p>
        </w:tc>
      </w:tr>
      <w:tr>
        <w:tc>
          <w:tcPr>
            <w:tcW w:type="dxa" w:w="208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Live regression</w:t>
            </w:r>
          </w:p>
        </w:tc>
        <w:tc>
          <w:tcPr>
            <w:tcW w:type="dxa" w:w="727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Backup first, then use --allow-live with a unique ZZ prefix and run cleanup.</w:t>
            </w:r>
          </w:p>
        </w:tc>
      </w:tr>
    </w:tbl>
    <w:p>
      <w:pPr>
        <w:spacing w:after="0"/>
      </w:pPr>
    </w:p>
    <w:p>
      <w:pPr>
        <w:pStyle w:val="Heading1"/>
      </w:pPr>
      <w:r>
        <w:t>9. Production Deployment</w:t>
      </w:r>
    </w:p>
    <w:tbl>
      <w:tblPr>
        <w:tblW w:type="dxa" w:w="9360"/>
        <w:jc w:val="left"/>
        <w:tblLayout w:type="fixed"/>
        <w:tblLook w:firstColumn="1" w:firstRow="1" w:lastColumn="0" w:lastRow="0" w:noHBand="0" w:noVBand="1" w:val="04A0"/>
      </w:tblPr>
      <w:tblGrid>
        <w:gridCol w:w="792"/>
        <w:gridCol w:w="8568"/>
      </w:tblGrid>
      <w:tr>
        <w:tc>
          <w:tcPr>
            <w:tcW w:type="dxa" w:w="792"/>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Order</w:t>
            </w:r>
          </w:p>
        </w:tc>
        <w:tc>
          <w:tcPr>
            <w:tcW w:type="dxa" w:w="8568"/>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Required action</w:t>
            </w:r>
          </w:p>
        </w:tc>
      </w:tr>
      <w:tr>
        <w:tc>
          <w:tcPr>
            <w:tcW w:type="dxa" w:w="79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1</w:t>
            </w:r>
          </w:p>
        </w:tc>
        <w:tc>
          <w:tcPr>
            <w:tcW w:type="dxa" w:w="856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Check git status, branch main and origin remote. Ignore unrelated local files.</w:t>
            </w:r>
          </w:p>
        </w:tc>
      </w:tr>
      <w:tr>
        <w:tc>
          <w:tcPr>
            <w:tcW w:type="dxa" w:w="79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2</w:t>
            </w:r>
          </w:p>
        </w:tc>
        <w:tc>
          <w:tcPr>
            <w:tcW w:type="dxa" w:w="856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Run PHP lint, Node syntax, module boundaries, frontend assets, backup archive and git diff --check.</w:t>
            </w:r>
          </w:p>
        </w:tc>
      </w:tr>
      <w:tr>
        <w:tc>
          <w:tcPr>
            <w:tcW w:type="dxa" w:w="79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3</w:t>
            </w:r>
          </w:p>
        </w:tc>
        <w:tc>
          <w:tcPr>
            <w:tcW w:type="dxa" w:w="856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Stage only intended files, commit and push origin main.</w:t>
            </w:r>
          </w:p>
        </w:tc>
      </w:tr>
      <w:tr>
        <w:tc>
          <w:tcPr>
            <w:tcW w:type="dxa" w:w="79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4</w:t>
            </w:r>
          </w:p>
        </w:tc>
        <w:tc>
          <w:tcPr>
            <w:tcW w:type="dxa" w:w="856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SSH to production path and create a SQL + manifest + files ZIP backup.</w:t>
            </w:r>
          </w:p>
        </w:tc>
      </w:tr>
      <w:tr>
        <w:tc>
          <w:tcPr>
            <w:tcW w:type="dxa" w:w="79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5</w:t>
            </w:r>
          </w:p>
        </w:tc>
        <w:tc>
          <w:tcPr>
            <w:tcW w:type="dxa" w:w="856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Deploy the exact committed source state. Do not copy a dirty working tree.</w:t>
            </w:r>
          </w:p>
        </w:tc>
      </w:tr>
      <w:tr>
        <w:tc>
          <w:tcPr>
            <w:tcW w:type="dxa" w:w="79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6</w:t>
            </w:r>
          </w:p>
        </w:tc>
        <w:tc>
          <w:tcPr>
            <w:tcW w:type="dxa" w:w="856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Run live PHP lint and stock invariants.</w:t>
            </w:r>
          </w:p>
        </w:tc>
      </w:tr>
      <w:tr>
        <w:tc>
          <w:tcPr>
            <w:tcW w:type="dxa" w:w="79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7</w:t>
            </w:r>
          </w:p>
        </w:tc>
        <w:tc>
          <w:tcPr>
            <w:tcW w:type="dxa" w:w="856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Smoke dashboard, items, handovers, requests, purchases, assets, reports and settings.</w:t>
            </w:r>
          </w:p>
        </w:tc>
      </w:tr>
      <w:tr>
        <w:tc>
          <w:tcPr>
            <w:tcW w:type="dxa" w:w="79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8</w:t>
            </w:r>
          </w:p>
        </w:tc>
        <w:tc>
          <w:tcPr>
            <w:tcW w:type="dxa" w:w="856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For a workflow release, run prefixed live regression and clean temporary records.</w:t>
            </w:r>
          </w:p>
        </w:tc>
      </w:tr>
    </w:tbl>
    <w:p>
      <w:pPr>
        <w:spacing w:after="0"/>
      </w:pPr>
    </w:p>
    <w:p>
      <w:pPr>
        <w:pStyle w:val="Heading1"/>
      </w:pPr>
      <w:r>
        <w:t>10. Backup And Rollback</w:t>
      </w:r>
    </w:p>
    <w:p>
      <w:pPr>
        <w:pStyle w:val="ListBullet"/>
      </w:pPr>
      <w:r>
        <w:rPr>
          <w:rFonts w:ascii="Calibri" w:hAnsi="Calibri"/>
          <w:b w:val="0"/>
          <w:color w:val="111111"/>
          <w:sz w:val="19"/>
        </w:rPr>
        <w:t>Always keep SQL, manifest and files ZIP from the same backup timestamp.</w:t>
      </w:r>
    </w:p>
    <w:p>
      <w:pPr>
        <w:pStyle w:val="ListBullet"/>
      </w:pPr>
      <w:r>
        <w:rPr>
          <w:rFonts w:ascii="Calibri" w:hAnsi="Calibri"/>
          <w:b w:val="0"/>
          <w:color w:val="111111"/>
          <w:sz w:val="19"/>
        </w:rPr>
        <w:t>If schema did not change, restore the backed-up application files, lint and run stock invariants.</w:t>
      </w:r>
    </w:p>
    <w:p>
      <w:pPr>
        <w:pStyle w:val="ListBullet"/>
      </w:pPr>
      <w:r>
        <w:rPr>
          <w:rFonts w:ascii="Calibri" w:hAnsi="Calibri"/>
          <w:b w:val="0"/>
          <w:color w:val="111111"/>
          <w:sz w:val="19"/>
        </w:rPr>
        <w:t>If schema changed, restore files and SQL from the same set. Mixing versions is how quiet corruption starts.</w:t>
      </w:r>
    </w:p>
    <w:p>
      <w:pPr>
        <w:pStyle w:val="ListBullet"/>
      </w:pPr>
      <w:r>
        <w:rPr>
          <w:rFonts w:ascii="Calibri" w:hAnsi="Calibri"/>
          <w:b w:val="0"/>
          <w:color w:val="111111"/>
          <w:sz w:val="19"/>
        </w:rPr>
        <w:t>Workflow correction uses cancel, recover, void, reopen or status override. Hard delete is not rollback.</w:t>
      </w:r>
    </w:p>
    <w:p>
      <w:pPr>
        <w:pStyle w:val="Heading1"/>
      </w:pPr>
      <w:r>
        <w:t>11. July 20 Verified Checkpoint</w:t>
      </w:r>
    </w:p>
    <w:tbl>
      <w:tblPr>
        <w:tblW w:type="dxa" w:w="9360"/>
        <w:jc w:val="left"/>
        <w:tblLayout w:type="fixed"/>
        <w:tblLook w:firstColumn="1" w:firstRow="1" w:lastColumn="0" w:lastRow="0" w:noHBand="0" w:noVBand="1" w:val="04A0"/>
      </w:tblPr>
      <w:tblGrid>
        <w:gridCol w:w="1944"/>
        <w:gridCol w:w="1008"/>
        <w:gridCol w:w="6408"/>
      </w:tblGrid>
      <w:tr>
        <w:tc>
          <w:tcPr>
            <w:tcW w:type="dxa" w:w="1944"/>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Check</w:t>
            </w:r>
          </w:p>
        </w:tc>
        <w:tc>
          <w:tcPr>
            <w:tcW w:type="dxa" w:w="1008"/>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Result</w:t>
            </w:r>
          </w:p>
        </w:tc>
        <w:tc>
          <w:tcPr>
            <w:tcW w:type="dxa" w:w="6408"/>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Evidence</w:t>
            </w:r>
          </w:p>
        </w:tc>
      </w:tr>
      <w:tr>
        <w:tc>
          <w:tcPr>
            <w:tcW w:type="dxa" w:w="194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Application</w:t>
            </w:r>
          </w:p>
        </w:tc>
        <w:tc>
          <w:tcPr>
            <w:tcW w:type="dxa" w:w="100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PASS</w:t>
            </w:r>
          </w:p>
        </w:tc>
        <w:tc>
          <w:tcPr>
            <w:tcW w:type="dxa" w:w="640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7b16698 deployed on main.</w:t>
            </w:r>
          </w:p>
        </w:tc>
      </w:tr>
      <w:tr>
        <w:tc>
          <w:tcPr>
            <w:tcW w:type="dxa" w:w="194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Backup</w:t>
            </w:r>
          </w:p>
        </w:tc>
        <w:tc>
          <w:tcPr>
            <w:tcW w:type="dxa" w:w="100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PASS</w:t>
            </w:r>
          </w:p>
        </w:tc>
        <w:tc>
          <w:tcPr>
            <w:tcW w:type="dxa" w:w="640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inventory-backup-20260720-111638 SQL, manifest and files ZIP; 14,700 files; 1,604,088,094 bytes; no warnings.</w:t>
            </w:r>
          </w:p>
        </w:tc>
      </w:tr>
      <w:tr>
        <w:tc>
          <w:tcPr>
            <w:tcW w:type="dxa" w:w="194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Static checks</w:t>
            </w:r>
          </w:p>
        </w:tc>
        <w:tc>
          <w:tcPr>
            <w:tcW w:type="dxa" w:w="100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PASS</w:t>
            </w:r>
          </w:p>
        </w:tc>
        <w:tc>
          <w:tcPr>
            <w:tcW w:type="dxa" w:w="640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Full PHP lint, Node syntax, git diff, module boundaries, frontend assets and backup archive.</w:t>
            </w:r>
          </w:p>
        </w:tc>
      </w:tr>
      <w:tr>
        <w:tc>
          <w:tcPr>
            <w:tcW w:type="dxa" w:w="194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Live regression</w:t>
            </w:r>
          </w:p>
        </w:tc>
        <w:tc>
          <w:tcPr>
            <w:tcW w:type="dxa" w:w="100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PASS</w:t>
            </w:r>
          </w:p>
        </w:tc>
        <w:tc>
          <w:tcPr>
            <w:tcW w:type="dxa" w:w="640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ZZCYCLE20260720E passed and cleaned temporary records.</w:t>
            </w:r>
          </w:p>
        </w:tc>
      </w:tr>
      <w:tr>
        <w:tc>
          <w:tcPr>
            <w:tcW w:type="dxa" w:w="194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Stock invariants</w:t>
            </w:r>
          </w:p>
        </w:tc>
        <w:tc>
          <w:tcPr>
            <w:tcW w:type="dxa" w:w="100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PASS</w:t>
            </w:r>
          </w:p>
        </w:tc>
        <w:tc>
          <w:tcPr>
            <w:tcW w:type="dxa" w:w="640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Passed before live regression and after cleanup.</w:t>
            </w:r>
          </w:p>
        </w:tc>
      </w:tr>
      <w:tr>
        <w:tc>
          <w:tcPr>
            <w:tcW w:type="dxa" w:w="194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Issuer receipt review</w:t>
            </w:r>
          </w:p>
        </w:tc>
        <w:tc>
          <w:tcPr>
            <w:tcW w:type="dxa" w:w="100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PASS</w:t>
            </w:r>
          </w:p>
        </w:tc>
        <w:tc>
          <w:tcPr>
            <w:tcW w:type="dxa" w:w="640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Exact and short receipt reports require editable source-issuer confirmation.</w:t>
            </w:r>
          </w:p>
        </w:tc>
      </w:tr>
      <w:tr>
        <w:tc>
          <w:tcPr>
            <w:tcW w:type="dxa" w:w="194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Issuer final review</w:t>
            </w:r>
          </w:p>
        </w:tc>
        <w:tc>
          <w:tcPr>
            <w:tcW w:type="dxa" w:w="100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PASS</w:t>
            </w:r>
          </w:p>
        </w:tc>
        <w:tc>
          <w:tcPr>
            <w:tcW w:type="dxa" w:w="640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Issuer can correct returned quantity and actual usage reasons before close.</w:t>
            </w:r>
          </w:p>
        </w:tc>
      </w:tr>
      <w:tr>
        <w:tc>
          <w:tcPr>
            <w:tcW w:type="dxa" w:w="194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Purchase permissions</w:t>
            </w:r>
          </w:p>
        </w:tc>
        <w:tc>
          <w:tcPr>
            <w:tcW w:type="dxa" w:w="100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PASS</w:t>
            </w:r>
          </w:p>
        </w:tc>
        <w:tc>
          <w:tcPr>
            <w:tcW w:type="dxa" w:w="640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Denied default-admin and allowed owner paths verified for document deletion and draft cancellation.</w:t>
            </w:r>
          </w:p>
        </w:tc>
      </w:tr>
    </w:tbl>
    <w:p>
      <w:pPr>
        <w:spacing w:after="0"/>
      </w:pPr>
    </w:p>
    <w:p>
      <w:pPr>
        <w:pStyle w:val="Heading1"/>
      </w:pPr>
      <w:r>
        <w:t>12. Safe Extension Rules</w:t>
      </w:r>
    </w:p>
    <w:p>
      <w:pPr>
        <w:pStyle w:val="ListBullet"/>
      </w:pPr>
      <w:r>
        <w:rPr>
          <w:rFonts w:ascii="Calibri" w:hAnsi="Calibri"/>
          <w:b w:val="0"/>
          <w:color w:val="111111"/>
          <w:sz w:val="19"/>
        </w:rPr>
        <w:t>Put new backend logic in the focused domain module, not a compatibility loader.</w:t>
      </w:r>
    </w:p>
    <w:p>
      <w:pPr>
        <w:pStyle w:val="ListBullet"/>
      </w:pPr>
      <w:r>
        <w:rPr>
          <w:rFonts w:ascii="Calibri" w:hAnsi="Calibri"/>
          <w:b w:val="0"/>
          <w:color w:val="111111"/>
          <w:sz w:val="19"/>
        </w:rPr>
        <w:t>Keep public URLs and route handler names stable unless the change is intentional and tested.</w:t>
      </w:r>
    </w:p>
    <w:p>
      <w:pPr>
        <w:pStyle w:val="ListBullet"/>
      </w:pPr>
      <w:r>
        <w:rPr>
          <w:rFonts w:ascii="Calibri" w:hAnsi="Calibri"/>
          <w:b w:val="0"/>
          <w:color w:val="111111"/>
          <w:sz w:val="19"/>
        </w:rPr>
        <w:t>Use existing inventory posting helpers for every stock change.</w:t>
      </w:r>
    </w:p>
    <w:p>
      <w:pPr>
        <w:pStyle w:val="ListBullet"/>
      </w:pPr>
      <w:r>
        <w:rPr>
          <w:rFonts w:ascii="Calibri" w:hAnsi="Calibri"/>
          <w:b w:val="0"/>
          <w:color w:val="111111"/>
          <w:sz w:val="19"/>
        </w:rPr>
        <w:t>Add permission, audit, notification and export behavior with the feature - not months later.</w:t>
      </w:r>
    </w:p>
    <w:p>
      <w:pPr>
        <w:pStyle w:val="ListBullet"/>
      </w:pPr>
      <w:r>
        <w:rPr>
          <w:rFonts w:ascii="Calibri" w:hAnsi="Calibri"/>
          <w:b w:val="0"/>
          <w:color w:val="111111"/>
          <w:sz w:val="19"/>
        </w:rPr>
        <w:t>When a view filter changes, prove the export uses the same scope.</w:t>
      </w:r>
    </w:p>
    <w:p>
      <w:pPr>
        <w:pStyle w:val="ListBullet"/>
      </w:pPr>
      <w:r>
        <w:rPr>
          <w:rFonts w:ascii="Calibri" w:hAnsi="Calibri"/>
          <w:b w:val="0"/>
          <w:color w:val="111111"/>
          <w:sz w:val="19"/>
        </w:rPr>
        <w:t>OCR may fill a draft; it must never approve a purchase or post stock.</w:t>
      </w:r>
    </w:p>
    <w:p>
      <w:pPr>
        <w:pStyle w:val="ListBullet"/>
      </w:pPr>
      <w:r>
        <w:rPr>
          <w:rFonts w:ascii="Calibri" w:hAnsi="Calibri"/>
          <w:b w:val="0"/>
          <w:color w:val="111111"/>
          <w:sz w:val="19"/>
        </w:rPr>
        <w:t>Do not start a class/framework rewrite while daily stock workflows are changing.</w:t>
      </w:r>
    </w:p>
    <w:p>
      <w:pPr>
        <w:pStyle w:val="Heading1"/>
      </w:pPr>
      <w:r>
        <w:t>13. Next Technical Work</w:t>
      </w:r>
    </w:p>
    <w:tbl>
      <w:tblPr>
        <w:tblW w:type="dxa" w:w="9360"/>
        <w:jc w:val="left"/>
        <w:tblLayout w:type="fixed"/>
        <w:tblLook w:firstColumn="1" w:firstRow="1" w:lastColumn="0" w:lastRow="0" w:noHBand="0" w:noVBand="1" w:val="04A0"/>
      </w:tblPr>
      <w:tblGrid>
        <w:gridCol w:w="792"/>
        <w:gridCol w:w="4320"/>
        <w:gridCol w:w="4248"/>
      </w:tblGrid>
      <w:tr>
        <w:tc>
          <w:tcPr>
            <w:tcW w:type="dxa" w:w="792"/>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Order</w:t>
            </w:r>
          </w:p>
        </w:tc>
        <w:tc>
          <w:tcPr>
            <w:tcW w:type="dxa" w:w="4320"/>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Improvement</w:t>
            </w:r>
          </w:p>
        </w:tc>
        <w:tc>
          <w:tcPr>
            <w:tcW w:type="dxa" w:w="4248"/>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Reason</w:t>
            </w:r>
          </w:p>
        </w:tc>
      </w:tr>
      <w:tr>
        <w:tc>
          <w:tcPr>
            <w:tcW w:type="dxa" w:w="79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1</w:t>
            </w:r>
          </w:p>
        </w:tc>
        <w:tc>
          <w:tcPr>
            <w:tcW w:type="dxa" w:w="432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Continue mobile field-work polish.</w:t>
            </w:r>
          </w:p>
        </w:tc>
        <w:tc>
          <w:tcPr>
            <w:tcW w:type="dxa" w:w="424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Most employees use phones for scan, handover, manual stock and asset work.</w:t>
            </w:r>
          </w:p>
        </w:tc>
      </w:tr>
      <w:tr>
        <w:tc>
          <w:tcPr>
            <w:tcW w:type="dxa" w:w="79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2</w:t>
            </w:r>
          </w:p>
        </w:tc>
        <w:tc>
          <w:tcPr>
            <w:tcW w:type="dxa" w:w="432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Extend filter/export parity tests with every new filter.</w:t>
            </w:r>
          </w:p>
        </w:tc>
        <w:tc>
          <w:tcPr>
            <w:tcW w:type="dxa" w:w="424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Visible scope and downloaded scope must never disagree.</w:t>
            </w:r>
          </w:p>
        </w:tc>
      </w:tr>
      <w:tr>
        <w:tc>
          <w:tcPr>
            <w:tcW w:type="dxa" w:w="79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3</w:t>
            </w:r>
          </w:p>
        </w:tc>
        <w:tc>
          <w:tcPr>
            <w:tcW w:type="dxa" w:w="432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Harden Arabic OCR confidence and optional OpenAI fallback.</w:t>
            </w:r>
          </w:p>
        </w:tc>
        <w:tc>
          <w:tcPr>
            <w:tcW w:type="dxa" w:w="424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Old scanned documents remain the least reliable input.</w:t>
            </w:r>
          </w:p>
        </w:tc>
      </w:tr>
      <w:tr>
        <w:tc>
          <w:tcPr>
            <w:tcW w:type="dxa" w:w="79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4</w:t>
            </w:r>
          </w:p>
        </w:tc>
        <w:tc>
          <w:tcPr>
            <w:tcW w:type="dxa" w:w="432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Exercise report presets with real operating teams.</w:t>
            </w:r>
          </w:p>
        </w:tc>
        <w:tc>
          <w:tcPr>
            <w:tcW w:type="dxa" w:w="424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The feature exists; real use should define the best defaults.</w:t>
            </w:r>
          </w:p>
        </w:tc>
      </w:tr>
      <w:tr>
        <w:tc>
          <w:tcPr>
            <w:tcW w:type="dxa" w:w="79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5</w:t>
            </w:r>
          </w:p>
        </w:tc>
        <w:tc>
          <w:tcPr>
            <w:tcW w:type="dxa" w:w="432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Split frontend JavaScript only after the current architecture stays stable.</w:t>
            </w:r>
          </w:p>
        </w:tc>
        <w:tc>
          <w:tcPr>
            <w:tcW w:type="dxa" w:w="424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Another structural refactor during stock changes is needless risk.</w:t>
            </w:r>
          </w:p>
        </w:tc>
      </w:tr>
    </w:tbl>
    <w:p>
      <w:pPr>
        <w:spacing w:after="0"/>
      </w:pPr>
    </w:p>
    <w:tbl>
      <w:tblPr>
        <w:tblW w:type="dxa" w:w="9360"/>
        <w:jc w:val="left"/>
        <w:tblLayout w:type="fixed"/>
        <w:tblLook w:firstColumn="1" w:firstRow="1" w:lastColumn="0" w:lastRow="0" w:noHBand="0" w:noVBand="1" w:val="04A0"/>
      </w:tblPr>
      <w:tblGrid>
        <w:gridCol w:w="9360"/>
      </w:tblGrid>
      <w:tr>
        <w:tc>
          <w:tcPr>
            <w:tcW w:type="dxa" w:w="9360"/>
            <w:shd w:fill="FFF6D8"/>
            <w:tcBorders>
              <w:top w:val="single" w:sz="4" w:color="D9D2C3"/>
              <w:left w:val="single" w:sz="4" w:color="D9D2C3"/>
              <w:bottom w:val="single" w:sz="4" w:color="D9D2C3"/>
              <w:right w:val="single" w:sz="4" w:color="D9D2C3"/>
              <w:insideH w:val="single" w:sz="4" w:color="D9D2C3"/>
              <w:insideV w:val="single" w:sz="4" w:color="D9D2C3"/>
            </w:tcBorders>
            <w:tcMar>
              <w:top w:w="110" w:type="dxa"/>
              <w:start w:w="140" w:type="dxa"/>
              <w:bottom w:w="110" w:type="dxa"/>
              <w:end w:w="140" w:type="dxa"/>
            </w:tcMar>
          </w:tcPr>
          <w:p>
            <w:r>
              <w:rPr>
                <w:rFonts w:ascii="Calibri" w:hAnsi="Calibri"/>
                <w:b/>
                <w:color w:val="B78918"/>
                <w:sz w:val="20"/>
              </w:rPr>
              <w:t>Developer bottom line</w:t>
              <w:br/>
            </w:r>
            <w:r>
              <w:rPr>
                <w:rFonts w:ascii="Calibri" w:hAnsi="Calibri"/>
                <w:b w:val="0"/>
                <w:color w:val="111111"/>
                <w:sz w:val="19"/>
              </w:rPr>
              <w:t>The modular build is complete enough to extend safely. The latest handover work restored the original accountability cycle inside the modules; it did not undo modularization. Keep changes small, preserve stock invariants, and make tests prove the behavior.</w:t>
            </w:r>
          </w:p>
        </w:tc>
      </w:tr>
    </w:tbl>
    <w:p>
      <w:pPr>
        <w:spacing w:after="0"/>
      </w:pPr>
    </w:p>
    <w:sectPr w:rsidR="00FC693F" w:rsidRPr="0006063C" w:rsidSect="00034616">
      <w:headerReference w:type="default" r:id="rId9"/>
      <w:footerReference w:type="default" r:id="rId10"/>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6D7078"/>
        <w:sz w:val="16"/>
      </w:rPr>
      <w:t>Internal technical handover | July 20,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6D7078"/>
        <w:sz w:val="16"/>
      </w:rPr>
      <w:t>Inventory KONA | Developer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111111"/>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B78918"/>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1111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b/>
      <w:color w:val="11111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i/>
      <w:iCs/>
      <w:color w:val="6D707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89" w:hanging="216"/>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