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920240" cy="516929"/>
            <wp:docPr id="1" name="Picture 1"/>
            <wp:cNvGraphicFramePr>
              <a:graphicFrameLocks noChangeAspect="1"/>
            </wp:cNvGraphicFramePr>
            <a:graphic>
              <a:graphicData uri="http://schemas.openxmlformats.org/drawingml/2006/picture">
                <pic:pic>
                  <pic:nvPicPr>
                    <pic:cNvPr id="0" name="kona-logo-official.png"/>
                    <pic:cNvPicPr/>
                  </pic:nvPicPr>
                  <pic:blipFill>
                    <a:blip r:embed="rId11"/>
                    <a:stretch>
                      <a:fillRect/>
                    </a:stretch>
                  </pic:blipFill>
                  <pic:spPr>
                    <a:xfrm>
                      <a:off x="0" y="0"/>
                      <a:ext cx="1920240" cy="516929"/>
                    </a:xfrm>
                    <a:prstGeom prst="rect"/>
                  </pic:spPr>
                </pic:pic>
              </a:graphicData>
            </a:graphic>
          </wp:inline>
        </w:drawing>
      </w:r>
    </w:p>
    <w:p>
      <w:pPr>
        <w:pStyle w:val="Title"/>
      </w:pPr>
      <w:r>
        <w:t>Inventory KONA Developer Handover</w:t>
      </w:r>
    </w:p>
    <w:p>
      <w:pPr>
        <w:pStyle w:val="Subtitle"/>
      </w:pPr>
      <w:r>
        <w:t>Architecture, module ownership, stock invariants, workflow rules, testing, deployment, rollback, and safe extension guide.</w:t>
      </w:r>
    </w:p>
    <w:p>
      <w:pPr>
        <w:spacing w:after="20"/>
      </w:pPr>
      <w:r>
        <w:rPr>
          <w:rFonts w:ascii="Calibri" w:hAnsi="Calibri"/>
          <w:b/>
          <w:color w:val="B78918"/>
          <w:sz w:val="18"/>
        </w:rPr>
        <w:t xml:space="preserve">Production URL: </w:t>
      </w:r>
      <w:r>
        <w:rPr>
          <w:rFonts w:ascii="Calibri" w:hAnsi="Calibri"/>
          <w:b w:val="0"/>
          <w:color w:val="111111"/>
          <w:sz w:val="18"/>
        </w:rPr>
        <w:t>https://inventory.ahmaddalao.com</w:t>
      </w:r>
    </w:p>
    <w:p>
      <w:pPr>
        <w:spacing w:after="20"/>
      </w:pPr>
      <w:r>
        <w:rPr>
          <w:rFonts w:ascii="Calibri" w:hAnsi="Calibri"/>
          <w:b/>
          <w:color w:val="B78918"/>
          <w:sz w:val="18"/>
        </w:rPr>
        <w:t xml:space="preserve">Production path: </w:t>
      </w:r>
      <w:r>
        <w:rPr>
          <w:rFonts w:ascii="Calibri" w:hAnsi="Calibri"/>
          <w:b w:val="0"/>
          <w:color w:val="111111"/>
          <w:sz w:val="18"/>
        </w:rPr>
        <w:t>/home/u867436826/domains/ahmaddalao.com/public_html/inventory</w:t>
      </w:r>
    </w:p>
    <w:p>
      <w:pPr>
        <w:spacing w:after="20"/>
      </w:pPr>
      <w:r>
        <w:rPr>
          <w:rFonts w:ascii="Calibri" w:hAnsi="Calibri"/>
          <w:b/>
          <w:color w:val="B78918"/>
          <w:sz w:val="18"/>
        </w:rPr>
        <w:t xml:space="preserve">Repository: </w:t>
      </w:r>
      <w:r>
        <w:rPr>
          <w:rFonts w:ascii="Calibri" w:hAnsi="Calibri"/>
          <w:b w:val="0"/>
          <w:color w:val="111111"/>
          <w:sz w:val="18"/>
        </w:rPr>
        <w:t>https://github.com/AhmadDalao/inventory.git</w:t>
      </w:r>
    </w:p>
    <w:p>
      <w:pPr>
        <w:spacing w:after="20"/>
      </w:pPr>
      <w:r>
        <w:rPr>
          <w:rFonts w:ascii="Calibri" w:hAnsi="Calibri"/>
          <w:b/>
          <w:color w:val="B78918"/>
          <w:sz w:val="18"/>
        </w:rPr>
        <w:t xml:space="preserve">Branch: </w:t>
      </w:r>
      <w:r>
        <w:rPr>
          <w:rFonts w:ascii="Calibri" w:hAnsi="Calibri"/>
          <w:b w:val="0"/>
          <w:color w:val="111111"/>
          <w:sz w:val="18"/>
        </w:rPr>
        <w:t>main</w:t>
      </w:r>
    </w:p>
    <w:p>
      <w:pPr>
        <w:spacing w:after="20"/>
      </w:pPr>
      <w:r>
        <w:t>Verified application commit: 9a1fe30 - Update regression for modular frontend</w:t>
      </w:r>
    </w:p>
    <w:p>
      <w:pPr>
        <w:spacing w:after="20"/>
      </w:pPr>
      <w:r>
        <w:t>Frontend checkpoint: 9a1fe30 - modular CSS, native ES modules, and updated regression coverage</w:t>
      </w:r>
    </w:p>
    <w:p>
      <w:pPr>
        <w:spacing w:after="20"/>
      </w:pPr>
      <w:r>
        <w:rPr>
          <w:rFonts w:ascii="Calibri" w:hAnsi="Calibri"/>
          <w:b/>
          <w:color w:val="B78918"/>
          <w:sz w:val="18"/>
        </w:rPr>
        <w:t xml:space="preserve">Source developer guide: </w:t>
      </w:r>
      <w:r>
        <w:rPr>
          <w:rFonts w:ascii="Calibri" w:hAnsi="Calibri"/>
          <w:b w:val="0"/>
          <w:color w:val="111111"/>
          <w:sz w:val="18"/>
        </w:rPr>
        <w:t>docs/developer-handover.md</w:t>
      </w: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Handover position</w:t>
              <w:br/>
            </w:r>
            <w:r>
              <w:rPr>
                <w:rFonts w:ascii="Calibri" w:hAnsi="Calibri"/>
                <w:b w:val="0"/>
                <w:color w:val="111111"/>
                <w:sz w:val="19"/>
              </w:rPr>
              <w:t>The application is modular and production-ready for internal use. Do not rewrite it into classes or a framework for style points. Preserve public routes and function names, place new behavior in the focused domain module, and prove stock behavior with regression plus stock invariants.</w:t>
            </w:r>
          </w:p>
        </w:tc>
      </w:tr>
    </w:tbl>
    <w:p>
      <w:pPr>
        <w:spacing w:after="0"/>
      </w:pPr>
    </w:p>
    <w:p>
      <w:pPr>
        <w:pStyle w:val="Heading1"/>
      </w:pPr>
      <w:r>
        <w:t>1. System And Architecture</w:t>
      </w:r>
    </w:p>
    <w:p>
      <w:pPr>
        <w:pStyle w:val="ListBullet"/>
      </w:pPr>
      <w:r>
        <w:rPr>
          <w:rFonts w:ascii="Calibri" w:hAnsi="Calibri"/>
          <w:b w:val="0"/>
          <w:color w:val="111111"/>
          <w:sz w:val="19"/>
        </w:rPr>
        <w:t>Plain PHP and MySQL application. It is not Laravel.</w:t>
      </w:r>
    </w:p>
    <w:p>
      <w:pPr>
        <w:pStyle w:val="ListBullet"/>
      </w:pPr>
      <w:r>
        <w:rPr>
          <w:rFonts w:ascii="Calibri" w:hAnsi="Calibri"/>
          <w:b w:val="0"/>
          <w:color w:val="111111"/>
          <w:sz w:val="19"/>
        </w:rPr>
        <w:t>index.php is the public route registry. Existing URLs must stay stable unless a route change is deliberate.</w:t>
      </w:r>
    </w:p>
    <w:p>
      <w:pPr>
        <w:pStyle w:val="ListBullet"/>
      </w:pPr>
      <w:r>
        <w:rPr>
          <w:rFonts w:ascii="Calibri" w:hAnsi="Calibri"/>
          <w:b w:val="0"/>
          <w:color w:val="111111"/>
          <w:sz w:val="19"/>
        </w:rPr>
        <w:t>app/module_manifest.php defines 11 domain groups and 146 focused modules.</w:t>
      </w:r>
    </w:p>
    <w:p>
      <w:pPr>
        <w:pStyle w:val="ListBullet"/>
      </w:pPr>
      <w:r>
        <w:rPr>
          <w:rFonts w:ascii="Calibri" w:hAnsi="Calibri"/>
          <w:b w:val="0"/>
          <w:color w:val="111111"/>
          <w:sz w:val="19"/>
        </w:rPr>
        <w:t>app/modules.php flattens the manifest and loads the focused modules.</w:t>
      </w:r>
    </w:p>
    <w:p>
      <w:pPr>
        <w:pStyle w:val="ListBullet"/>
      </w:pPr>
      <w:r>
        <w:rPr>
          <w:rFonts w:ascii="Calibri" w:hAnsi="Calibri"/>
          <w:b w:val="0"/>
          <w:color w:val="111111"/>
          <w:sz w:val="19"/>
        </w:rPr>
        <w:t>app/support contains bootstrap-safe permissions, HTTP/security, branding, settings, and presentation helpers.</w:t>
      </w:r>
    </w:p>
    <w:p>
      <w:pPr>
        <w:pStyle w:val="ListBullet"/>
      </w:pPr>
      <w:r>
        <w:rPr>
          <w:rFonts w:ascii="Calibri" w:hAnsi="Calibri"/>
          <w:b w:val="0"/>
          <w:color w:val="111111"/>
          <w:sz w:val="19"/>
        </w:rPr>
        <w:t>app/maintenance contains schema checks, backfills, and permission seeds.</w:t>
      </w:r>
    </w:p>
    <w:p>
      <w:pPr>
        <w:pStyle w:val="ListBullet"/>
      </w:pPr>
      <w:r>
        <w:rPr>
          <w:rFonts w:ascii="Calibri" w:hAnsi="Calibri"/>
          <w:b w:val="0"/>
          <w:color w:val="111111"/>
          <w:sz w:val="19"/>
        </w:rPr>
        <w:t>Legacy aggregate files are compatibility loaders only. Never add new business logic to app/controllers.php, app/workflows.php, app/company_assets.php, or app/report_presets.php.</w:t>
      </w:r>
    </w:p>
    <w:tbl>
      <w:tblPr>
        <w:tblW w:type="dxa" w:w="9360"/>
        <w:jc w:val="left"/>
        <w:tblLayout w:type="fixed"/>
        <w:tblLook w:firstColumn="1" w:firstRow="1" w:lastColumn="0" w:lastRow="0" w:noHBand="0" w:noVBand="1" w:val="04A0"/>
      </w:tblPr>
      <w:tblGrid>
        <w:gridCol w:w="1944"/>
        <w:gridCol w:w="936"/>
        <w:gridCol w:w="6480"/>
      </w:tblGrid>
      <w:tr>
        <w:tc>
          <w:tcPr>
            <w:tcW w:type="dxa" w:w="194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Manifest group</w:t>
            </w:r>
          </w:p>
        </w:tc>
        <w:tc>
          <w:tcPr>
            <w:tcW w:type="dxa" w:w="93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Modules</w:t>
            </w:r>
          </w:p>
        </w:tc>
        <w:tc>
          <w:tcPr>
            <w:tcW w:type="dxa" w:w="648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Main responsibility</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core</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Auth, settings, users, email, shared selectors and exports.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17</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Items, storages, balances, movements, stock posting and package presets.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exports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9</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 movement, storage, workflow and daily summary exports.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reports_and_search</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 reports, presets, notifications, global search and Scan Center.</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handover_usage</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9</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 reasons, receipt/closeout updates, permissions and status rules.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workflow_core</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Shared workflow identity, inputs, stock impact, system locations and filters.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 queries, guards, inventory posting, decisions, receipt and status actions.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handovers</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Staff and storage-transfer lifecycle, inventory, receipt, closeout and signoff.</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purchases_and_ocr</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14</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Suppliers, purchases, documents, approval, receiving, OCR and weighted cost.</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files_and_operations</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32</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 labels, stocktakes, reorder, audit, documentation and signoff rendering.</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CRUD, categories, custody, maintenance, depreciation and exports.</w:t>
            </w:r>
          </w:p>
        </w:tc>
      </w:tr>
    </w:tbl>
    <w:p>
      <w:pPr>
        <w:spacing w:after="0"/>
      </w:pPr>
    </w:p>
    <w:p>
      <w:pPr>
        <w:pStyle w:val="Heading1"/>
      </w:pPr>
      <w:r>
        <w:t>2. Domain Ownership</w:t>
      </w:r>
    </w:p>
    <w:tbl>
      <w:tblPr>
        <w:tblW w:type="dxa" w:w="9360"/>
        <w:jc w:val="left"/>
        <w:tblLayout w:type="fixed"/>
        <w:tblLook w:firstColumn="1" w:firstRow="1" w:lastColumn="0" w:lastRow="0" w:noHBand="0" w:noVBand="1" w:val="04A0"/>
      </w:tblPr>
      <w:tblGrid>
        <w:gridCol w:w="1656"/>
        <w:gridCol w:w="3528"/>
        <w:gridCol w:w="4176"/>
      </w:tblGrid>
      <w:tr>
        <w:tc>
          <w:tcPr>
            <w:tcW w:type="dxa" w:w="165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Domain</w:t>
            </w:r>
          </w:p>
        </w:tc>
        <w:tc>
          <w:tcPr>
            <w:tcW w:type="dxa" w:w="352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Primary focused files</w:t>
            </w:r>
          </w:p>
        </w:tc>
        <w:tc>
          <w:tcPr>
            <w:tcW w:type="dxa" w:w="417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Change here when</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item_*, storage_*, inventory_stock.php, movement_*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item/storage queries, quantities, transfers, usage, restock or adjustment.</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dashboard_filters.php, dashboard_metrics.php, dashboard_payloads.php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cards, queues, storage/date scope or role dashboards.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Scan/manual stock</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scan_pages.php, scan_lookup.php, scan_manual_restock.php</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barcode/SKU lookup, batch scan, package conversion or manual restock.</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request_queries.php, request_guards.php, request_inventory.php, request_*_actions.php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permanent item requests, approval, transit, receipt mismatch or status.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handover_receipts.php, handover_closeout.php, handover_inventory.php, handover_permissions.php</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staff issue, storage transfer, receipt review, return, usage or issuer approval.</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Signoff</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signoff_rows.php, signoff_totals.php, signoff_reconciliation.php, signoff_pdf.php, signoff_xlsx.php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PDF/XLSX content without mixing rendering into workflow rules.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draft, supplier linkage, documents, approval, receiving, completion or cancellation.</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OCR</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ocr_*</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extraction engines, confidence/review, OpenAI fallback or OCR logs. OCR must never post stock.</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durable property, category hierarchy, custody, maintenance, warranty or depreciation.</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Reports/exports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report_*, export_*</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filters, saved presets, summaries or output. Screen and export scope must match.</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protected uploads, downloads, previews, context links or the centralized file library.</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Users/settings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user_*, settings_*, app/support/permissions.php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access, roles, positions, settings, logo, mail, OCR or export controls.</w:t>
            </w:r>
          </w:p>
        </w:tc>
      </w:tr>
      <w:tr>
        <w:tc>
          <w:tcPr>
            <w:tcW w:type="dxa" w:w="1656"/>
            <w:shd w:fill="F7F1E6"/>
          </w:tcPr>
          <w:p>
            <w:r>
              <w:rPr>
                <w:sz w:val="16"/>
              </w:rPr>
              <w:t>Frontend CSS</w:t>
            </w:r>
          </w:p>
        </w:tc>
        <w:tc>
          <w:tcPr>
            <w:tcW w:type="dxa" w:w="3528"/>
          </w:tcPr>
          <w:p>
            <w:r>
              <w:rPr>
                <w:sz w:val="16"/>
              </w:rPr>
              <w:t>foundation, shell, components, tables, workflows, domain files, themes, print, mobile</w:t>
            </w:r>
          </w:p>
        </w:tc>
        <w:tc>
          <w:tcPr>
            <w:tcW w:type="dxa" w:w="4176"/>
          </w:tcPr>
          <w:p>
            <w:r>
              <w:rPr>
                <w:sz w:val="16"/>
              </w:rPr>
              <w:t>Changing presentation. Preserve registry order and keep mobile.css last.</w:t>
            </w:r>
          </w:p>
        </w:tc>
      </w:tr>
      <w:tr>
        <w:tc>
          <w:tcPr>
            <w:tcW w:type="dxa" w:w="1656"/>
            <w:shd w:fill="F7F1E6"/>
          </w:tcPr>
          <w:p>
            <w:r>
              <w:rPr>
                <w:sz w:val="16"/>
              </w:rPr>
              <w:t>Frontend JavaScript</w:t>
            </w:r>
          </w:p>
        </w:tc>
        <w:tc>
          <w:tcPr>
            <w:tcW w:type="dxa" w:w="3528"/>
          </w:tcPr>
          <w:p>
            <w:r>
              <w:rPr>
                <w:sz w:val="16"/>
              </w:rPr>
              <w:t>assets/app.js, assets/js/core, assets/js/ui, assets/js/domains</w:t>
            </w:r>
          </w:p>
        </w:tc>
        <w:tc>
          <w:tcPr>
            <w:tcW w:type="dxa" w:w="4176"/>
          </w:tcPr>
          <w:p>
            <w:r>
              <w:rPr>
                <w:sz w:val="16"/>
              </w:rPr>
              <w:t>Changing browser behavior. Export idempotent init(root) and register it in app.js.</w:t>
            </w:r>
          </w:p>
        </w:tc>
      </w:tr>
    </w:tbl>
    <w:p>
      <w:pPr>
        <w:spacing w:after="0"/>
      </w:pPr>
    </w:p>
    <w:p>
      <w:pPr>
        <w:pStyle w:val="Heading1"/>
      </w:pPr>
      <w:r>
        <w:t>3. Stock Safety Model</w:t>
      </w: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Non-negotiable invariant</w:t>
              <w:br/>
            </w:r>
            <w:r>
              <w:rPr>
                <w:rFonts w:ascii="Calibri" w:hAnsi="Calibri"/>
                <w:b w:val="0"/>
                <w:color w:val="111111"/>
                <w:sz w:val="19"/>
              </w:rPr>
              <w:t>item_storage_balances is the live quantity source by item and storage. Inventory movements are immutable history. The item total is a synchronized snapshot. Never update only items.current_quantity and never erase movement history to make a workflow look cleaner.</w:t>
            </w:r>
          </w:p>
        </w:tc>
      </w:tr>
    </w:tbl>
    <w:p>
      <w:pPr>
        <w:spacing w:after="0"/>
      </w:pPr>
    </w:p>
    <w:tbl>
      <w:tblPr>
        <w:tblW w:type="dxa" w:w="9360"/>
        <w:jc w:val="left"/>
        <w:tblLayout w:type="fixed"/>
        <w:tblLook w:firstColumn="1" w:firstRow="1" w:lastColumn="0" w:lastRow="0" w:noHBand="0" w:noVBand="1" w:val="04A0"/>
      </w:tblPr>
      <w:tblGrid>
        <w:gridCol w:w="1800"/>
        <w:gridCol w:w="4824"/>
        <w:gridCol w:w="2736"/>
      </w:tblGrid>
      <w:tr>
        <w:tc>
          <w:tcPr>
            <w:tcW w:type="dxa" w:w="18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Action</w:t>
            </w:r>
          </w:p>
        </w:tc>
        <w:tc>
          <w:tcPr>
            <w:tcW w:type="dxa" w:w="482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Stock rule</w:t>
            </w:r>
          </w:p>
        </w:tc>
        <w:tc>
          <w:tcPr>
            <w:tcW w:type="dxa" w:w="273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Audit result</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Subtract from the selected storage.</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 movement records item, quantity, location, user, context and notes.</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Restock</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Add to the selected storage.</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Restock movement explains supplier/manual/purchase source.</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Transfer</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Subtract source and add destination atomically.</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Paired movement context keeps the relocation explainable.</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Staff handover</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Reserve in buffer; final used and returned movements post only after source issuer approval.</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Receipt, closeout and approval remain visible.</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Storage transfer handover</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Reserve in buffer; destination receipt moves actual quantity to destination and short quantity back to source.</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usage reasons because this is relocation.</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stock on approval. Restock posts only after final receipt confirmation.</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 reference and proof remain attached.</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Stocktake</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Variance becomes an adjustment only after approval.</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Expected, counted, variance and approver remain recorded.</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Never changes consumable inventory quantity.</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Custody and maintenance use asset events instead.</w:t>
            </w:r>
          </w:p>
        </w:tc>
      </w:tr>
    </w:tbl>
    <w:p>
      <w:pPr>
        <w:spacing w:after="0"/>
      </w:pPr>
    </w:p>
    <w:p>
      <w:pPr>
        <w:pStyle w:val="Heading1"/>
      </w:pPr>
      <w:r>
        <w:t>4. Staff Handover Cycle</w:t>
      </w:r>
    </w:p>
    <w:tbl>
      <w:tblPr>
        <w:tblW w:type="dxa" w:w="9360"/>
        <w:jc w:val="left"/>
        <w:tblLayout w:type="fixed"/>
        <w:tblLook w:firstColumn="1" w:firstRow="1" w:lastColumn="0" w:lastRow="0" w:noHBand="0" w:noVBand="1" w:val="04A0"/>
      </w:tblPr>
      <w:tblGrid>
        <w:gridCol w:w="1080"/>
        <w:gridCol w:w="1728"/>
        <w:gridCol w:w="6552"/>
      </w:tblGrid>
      <w:tr>
        <w:tc>
          <w:tcPr>
            <w:tcW w:type="dxa" w:w="108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Step</w:t>
            </w:r>
          </w:p>
        </w:tc>
        <w:tc>
          <w:tcPr>
            <w:tcW w:type="dxa" w:w="172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Actor</w:t>
            </w:r>
          </w:p>
        </w:tc>
        <w:tc>
          <w:tcPr>
            <w:tcW w:type="dxa" w:w="655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Required behavior</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 Issue</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handover, select source, staff recipient, items, quantities and optional expected usage. Stock enters the handover buffer.</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 Report receipt</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the exact quantity received. Exact and short receipts both enter Receipt Review.</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 Confirm receipt</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Open editable per-line quantities, correct if needed and confirm. Blind approval without submitted quantities is rejected.</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 Use/return</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After Delivered, enter returned quantity first. System calculates used = received - returned and accepts optional reason splits.</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 Final review</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Edit returned quantity and actual reason split if needed, add approval note and approve closeout.</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 Post stock</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Only issuer approval posts final usage and return movements, closes the handover and regenerates PDF/XLSX.</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 Correct later</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Owner/super admin</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 audited reopen, status override, recover or void. Never hard-delete stock-impact records.</w:t>
            </w:r>
          </w:p>
        </w:tc>
      </w:tr>
    </w:tbl>
    <w:p>
      <w:pPr>
        <w:spacing w:after="0"/>
      </w:pPr>
    </w:p>
    <w:tbl>
      <w:tblPr>
        <w:tblW w:type="dxa" w:w="9360"/>
        <w:jc w:val="left"/>
        <w:tblLayout w:type="fixed"/>
        <w:tblLook w:firstColumn="1" w:firstRow="1" w:lastColumn="0" w:lastRow="0" w:noHBand="0" w:noVBand="1" w:val="04A0"/>
      </w:tblPr>
      <w:tblGrid>
        <w:gridCol w:w="9360"/>
      </w:tblGrid>
      <w:tr>
        <w:tc>
          <w:tcPr>
            <w:tcW w:type="dxa" w:w="9360"/>
            <w:shd w:fill="F8F5ED"/>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Why two issuer approvals exist</w:t>
              <w:br/>
            </w:r>
            <w:r>
              <w:rPr>
                <w:rFonts w:ascii="Calibri" w:hAnsi="Calibri"/>
                <w:b w:val="0"/>
                <w:color w:val="111111"/>
                <w:sz w:val="19"/>
              </w:rPr>
              <w:t>The receiver reports reality. The source issuer owns stock accountability. The issuer first confirms what actually arrived, then later confirms what was used and returned. The modular refactor did not change this business rule.</w:t>
            </w:r>
          </w:p>
        </w:tc>
      </w:tr>
    </w:tbl>
    <w:p>
      <w:pPr>
        <w:spacing w:after="0"/>
      </w:pPr>
    </w:p>
    <w:p>
      <w:pPr>
        <w:pStyle w:val="Heading1"/>
      </w:pPr>
      <w:r>
        <w:t>5. Storage Transfer Handover</w:t>
      </w:r>
    </w:p>
    <w:tbl>
      <w:tblPr>
        <w:tblW w:type="dxa" w:w="9360"/>
        <w:jc w:val="left"/>
        <w:tblLayout w:type="fixed"/>
        <w:tblLook w:firstColumn="1" w:firstRow="1" w:lastColumn="0" w:lastRow="0" w:noHBand="0" w:noVBand="1" w:val="04A0"/>
      </w:tblPr>
      <w:tblGrid>
        <w:gridCol w:w="1152"/>
        <w:gridCol w:w="2232"/>
        <w:gridCol w:w="5976"/>
      </w:tblGrid>
      <w:tr>
        <w:tc>
          <w:tcPr>
            <w:tcW w:type="dxa" w:w="115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Step</w:t>
            </w:r>
          </w:p>
        </w:tc>
        <w:tc>
          <w:tcPr>
            <w:tcW w:type="dxa" w:w="223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Actor</w:t>
            </w:r>
          </w:p>
        </w:tc>
        <w:tc>
          <w:tcPr>
            <w:tcW w:type="dxa" w:w="597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Behavior</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 Create</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owner/admin</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Choose Transfer to Storage, source, destination and quantities. Same source/destination is blocked.</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 Reserve</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quantity moves into the handover buffer.</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 Confirm receipt</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Destination owner</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actual received quantity for the destination storage.</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 Full receipt</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 all buffer quantity to destination and close.</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 Short receipt</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 destination owners</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 actual quantity to destination; return missing quantity to source after shortage review.</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 Cancel/void</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Authorized owner/admin</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Return reserved stock safely and preserve the workflow and movement audit.</w:t>
            </w:r>
          </w:p>
        </w:tc>
      </w:tr>
    </w:tbl>
    <w:p>
      <w:pPr>
        <w:spacing w:after="0"/>
      </w:pPr>
    </w:p>
    <w:p>
      <w:pPr>
        <w:pStyle w:val="Heading1"/>
      </w:pPr>
      <w:r>
        <w:t>6. Other Workflow Cycles</w:t>
      </w:r>
    </w:p>
    <w:tbl>
      <w:tblPr>
        <w:tblW w:type="dxa" w:w="9360"/>
        <w:jc w:val="left"/>
        <w:tblLayout w:type="fixed"/>
        <w:tblLook w:firstColumn="1" w:firstRow="1" w:lastColumn="0" w:lastRow="0" w:noHBand="0" w:noVBand="1" w:val="04A0"/>
      </w:tblPr>
      <w:tblGrid>
        <w:gridCol w:w="1800"/>
        <w:gridCol w:w="5400"/>
        <w:gridCol w:w="2160"/>
      </w:tblGrid>
      <w:tr>
        <w:tc>
          <w:tcPr>
            <w:tcW w:type="dxa" w:w="18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Workflow</w:t>
            </w:r>
          </w:p>
        </w:tc>
        <w:tc>
          <w:tcPr>
            <w:tcW w:type="dxa" w:w="54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Lifecycle</w:t>
            </w:r>
          </w:p>
        </w:tc>
        <w:tc>
          <w:tcPr>
            <w:tcW w:type="dxa" w:w="216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Stock boundary</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Draft/create -&gt; approve or reject -&gt; issue/transit -&gt; receiver reports exact quantity -&gt; approver confirms mismatch -&gt; complete.</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Movement posts through request inventory helpers; self-approval is blocked where required.</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w:t>
            </w:r>
          </w:p>
        </w:tc>
        <w:tc>
          <w:tcPr>
            <w:tcW w:type="dxa" w:w="54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Draft + proof -&gt; submit -&gt; approver adjusts/approves -&gt; receiver reports actual -&gt; receipt review -&gt; approver confirms.</w:t>
            </w:r>
          </w:p>
        </w:tc>
        <w:tc>
          <w:tcPr>
            <w:tcW w:type="dxa" w:w="216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stock until final confirmation; weighted average cost updates with confirmed quantity.</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Stocktake</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snapshot -&gt; count -&gt; submit -&gt; approver reviews -&gt; approve/cancel.</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Only approved variance posts an adjustment.</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custody</w:t>
            </w:r>
          </w:p>
        </w:tc>
        <w:tc>
          <w:tcPr>
            <w:tcW w:type="dxa" w:w="54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-&gt; assign -&gt; receiver confirms -&gt; return request -&gt; admin confirms condition/return.</w:t>
            </w:r>
          </w:p>
        </w:tc>
        <w:tc>
          <w:tcPr>
            <w:tcW w:type="dxa" w:w="216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Uses asset events, not inventory movements.</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maintenance</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Open ticket -&gt; maintenance state -&gt; service details/files/cost -&gt; complete.</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Updates asset status and event history; book value remains depreciation-driven.</w:t>
            </w:r>
          </w:p>
        </w:tc>
      </w:tr>
    </w:tbl>
    <w:p>
      <w:pPr>
        <w:spacing w:after="0"/>
      </w:pPr>
    </w:p>
    <w:p>
      <w:pPr>
        <w:pStyle w:val="Heading1"/>
      </w:pPr>
      <w:r>
        <w:t>7. Permissions And Guardrails</w:t>
      </w:r>
    </w:p>
    <w:p>
      <w:pPr>
        <w:pStyle w:val="ListBullet"/>
      </w:pPr>
      <w:r>
        <w:rPr>
          <w:rFonts w:ascii="Calibri" w:hAnsi="Calibri"/>
          <w:b w:val="0"/>
          <w:color w:val="111111"/>
          <w:sz w:val="19"/>
        </w:rPr>
        <w:t>Owner has full access. Admin behavior comes from explicit permissions and position defaults.</w:t>
      </w:r>
    </w:p>
    <w:p>
      <w:pPr>
        <w:pStyle w:val="ListBullet"/>
      </w:pPr>
      <w:r>
        <w:rPr>
          <w:rFonts w:ascii="Calibri" w:hAnsi="Calibri"/>
          <w:b w:val="0"/>
          <w:color w:val="111111"/>
          <w:sz w:val="19"/>
        </w:rPr>
        <w:t>Staff sees only assigned requests, handovers and assets where applicable.</w:t>
      </w:r>
    </w:p>
    <w:p>
      <w:pPr>
        <w:pStyle w:val="ListBullet"/>
      </w:pPr>
      <w:r>
        <w:rPr>
          <w:rFonts w:ascii="Calibri" w:hAnsi="Calibri"/>
          <w:b w:val="0"/>
          <w:color w:val="111111"/>
          <w:sz w:val="19"/>
        </w:rPr>
        <w:t>Status override stays owner/super-admin only and every override is audited.</w:t>
      </w:r>
    </w:p>
    <w:p>
      <w:pPr>
        <w:pStyle w:val="ListBullet"/>
      </w:pPr>
      <w:r>
        <w:rPr>
          <w:rFonts w:ascii="Calibri" w:hAnsi="Calibri"/>
          <w:b w:val="0"/>
          <w:color w:val="111111"/>
          <w:sz w:val="19"/>
        </w:rPr>
        <w:t>Default admin without purchases.files cannot delete protected purchase documents.</w:t>
      </w:r>
    </w:p>
    <w:p>
      <w:pPr>
        <w:pStyle w:val="ListBullet"/>
      </w:pPr>
      <w:r>
        <w:rPr>
          <w:rFonts w:ascii="Calibri" w:hAnsi="Calibri"/>
          <w:b w:val="0"/>
          <w:color w:val="111111"/>
          <w:sz w:val="19"/>
        </w:rPr>
        <w:t>Default admin without purchases.cancel cannot cancel a purchase draft.</w:t>
      </w:r>
    </w:p>
    <w:p>
      <w:pPr>
        <w:pStyle w:val="ListBullet"/>
      </w:pPr>
      <w:r>
        <w:rPr>
          <w:rFonts w:ascii="Calibri" w:hAnsi="Calibri"/>
          <w:b w:val="0"/>
          <w:color w:val="111111"/>
          <w:sz w:val="19"/>
        </w:rPr>
        <w:t>Owner purchase document deletion and draft cancellation are verified allowed paths.</w:t>
      </w:r>
    </w:p>
    <w:p>
      <w:pPr>
        <w:pStyle w:val="ListBullet"/>
      </w:pPr>
      <w:r>
        <w:rPr>
          <w:rFonts w:ascii="Calibri" w:hAnsi="Calibri"/>
          <w:b w:val="0"/>
          <w:color w:val="111111"/>
          <w:sz w:val="19"/>
        </w:rPr>
        <w:t>Self-approval remains blocked for purchases and other workflows where separation of duties matters.</w:t>
      </w:r>
    </w:p>
    <w:p>
      <w:pPr>
        <w:pStyle w:val="Heading1"/>
      </w:pPr>
      <w:r>
        <w:t>8. Local Setup And Tests</w:t>
      </w:r>
    </w:p>
    <w:tbl>
      <w:tblPr>
        <w:tblW w:type="dxa" w:w="9360"/>
        <w:jc w:val="left"/>
        <w:tblLayout w:type="fixed"/>
        <w:tblLook w:firstColumn="1" w:firstRow="1" w:lastColumn="0" w:lastRow="0" w:noHBand="0" w:noVBand="1" w:val="04A0"/>
      </w:tblPr>
      <w:tblGrid>
        <w:gridCol w:w="2088"/>
        <w:gridCol w:w="7272"/>
      </w:tblGrid>
      <w:tr>
        <w:tc>
          <w:tcPr>
            <w:tcW w:type="dxa" w:w="208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Task</w:t>
            </w:r>
          </w:p>
        </w:tc>
        <w:tc>
          <w:tcPr>
            <w:tcW w:type="dxa" w:w="727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Command / action</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Environment</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Copy .env.example to .env and fill database settings. Never commit credentials.</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Local server</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-S 127.0.0.1:8080 router.php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lint</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find app views scripts tests -name '*.php' -print0 | xargs -0 -n1 php -l</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r>
              <w:t>Frontend syntax - node --check assets/app.js and every file under assets/js</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node --check assets/app.js</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Architecture</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tests/module_boundaries.php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Frontend registry</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tests/frontend_assets.php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 archive</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tests/backup_archive.php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Full regression</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tests/full_regression.php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 invariants</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tests/stock_invariants.php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Live regression</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 first, then use --allow-live with a unique ZZ prefix and run cleanup.</w:t>
            </w:r>
          </w:p>
        </w:tc>
      </w:tr>
    </w:tbl>
    <w:p>
      <w:pPr>
        <w:spacing w:after="0"/>
      </w:pPr>
    </w:p>
    <w:p>
      <w:pPr>
        <w:pStyle w:val="Heading1"/>
      </w:pPr>
      <w:r>
        <w:t>9. Production Deployment</w:t>
      </w:r>
    </w:p>
    <w:tbl>
      <w:tblPr>
        <w:tblW w:type="dxa" w:w="9360"/>
        <w:jc w:val="left"/>
        <w:tblLayout w:type="fixed"/>
        <w:tblLook w:firstColumn="1" w:firstRow="1" w:lastColumn="0" w:lastRow="0" w:noHBand="0" w:noVBand="1" w:val="04A0"/>
      </w:tblPr>
      <w:tblGrid>
        <w:gridCol w:w="792"/>
        <w:gridCol w:w="8568"/>
      </w:tblGrid>
      <w:tr>
        <w:tc>
          <w:tcPr>
            <w:tcW w:type="dxa" w:w="79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Order</w:t>
            </w:r>
          </w:p>
        </w:tc>
        <w:tc>
          <w:tcPr>
            <w:tcW w:type="dxa" w:w="856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Required action</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Check git status, branch main and origin remote. Ignore unrelated local files.</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Run PHP lint, Node syntax, module boundaries, frontend assets, backup archive and git diff --check.</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Stage only intended files, commit and push origin main.</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SSH to production path and create a SQL + manifest + files ZIP backup.</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Deploy the exact committed source state. Do not copy a dirty working tree.</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Run live PHP lint and stock invariants.</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Smoke dashboard, items, handovers, requests, purchases, assets, reports and settings.</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For a workflow release, run prefixed live regression and clean temporary records.</w:t>
            </w:r>
          </w:p>
        </w:tc>
      </w:tr>
    </w:tbl>
    <w:p>
      <w:pPr>
        <w:spacing w:after="0"/>
      </w:pPr>
    </w:p>
    <w:p>
      <w:pPr>
        <w:pStyle w:val="Heading1"/>
      </w:pPr>
      <w:r>
        <w:t>10. Backup And Rollback</w:t>
      </w:r>
    </w:p>
    <w:p>
      <w:pPr>
        <w:pStyle w:val="ListBullet"/>
      </w:pPr>
      <w:r>
        <w:rPr>
          <w:rFonts w:ascii="Calibri" w:hAnsi="Calibri"/>
          <w:b w:val="0"/>
          <w:color w:val="111111"/>
          <w:sz w:val="19"/>
        </w:rPr>
        <w:t>Always keep SQL, manifest and files ZIP from the same backup timestamp.</w:t>
      </w:r>
    </w:p>
    <w:p>
      <w:pPr>
        <w:pStyle w:val="ListBullet"/>
      </w:pPr>
      <w:r>
        <w:rPr>
          <w:rFonts w:ascii="Calibri" w:hAnsi="Calibri"/>
          <w:b w:val="0"/>
          <w:color w:val="111111"/>
          <w:sz w:val="19"/>
        </w:rPr>
        <w:t>If schema did not change, restore the backed-up application files, lint and run stock invariants.</w:t>
      </w:r>
    </w:p>
    <w:p>
      <w:pPr>
        <w:pStyle w:val="ListBullet"/>
      </w:pPr>
      <w:r>
        <w:rPr>
          <w:rFonts w:ascii="Calibri" w:hAnsi="Calibri"/>
          <w:b w:val="0"/>
          <w:color w:val="111111"/>
          <w:sz w:val="19"/>
        </w:rPr>
        <w:t>If schema changed, restore files and SQL from the same set. Mixing versions is how quiet corruption starts.</w:t>
      </w:r>
    </w:p>
    <w:p>
      <w:pPr>
        <w:pStyle w:val="ListBullet"/>
      </w:pPr>
      <w:r>
        <w:rPr>
          <w:rFonts w:ascii="Calibri" w:hAnsi="Calibri"/>
          <w:b w:val="0"/>
          <w:color w:val="111111"/>
          <w:sz w:val="19"/>
        </w:rPr>
        <w:t>Workflow correction uses cancel, recover, void, reopen or status override. Hard delete is not rollback.</w:t>
      </w:r>
    </w:p>
    <w:p>
      <w:pPr>
        <w:pStyle w:val="Heading1"/>
      </w:pPr>
      <w:r>
        <w:t>11. July 21 Verified Frontend Checkpoint</w:t>
      </w:r>
    </w:p>
    <w:tbl>
      <w:tblPr>
        <w:tblW w:type="dxa" w:w="9360"/>
        <w:jc w:val="left"/>
        <w:tblLayout w:type="fixed"/>
        <w:tblLook w:firstColumn="1" w:firstRow="1" w:lastColumn="0" w:lastRow="0" w:noHBand="0" w:noVBand="1" w:val="04A0"/>
      </w:tblPr>
      <w:tblGrid>
        <w:gridCol w:w="1944"/>
        <w:gridCol w:w="1008"/>
        <w:gridCol w:w="6408"/>
      </w:tblGrid>
      <w:tr>
        <w:tc>
          <w:tcPr>
            <w:tcW w:type="dxa" w:w="194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Check</w:t>
            </w:r>
          </w:p>
        </w:tc>
        <w:tc>
          <w:tcPr>
            <w:tcW w:type="dxa" w:w="100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Result</w:t>
            </w:r>
          </w:p>
        </w:tc>
        <w:tc>
          <w:tcPr>
            <w:tcW w:type="dxa" w:w="640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Evidence</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Application</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r>
              <w:t>9a1fe30 deployed on main.</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r>
              <w:t>inventory-backup-20260721-121301 SQL, manifest and files ZIP; 15,012 files; 1,643,184,153 bytes; no warnings.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Static checks</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r>
              <w:t>Full PHP lint, all JavaScript modules, git diff, module boundaries, frontend assets and backup archive passed.</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Live regression</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r>
              <w:t>ZZFRONTEND20260721 passed every workflow and cleaned temporary records.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 invariants</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Passed before live regression and after cleanup.</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receipt review</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Exact and short receipt reports require editable source-issuer confirmation.</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final review</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can correct returned quantity and actual usage reasons before close.</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 permissions</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Denied default-admin and allowed owner paths verified for document deletion and draft cancellation.</w:t>
            </w:r>
          </w:p>
        </w:tc>
      </w:tr>
    </w:tbl>
    <w:p>
      <w:pPr>
        <w:spacing w:after="0"/>
      </w:pPr>
    </w:p>
    <w:p>
      <w:pPr>
        <w:pStyle w:val="Heading1"/>
      </w:pPr>
      <w:r>
        <w:t>12. Safe Extension Rules</w:t>
      </w:r>
    </w:p>
    <w:p>
      <w:pPr>
        <w:pStyle w:val="ListBullet"/>
      </w:pPr>
      <w:r>
        <w:rPr>
          <w:rFonts w:ascii="Calibri" w:hAnsi="Calibri"/>
          <w:b w:val="0"/>
          <w:color w:val="111111"/>
          <w:sz w:val="19"/>
        </w:rPr>
        <w:t>Put new backend logic in the focused domain module, not a compatibility loader.</w:t>
      </w:r>
    </w:p>
    <w:p>
      <w:pPr>
        <w:pStyle w:val="ListBullet"/>
      </w:pPr>
      <w:r>
        <w:rPr>
          <w:rFonts w:ascii="Calibri" w:hAnsi="Calibri"/>
          <w:b w:val="0"/>
          <w:color w:val="111111"/>
          <w:sz w:val="19"/>
        </w:rPr>
        <w:t>Keep public URLs and route handler names stable unless the change is intentional and tested.</w:t>
      </w:r>
    </w:p>
    <w:p>
      <w:pPr>
        <w:pStyle w:val="ListBullet"/>
      </w:pPr>
      <w:r>
        <w:rPr>
          <w:rFonts w:ascii="Calibri" w:hAnsi="Calibri"/>
          <w:b w:val="0"/>
          <w:color w:val="111111"/>
          <w:sz w:val="19"/>
        </w:rPr>
        <w:t>Use existing inventory posting helpers for every stock change.</w:t>
      </w:r>
    </w:p>
    <w:p>
      <w:pPr>
        <w:pStyle w:val="ListBullet"/>
      </w:pPr>
      <w:r>
        <w:rPr>
          <w:rFonts w:ascii="Calibri" w:hAnsi="Calibri"/>
          <w:b w:val="0"/>
          <w:color w:val="111111"/>
          <w:sz w:val="19"/>
        </w:rPr>
        <w:t>Add permission, audit, notification and export behavior with the feature - not months later.</w:t>
      </w:r>
    </w:p>
    <w:p>
      <w:pPr>
        <w:pStyle w:val="ListBullet"/>
      </w:pPr>
      <w:r>
        <w:rPr>
          <w:rFonts w:ascii="Calibri" w:hAnsi="Calibri"/>
          <w:b w:val="0"/>
          <w:color w:val="111111"/>
          <w:sz w:val="19"/>
        </w:rPr>
        <w:t>When a view filter changes, prove the export uses the same scope.</w:t>
      </w:r>
    </w:p>
    <w:p>
      <w:pPr>
        <w:pStyle w:val="ListBullet"/>
      </w:pPr>
      <w:r>
        <w:rPr>
          <w:rFonts w:ascii="Calibri" w:hAnsi="Calibri"/>
          <w:b w:val="0"/>
          <w:color w:val="111111"/>
          <w:sz w:val="19"/>
        </w:rPr>
        <w:t>OCR may fill a draft; it must never approve a purchase or post stock.</w:t>
      </w:r>
    </w:p>
    <w:p>
      <w:pPr>
        <w:pStyle w:val="ListBullet"/>
      </w:pPr>
      <w:r>
        <w:rPr>
          <w:rFonts w:ascii="Calibri" w:hAnsi="Calibri"/>
          <w:b w:val="0"/>
          <w:color w:val="111111"/>
          <w:sz w:val="19"/>
        </w:rPr>
        <w:t>Do not start a class/framework rewrite while daily stock workflows are changing.</w:t>
      </w:r>
    </w:p>
    <w:p>
      <w:pPr>
        <w:pStyle w:val="Heading1"/>
      </w:pPr>
      <w:r>
        <w:t>13. Next Technical Work</w:t>
      </w:r>
    </w:p>
    <w:tbl>
      <w:tblPr>
        <w:tblW w:type="dxa" w:w="9360"/>
        <w:jc w:val="left"/>
        <w:tblLayout w:type="fixed"/>
        <w:tblLook w:firstColumn="1" w:firstRow="1" w:lastColumn="0" w:lastRow="0" w:noHBand="0" w:noVBand="1" w:val="04A0"/>
      </w:tblPr>
      <w:tblGrid>
        <w:gridCol w:w="792"/>
        <w:gridCol w:w="4320"/>
        <w:gridCol w:w="4248"/>
      </w:tblGrid>
      <w:tr>
        <w:tc>
          <w:tcPr>
            <w:tcW w:type="dxa" w:w="79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Order</w:t>
            </w:r>
          </w:p>
        </w:tc>
        <w:tc>
          <w:tcPr>
            <w:tcW w:type="dxa" w:w="432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Improvement</w:t>
            </w:r>
          </w:p>
        </w:tc>
        <w:tc>
          <w:tcPr>
            <w:tcW w:type="dxa" w:w="424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Reason</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Continue mobile field-work polish.</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Most employees use phones for scan, handover, manual stock and asset work.</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w:t>
            </w:r>
          </w:p>
        </w:tc>
        <w:tc>
          <w:tcPr>
            <w:tcW w:type="dxa" w:w="432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Extend filter/export parity tests with every new filter.</w:t>
            </w:r>
          </w:p>
        </w:tc>
        <w:tc>
          <w:tcPr>
            <w:tcW w:type="dxa" w:w="424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Visible scope and downloaded scope must never disagree.</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Harden Arabic OCR confidence and optional OpenAI fallback.</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Old scanned documents remain the least reliable input.</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w:t>
            </w:r>
          </w:p>
        </w:tc>
        <w:tc>
          <w:tcPr>
            <w:tcW w:type="dxa" w:w="432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Exercise report presets with real operating teams.</w:t>
            </w:r>
          </w:p>
        </w:tc>
        <w:tc>
          <w:tcPr>
            <w:tcW w:type="dxa" w:w="424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The feature exists; real use should define the best defaults.</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r>
              <w:t>Keep frontend modules focused and split a domain again before it becomes another monolith.</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r>
              <w:t>The native-module split is complete; future work should preserve the initializer and asset-registry contracts.</w:t>
            </w:r>
          </w:p>
        </w:tc>
      </w:tr>
    </w:tbl>
    <w:p>
      <w:pPr>
        <w:spacing w:after="0"/>
      </w:pP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Developer bottom line</w:t>
              <w:br/>
            </w:r>
            <w:r>
              <w:rPr>
                <w:rFonts w:ascii="Calibri" w:hAnsi="Calibri"/>
                <w:b w:val="0"/>
                <w:color w:val="111111"/>
                <w:sz w:val="19"/>
              </w:rPr>
              <w:t>The modular build is complete enough to extend safely. The latest handover work restored the original accountability cycle inside the modules; it did not undo modularization. Keep changes small, preserve stock invariants, and make tests prove the behavior.</w:t>
            </w:r>
          </w:p>
        </w:tc>
      </w:tr>
    </w:tbl>
    <w:p>
      <w:pPr>
        <w:spacing w:after="0"/>
      </w:pPr>
    </w:p>
    <w:p>
      <w:r>
        <w:br w:type="page"/>
      </w:r>
    </w:p>
    <w:p>
      <w:pPr>
        <w:pStyle w:val="Heading1"/>
      </w:pPr>
      <w:r>
        <w:t>14. Frontend Module Contract</w:t>
      </w:r>
    </w:p>
    <w:p>
      <w:r>
        <w:t>The frontend is modular without a build tool. PHP registers versioned files, the browser loads native ES modules, and the initializer registry safely reconnects behavior after AJAX content replacement.</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C8942D"/>
          </w:tcPr>
          <w:p>
            <w:r>
              <w:rPr>
                <w:b/>
                <w:sz w:val="16"/>
              </w:rPr>
              <w:t>Layer</w:t>
            </w:r>
          </w:p>
        </w:tc>
        <w:tc>
          <w:tcPr>
            <w:tcW w:type="dxa" w:w="3360"/>
            <w:shd w:fill="C8942D"/>
          </w:tcPr>
          <w:p>
            <w:r>
              <w:rPr>
                <w:b/>
                <w:sz w:val="16"/>
              </w:rPr>
              <w:t>Owner</w:t>
            </w:r>
          </w:p>
        </w:tc>
        <w:tc>
          <w:tcPr>
            <w:tcW w:type="dxa" w:w="3360"/>
            <w:shd w:fill="C8942D"/>
          </w:tcPr>
          <w:p>
            <w:r>
              <w:rPr>
                <w:b/>
                <w:sz w:val="16"/>
              </w:rPr>
              <w:t>Rule</w:t>
            </w:r>
          </w:p>
        </w:tc>
      </w:tr>
      <w:tr>
        <w:tc>
          <w:tcPr>
            <w:tcW w:type="dxa" w:w="3360"/>
            <w:shd w:fill="F7F1E6"/>
          </w:tcPr>
          <w:p>
            <w:r>
              <w:rPr>
                <w:sz w:val="16"/>
              </w:rPr>
              <w:t>Asset registry</w:t>
            </w:r>
          </w:p>
        </w:tc>
        <w:tc>
          <w:tcPr>
            <w:tcW w:type="dxa" w:w="3360"/>
          </w:tcPr>
          <w:p>
            <w:r>
              <w:rPr>
                <w:sz w:val="16"/>
              </w:rPr>
              <w:t>app/modules/frontend_assets.php</w:t>
            </w:r>
          </w:p>
        </w:tc>
        <w:tc>
          <w:tcPr>
            <w:tcW w:type="dxa" w:w="3360"/>
          </w:tcPr>
          <w:p>
            <w:r>
              <w:rPr>
                <w:sz w:val="16"/>
              </w:rPr>
              <w:t>Register CSS in cascade order and keep app.js as type=module.</w:t>
            </w:r>
          </w:p>
        </w:tc>
      </w:tr>
      <w:tr>
        <w:tc>
          <w:tcPr>
            <w:tcW w:type="dxa" w:w="3360"/>
            <w:shd w:fill="F7F1E6"/>
          </w:tcPr>
          <w:p>
            <w:r>
              <w:rPr>
                <w:sz w:val="16"/>
              </w:rPr>
              <w:t>CSS foundation</w:t>
            </w:r>
          </w:p>
        </w:tc>
        <w:tc>
          <w:tcPr>
            <w:tcW w:type="dxa" w:w="3360"/>
          </w:tcPr>
          <w:p>
            <w:r>
              <w:rPr>
                <w:sz w:val="16"/>
              </w:rPr>
              <w:t>foundation.css, shell.css</w:t>
            </w:r>
          </w:p>
        </w:tc>
        <w:tc>
          <w:tcPr>
            <w:tcW w:type="dxa" w:w="3360"/>
          </w:tcPr>
          <w:p>
            <w:r>
              <w:rPr>
                <w:sz w:val="16"/>
              </w:rPr>
              <w:t>Tokens, typography and application chrome only.</w:t>
            </w:r>
          </w:p>
        </w:tc>
      </w:tr>
      <w:tr>
        <w:tc>
          <w:tcPr>
            <w:tcW w:type="dxa" w:w="3360"/>
            <w:shd w:fill="F7F1E6"/>
          </w:tcPr>
          <w:p>
            <w:r>
              <w:rPr>
                <w:sz w:val="16"/>
              </w:rPr>
              <w:t>CSS shared UI</w:t>
            </w:r>
          </w:p>
        </w:tc>
        <w:tc>
          <w:tcPr>
            <w:tcW w:type="dxa" w:w="3360"/>
          </w:tcPr>
          <w:p>
            <w:r>
              <w:rPr>
                <w:sz w:val="16"/>
              </w:rPr>
              <w:t>components.css, tables.css, workflows.css</w:t>
            </w:r>
          </w:p>
        </w:tc>
        <w:tc>
          <w:tcPr>
            <w:tcW w:type="dxa" w:w="3360"/>
          </w:tcPr>
          <w:p>
            <w:r>
              <w:rPr>
                <w:sz w:val="16"/>
              </w:rPr>
              <w:t>Reusable controls and workflow patterns, not page-specific patches.</w:t>
            </w:r>
          </w:p>
        </w:tc>
      </w:tr>
      <w:tr>
        <w:tc>
          <w:tcPr>
            <w:tcW w:type="dxa" w:w="3360"/>
            <w:shd w:fill="F7F1E6"/>
          </w:tcPr>
          <w:p>
            <w:r>
              <w:rPr>
                <w:sz w:val="16"/>
              </w:rPr>
              <w:t>CSS domains</w:t>
            </w:r>
          </w:p>
        </w:tc>
        <w:tc>
          <w:tcPr>
            <w:tcW w:type="dxa" w:w="3360"/>
          </w:tcPr>
          <w:p>
            <w:r>
              <w:rPr>
                <w:sz w:val="16"/>
              </w:rPr>
              <w:t>assets/css/domains/*.css</w:t>
            </w:r>
          </w:p>
        </w:tc>
        <w:tc>
          <w:tcPr>
            <w:tcW w:type="dxa" w:w="3360"/>
          </w:tcPr>
          <w:p>
            <w:r>
              <w:rPr>
                <w:sz w:val="16"/>
              </w:rPr>
              <w:t>Page/domain presentation. Keep themes separate.</w:t>
            </w:r>
          </w:p>
        </w:tc>
      </w:tr>
      <w:tr>
        <w:tc>
          <w:tcPr>
            <w:tcW w:type="dxa" w:w="3360"/>
            <w:shd w:fill="F7F1E6"/>
          </w:tcPr>
          <w:p>
            <w:r>
              <w:rPr>
                <w:sz w:val="16"/>
              </w:rPr>
              <w:t>CSS final layers</w:t>
            </w:r>
          </w:p>
        </w:tc>
        <w:tc>
          <w:tcPr>
            <w:tcW w:type="dxa" w:w="3360"/>
          </w:tcPr>
          <w:p>
            <w:r>
              <w:rPr>
                <w:sz w:val="16"/>
              </w:rPr>
              <w:t>themes/*.css, print.css, mobile.css</w:t>
            </w:r>
          </w:p>
        </w:tc>
        <w:tc>
          <w:tcPr>
            <w:tcW w:type="dxa" w:w="3360"/>
          </w:tcPr>
          <w:p>
            <w:r>
              <w:rPr>
                <w:sz w:val="16"/>
              </w:rPr>
              <w:t>Themes follow domains; mobile.css always loads last.</w:t>
            </w:r>
          </w:p>
        </w:tc>
      </w:tr>
      <w:tr>
        <w:tc>
          <w:tcPr>
            <w:tcW w:type="dxa" w:w="3360"/>
            <w:shd w:fill="F7F1E6"/>
          </w:tcPr>
          <w:p>
            <w:r>
              <w:rPr>
                <w:sz w:val="16"/>
              </w:rPr>
              <w:t>JS bootstrap</w:t>
            </w:r>
          </w:p>
        </w:tc>
        <w:tc>
          <w:tcPr>
            <w:tcW w:type="dxa" w:w="3360"/>
          </w:tcPr>
          <w:p>
            <w:r>
              <w:rPr>
                <w:sz w:val="16"/>
              </w:rPr>
              <w:t>assets/app.js</w:t>
            </w:r>
          </w:p>
        </w:tc>
        <w:tc>
          <w:tcPr>
            <w:tcW w:type="dxa" w:w="3360"/>
          </w:tcPr>
          <w:p>
            <w:r>
              <w:rPr>
                <w:sz w:val="16"/>
              </w:rPr>
              <w:t>Imports and registers modules. Do not add page handlers here.</w:t>
            </w:r>
          </w:p>
        </w:tc>
      </w:tr>
      <w:tr>
        <w:tc>
          <w:tcPr>
            <w:tcW w:type="dxa" w:w="3360"/>
            <w:shd w:fill="F7F1E6"/>
          </w:tcPr>
          <w:p>
            <w:r>
              <w:rPr>
                <w:sz w:val="16"/>
              </w:rPr>
              <w:t>JS core</w:t>
            </w:r>
          </w:p>
        </w:tc>
        <w:tc>
          <w:tcPr>
            <w:tcW w:type="dxa" w:w="3360"/>
          </w:tcPr>
          <w:p>
            <w:r>
              <w:rPr>
                <w:sz w:val="16"/>
              </w:rPr>
              <w:t>assets/js/core</w:t>
            </w:r>
          </w:p>
        </w:tc>
        <w:tc>
          <w:tcPr>
            <w:tcW w:type="dxa" w:w="3360"/>
          </w:tcPr>
          <w:p>
            <w:r>
              <w:rPr>
                <w:sz w:val="16"/>
              </w:rPr>
              <w:t>Initializer registry, DOM utilities, formatting, HTTP and shared events.</w:t>
            </w:r>
          </w:p>
        </w:tc>
      </w:tr>
      <w:tr>
        <w:tc>
          <w:tcPr>
            <w:tcW w:type="dxa" w:w="3360"/>
            <w:shd w:fill="F7F1E6"/>
          </w:tcPr>
          <w:p>
            <w:r>
              <w:rPr>
                <w:sz w:val="16"/>
              </w:rPr>
              <w:t>JS UI</w:t>
            </w:r>
          </w:p>
        </w:tc>
        <w:tc>
          <w:tcPr>
            <w:tcW w:type="dxa" w:w="3360"/>
          </w:tcPr>
          <w:p>
            <w:r>
              <w:rPr>
                <w:sz w:val="16"/>
              </w:rPr>
              <w:t>assets/js/ui</w:t>
            </w:r>
          </w:p>
        </w:tc>
        <w:tc>
          <w:tcPr>
            <w:tcW w:type="dxa" w:w="3360"/>
          </w:tcPr>
          <w:p>
            <w:r>
              <w:rPr>
                <w:sz w:val="16"/>
              </w:rPr>
              <w:t>Navigation, dialogs, comboboxes, filters, tables, search and notifications.</w:t>
            </w:r>
          </w:p>
        </w:tc>
      </w:tr>
      <w:tr>
        <w:tc>
          <w:tcPr>
            <w:tcW w:type="dxa" w:w="3360"/>
            <w:shd w:fill="F7F1E6"/>
          </w:tcPr>
          <w:p>
            <w:r>
              <w:rPr>
                <w:sz w:val="16"/>
              </w:rPr>
              <w:t>JS domains</w:t>
            </w:r>
          </w:p>
        </w:tc>
        <w:tc>
          <w:tcPr>
            <w:tcW w:type="dxa" w:w="3360"/>
          </w:tcPr>
          <w:p>
            <w:r>
              <w:rPr>
                <w:sz w:val="16"/>
              </w:rPr>
              <w:t>assets/js/domains</w:t>
            </w:r>
          </w:p>
        </w:tc>
        <w:tc>
          <w:tcPr>
            <w:tcW w:type="dxa" w:w="3360"/>
          </w:tcPr>
          <w:p>
            <w:r>
              <w:rPr>
                <w:sz w:val="16"/>
              </w:rPr>
              <w:t>Inventory, handover, scan, purchase, OCR, asset and settings behavior.</w:t>
            </w:r>
          </w:p>
        </w:tc>
      </w:tr>
    </w:tbl>
    <w:p>
      <w:pPr>
        <w:pStyle w:val="Heading2"/>
      </w:pPr>
      <w:r>
        <w:t>Initialization Rules</w:t>
      </w:r>
    </w:p>
    <w:p>
      <w:pPr>
        <w:pStyle w:val="ListBullet"/>
      </w:pPr>
      <w:r>
        <w:t>Every UI and domain module exports init(root = document).</w:t>
      </w:r>
    </w:p>
    <w:p>
      <w:pPr>
        <w:pStyle w:val="ListBullet"/>
      </w:pPr>
      <w:r>
        <w:t>Initializers must be idempotent and must not duplicate event listeners when called again.</w:t>
      </w:r>
    </w:p>
    <w:p>
      <w:pPr>
        <w:pStyle w:val="ListBullet"/>
      </w:pPr>
      <w:r>
        <w:t>AJAX replacements dispatch inventory:content-replaced with the replaced root.</w:t>
      </w:r>
    </w:p>
    <w:p>
      <w:pPr>
        <w:pStyle w:val="ListBullet"/>
      </w:pPr>
      <w:r>
        <w:t>Completed actions continue to dispatch inventory:action-complete.</w:t>
      </w:r>
    </w:p>
    <w:p>
      <w:pPr>
        <w:pStyle w:val="ListBullet"/>
      </w:pPr>
      <w:r>
        <w:t>Use the shared modal instead of browser-native confirm dialogs.</w:t>
      </w:r>
    </w:p>
    <w:p>
      <w:pPr>
        <w:pStyle w:val="ListBullet"/>
      </w:pPr>
      <w:r>
        <w:t>Desktop and mobile tables remain real tables; mobile uses intentional wrapper side-scrolling.</w:t>
      </w:r>
    </w:p>
    <w:p>
      <w:pPr>
        <w:pStyle w:val="Heading2"/>
      </w:pPr>
      <w:r>
        <w:t>Adding A Frontend Module</w:t>
      </w:r>
    </w:p>
    <w:p>
      <w:pPr>
        <w:pStyle w:val="ListNumber"/>
      </w:pPr>
      <w:r>
        <w:t>Choose ui for reusable interaction or domains for business-page behavior.</w:t>
      </w:r>
    </w:p>
    <w:p>
      <w:pPr>
        <w:pStyle w:val="ListNumber"/>
      </w:pPr>
      <w:r>
        <w:t>Export an idempotent init(root = document) function.</w:t>
      </w:r>
    </w:p>
    <w:p>
      <w:pPr>
        <w:pStyle w:val="ListNumber"/>
      </w:pPr>
      <w:r>
        <w:t>Import and register it in assets/app.js with a unique name.</w:t>
      </w:r>
    </w:p>
    <w:p>
      <w:pPr>
        <w:pStyle w:val="ListNumber"/>
      </w:pPr>
      <w:r>
        <w:t>Add CSS to the correct semantic/domain file; do not append random late overrides.</w:t>
      </w:r>
    </w:p>
    <w:p>
      <w:pPr>
        <w:pStyle w:val="ListNumber"/>
      </w:pPr>
      <w:r>
        <w:t>Run node --check for every JavaScript file, frontend_assets.php, full regression and stock invariants when the workflow affects stock.</w:t>
      </w:r>
    </w:p>
    <w:p>
      <w:pPr>
        <w:pStyle w:val="Heading2"/>
      </w:pPr>
      <w:r>
        <w:t>Verified Result</w:t>
      </w:r>
    </w:p>
    <w:p>
      <w:r>
        <w:t>Production loaded all 19 registered stylesheets with no console errors or phone-width page overflow. The live ZZFRONTEND20260721 regression passed auth, inventory, scan/manual stock, requests, both handover modes, purchases, assets, stocktakes, reports and exports; cleanup completed and stock invariants passed afterward.</w:t>
      </w: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D7078"/>
        <w:sz w:val="16"/>
      </w:rPr>
      <w:t>Internal technical handover | July 21,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D7078"/>
        <w:sz w:val="16"/>
      </w:rPr>
      <w:t>Inventory KONA |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B78918"/>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6D70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89" w:hanging="216"/>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KONA Developer Handover</dc:title>
  <dc:subject>Modular PHP, CSS and JavaScript architecture, deployment, testing and rollback</dc:subject>
  <dc:creator>python-docx</dc:creator>
  <cp:keywords/>
  <dc:description>Updated after the July 21, 2026 frontend modular refactor.</dc:description>
  <cp:lastModifiedBy/>
  <cp:revision>1</cp:revision>
  <dcterms:created xsi:type="dcterms:W3CDTF">2013-12-23T23:15:00Z</dcterms:created>
  <dcterms:modified xsi:type="dcterms:W3CDTF">2013-12-23T23:15:00Z</dcterms:modified>
  <cp:category/>
</cp:coreProperties>
</file>