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A395E" w14:textId="77777777" w:rsidR="00F026D3" w:rsidRPr="00F92BA6" w:rsidRDefault="00F026D3" w:rsidP="005D56F8">
      <w:pPr>
        <w:jc w:val="center"/>
        <w:rPr>
          <w:rFonts w:asciiTheme="majorBidi" w:hAnsiTheme="majorBidi" w:cstheme="majorBidi"/>
          <w:sz w:val="72"/>
          <w:szCs w:val="72"/>
        </w:rPr>
      </w:pPr>
    </w:p>
    <w:p w14:paraId="55F2C2F9" w14:textId="77777777" w:rsidR="005D56F8" w:rsidRPr="00F92BA6" w:rsidRDefault="005D56F8" w:rsidP="005D56F8">
      <w:pPr>
        <w:jc w:val="center"/>
        <w:rPr>
          <w:rFonts w:asciiTheme="majorBidi" w:hAnsiTheme="majorBidi" w:cstheme="majorBidi"/>
          <w:sz w:val="72"/>
          <w:szCs w:val="72"/>
        </w:rPr>
      </w:pPr>
    </w:p>
    <w:p w14:paraId="656C9AB9" w14:textId="77777777" w:rsidR="005D56F8" w:rsidRPr="00F92BA6" w:rsidRDefault="005D56F8" w:rsidP="005D56F8">
      <w:pPr>
        <w:jc w:val="center"/>
        <w:rPr>
          <w:rFonts w:asciiTheme="majorBidi" w:hAnsiTheme="majorBidi" w:cstheme="majorBidi"/>
          <w:sz w:val="72"/>
          <w:szCs w:val="72"/>
        </w:rPr>
      </w:pPr>
    </w:p>
    <w:p w14:paraId="36669A15" w14:textId="4E3350E0" w:rsidR="005D56F8" w:rsidRPr="00F92BA6" w:rsidRDefault="005D56F8" w:rsidP="005D56F8">
      <w:pPr>
        <w:jc w:val="center"/>
        <w:rPr>
          <w:rFonts w:asciiTheme="majorBidi" w:hAnsiTheme="majorBidi" w:cstheme="majorBidi"/>
          <w:sz w:val="72"/>
          <w:szCs w:val="72"/>
        </w:rPr>
      </w:pPr>
      <w:r w:rsidRPr="00F92BA6">
        <w:rPr>
          <w:rFonts w:asciiTheme="majorBidi" w:hAnsiTheme="majorBidi" w:cstheme="majorBidi"/>
          <w:sz w:val="72"/>
          <w:szCs w:val="72"/>
        </w:rPr>
        <w:t>Prescription Data Analysis and Quality Assessment</w:t>
      </w:r>
    </w:p>
    <w:p w14:paraId="119D9ED2" w14:textId="54BABBAC" w:rsidR="005D56F8" w:rsidRPr="00F92BA6" w:rsidRDefault="005D56F8" w:rsidP="005D56F8">
      <w:pPr>
        <w:jc w:val="center"/>
        <w:rPr>
          <w:rFonts w:asciiTheme="majorBidi" w:hAnsiTheme="majorBidi" w:cstheme="majorBidi"/>
          <w:sz w:val="44"/>
          <w:szCs w:val="44"/>
        </w:rPr>
      </w:pPr>
      <w:r w:rsidRPr="00F92BA6">
        <w:rPr>
          <w:rFonts w:asciiTheme="majorBidi" w:hAnsiTheme="majorBidi" w:cstheme="majorBidi"/>
          <w:sz w:val="44"/>
          <w:szCs w:val="44"/>
        </w:rPr>
        <w:t>Author: Ahmad Saleh</w:t>
      </w:r>
    </w:p>
    <w:p w14:paraId="1F6FC814" w14:textId="6679B8D7" w:rsidR="005D56F8" w:rsidRPr="00F92BA6" w:rsidRDefault="005D56F8" w:rsidP="005D56F8">
      <w:pPr>
        <w:jc w:val="center"/>
        <w:rPr>
          <w:rFonts w:asciiTheme="majorBidi" w:hAnsiTheme="majorBidi" w:cstheme="majorBidi"/>
          <w:sz w:val="44"/>
          <w:szCs w:val="44"/>
        </w:rPr>
      </w:pPr>
      <w:r w:rsidRPr="00F92BA6">
        <w:rPr>
          <w:rFonts w:asciiTheme="majorBidi" w:hAnsiTheme="majorBidi" w:cstheme="majorBidi"/>
          <w:sz w:val="44"/>
          <w:szCs w:val="44"/>
        </w:rPr>
        <w:t>Supervised by Wael Shannak</w:t>
      </w:r>
    </w:p>
    <w:p w14:paraId="487C582F" w14:textId="77777777" w:rsidR="005D56F8" w:rsidRPr="00F92BA6" w:rsidRDefault="005D56F8" w:rsidP="005D56F8">
      <w:pPr>
        <w:jc w:val="center"/>
        <w:rPr>
          <w:rFonts w:asciiTheme="majorBidi" w:hAnsiTheme="majorBidi" w:cstheme="majorBidi"/>
          <w:sz w:val="44"/>
          <w:szCs w:val="44"/>
        </w:rPr>
      </w:pPr>
    </w:p>
    <w:p w14:paraId="463C3343" w14:textId="77777777" w:rsidR="005D56F8" w:rsidRPr="00F92BA6" w:rsidRDefault="005D56F8" w:rsidP="005D56F8">
      <w:pPr>
        <w:jc w:val="center"/>
        <w:rPr>
          <w:rFonts w:asciiTheme="majorBidi" w:hAnsiTheme="majorBidi" w:cstheme="majorBidi"/>
          <w:sz w:val="44"/>
          <w:szCs w:val="44"/>
        </w:rPr>
      </w:pPr>
    </w:p>
    <w:p w14:paraId="7D63C727" w14:textId="77777777" w:rsidR="005D56F8" w:rsidRPr="00F92BA6" w:rsidRDefault="005D56F8" w:rsidP="005D56F8">
      <w:pPr>
        <w:jc w:val="center"/>
        <w:rPr>
          <w:rFonts w:asciiTheme="majorBidi" w:hAnsiTheme="majorBidi" w:cstheme="majorBidi"/>
          <w:sz w:val="44"/>
          <w:szCs w:val="44"/>
        </w:rPr>
      </w:pPr>
    </w:p>
    <w:p w14:paraId="5442B9E0" w14:textId="77777777" w:rsidR="005D56F8" w:rsidRPr="00F92BA6" w:rsidRDefault="005D56F8" w:rsidP="005D56F8">
      <w:pPr>
        <w:jc w:val="center"/>
        <w:rPr>
          <w:rFonts w:asciiTheme="majorBidi" w:hAnsiTheme="majorBidi" w:cstheme="majorBidi"/>
          <w:sz w:val="44"/>
          <w:szCs w:val="44"/>
        </w:rPr>
      </w:pPr>
    </w:p>
    <w:p w14:paraId="54EE000F" w14:textId="77777777" w:rsidR="005D56F8" w:rsidRPr="00F92BA6" w:rsidRDefault="005D56F8" w:rsidP="005D56F8">
      <w:pPr>
        <w:jc w:val="center"/>
        <w:rPr>
          <w:rFonts w:asciiTheme="majorBidi" w:hAnsiTheme="majorBidi" w:cstheme="majorBidi"/>
          <w:sz w:val="44"/>
          <w:szCs w:val="44"/>
        </w:rPr>
      </w:pPr>
    </w:p>
    <w:p w14:paraId="14C89F4C" w14:textId="77777777" w:rsidR="005D56F8" w:rsidRPr="00F92BA6" w:rsidRDefault="005D56F8" w:rsidP="005D56F8">
      <w:pPr>
        <w:jc w:val="center"/>
        <w:rPr>
          <w:rFonts w:asciiTheme="majorBidi" w:hAnsiTheme="majorBidi" w:cstheme="majorBidi"/>
          <w:sz w:val="44"/>
          <w:szCs w:val="44"/>
        </w:rPr>
      </w:pPr>
    </w:p>
    <w:p w14:paraId="1547D97F" w14:textId="77777777" w:rsidR="005D56F8" w:rsidRPr="00F92BA6" w:rsidRDefault="005D56F8" w:rsidP="005D56F8">
      <w:pPr>
        <w:jc w:val="center"/>
        <w:rPr>
          <w:rFonts w:asciiTheme="majorBidi" w:hAnsiTheme="majorBidi" w:cstheme="majorBidi"/>
          <w:sz w:val="44"/>
          <w:szCs w:val="44"/>
        </w:rPr>
      </w:pPr>
    </w:p>
    <w:p w14:paraId="53F19E5C" w14:textId="77777777" w:rsidR="005D56F8" w:rsidRPr="00F92BA6" w:rsidRDefault="005D56F8" w:rsidP="005D56F8">
      <w:pPr>
        <w:jc w:val="center"/>
        <w:rPr>
          <w:rFonts w:asciiTheme="majorBidi" w:hAnsiTheme="majorBidi" w:cstheme="majorBidi"/>
          <w:sz w:val="44"/>
          <w:szCs w:val="44"/>
        </w:rPr>
      </w:pPr>
    </w:p>
    <w:p w14:paraId="1695D25B" w14:textId="6ED6B9F0" w:rsidR="005D56F8" w:rsidRPr="00F92BA6" w:rsidRDefault="005D56F8" w:rsidP="005D56F8">
      <w:pPr>
        <w:pStyle w:val="ListParagraph"/>
        <w:numPr>
          <w:ilvl w:val="0"/>
          <w:numId w:val="4"/>
        </w:numPr>
        <w:outlineLvl w:val="0"/>
        <w:rPr>
          <w:rFonts w:asciiTheme="majorBidi" w:hAnsiTheme="majorBidi" w:cstheme="majorBidi"/>
          <w:b/>
          <w:bCs/>
          <w:sz w:val="40"/>
          <w:szCs w:val="40"/>
        </w:rPr>
      </w:pPr>
      <w:r w:rsidRPr="00F92BA6">
        <w:rPr>
          <w:rFonts w:asciiTheme="majorBidi" w:hAnsiTheme="majorBidi" w:cstheme="majorBidi"/>
          <w:b/>
          <w:bCs/>
          <w:sz w:val="40"/>
          <w:szCs w:val="40"/>
        </w:rPr>
        <w:lastRenderedPageBreak/>
        <w:t>Dataset Overview:</w:t>
      </w:r>
    </w:p>
    <w:p w14:paraId="7B46149C" w14:textId="77777777" w:rsidR="005D56F8" w:rsidRPr="00F92BA6" w:rsidRDefault="005D56F8" w:rsidP="005D56F8">
      <w:pPr>
        <w:rPr>
          <w:rFonts w:asciiTheme="majorBidi" w:hAnsiTheme="majorBidi" w:cstheme="majorBidi"/>
        </w:rPr>
      </w:pPr>
      <w:r w:rsidRPr="00F92BA6">
        <w:rPr>
          <w:rFonts w:asciiTheme="majorBidi" w:hAnsiTheme="majorBidi" w:cstheme="majorBidi"/>
          <w:b/>
          <w:bCs/>
          <w:sz w:val="36"/>
          <w:szCs w:val="36"/>
        </w:rPr>
        <w:tab/>
      </w:r>
      <w:r w:rsidRPr="00F92BA6">
        <w:rPr>
          <w:rFonts w:asciiTheme="majorBidi" w:hAnsiTheme="majorBidi" w:cstheme="majorBidi"/>
        </w:rPr>
        <w:t>This dataset of 816 prescriptions contains multiple critical data issues that could affect patient safety and clinical decisions. Some patients have incorrect or future dates of birth, leading to mismatches between recorded and actual age, while many records have wrong patient classifications (adults marked as pediatric or vice versa). Several prescriptions show invalid dosage forms, unclear or inconsistent dose-strength and frequency relationships, and cases where children under five are prescribed potentially unsafe medications. There are also duplicate records with differing timestamps and prescriptions recorded before a patient’s birth. Together, these errors highlight weaknesses in data entry and system validation, and doctors, pharmacists, and auditors should be cautious when relying on this data until these issues are corrected.</w:t>
      </w:r>
    </w:p>
    <w:p w14:paraId="36751F9C" w14:textId="77777777" w:rsidR="005D56F8" w:rsidRPr="00F92BA6" w:rsidRDefault="005D56F8" w:rsidP="005D56F8">
      <w:pPr>
        <w:rPr>
          <w:rFonts w:asciiTheme="majorBidi" w:hAnsiTheme="majorBidi" w:cstheme="majorBidi"/>
          <w:sz w:val="32"/>
          <w:szCs w:val="32"/>
        </w:rPr>
      </w:pPr>
    </w:p>
    <w:p w14:paraId="33141862" w14:textId="6B4A5C2E" w:rsidR="005D56F8" w:rsidRPr="00F92BA6" w:rsidRDefault="005D56F8" w:rsidP="005D56F8">
      <w:pPr>
        <w:pStyle w:val="Heading1"/>
        <w:numPr>
          <w:ilvl w:val="0"/>
          <w:numId w:val="4"/>
        </w:numPr>
        <w:rPr>
          <w:rFonts w:asciiTheme="majorBidi" w:hAnsiTheme="majorBidi"/>
          <w:b/>
          <w:bCs/>
          <w:color w:val="000000" w:themeColor="text1"/>
        </w:rPr>
      </w:pPr>
      <w:r w:rsidRPr="00F92BA6">
        <w:rPr>
          <w:rFonts w:asciiTheme="majorBidi" w:hAnsiTheme="majorBidi"/>
          <w:b/>
          <w:bCs/>
          <w:color w:val="000000" w:themeColor="text1"/>
        </w:rPr>
        <w:t>Dataset issues:</w:t>
      </w:r>
    </w:p>
    <w:p w14:paraId="3B597213" w14:textId="180D2B0C" w:rsidR="005D56F8" w:rsidRPr="00F92BA6" w:rsidRDefault="00671C03" w:rsidP="00E6356D">
      <w:pPr>
        <w:pStyle w:val="ListParagraph"/>
        <w:numPr>
          <w:ilvl w:val="1"/>
          <w:numId w:val="4"/>
        </w:numPr>
        <w:outlineLvl w:val="1"/>
        <w:rPr>
          <w:rFonts w:asciiTheme="majorBidi" w:hAnsiTheme="majorBidi" w:cstheme="majorBidi"/>
          <w:b/>
          <w:bCs/>
          <w:sz w:val="32"/>
          <w:szCs w:val="32"/>
        </w:rPr>
      </w:pPr>
      <w:r w:rsidRPr="00F92BA6">
        <w:rPr>
          <w:rFonts w:asciiTheme="majorBidi" w:hAnsiTheme="majorBidi" w:cstheme="majorBidi"/>
          <w:b/>
          <w:bCs/>
          <w:sz w:val="32"/>
          <w:szCs w:val="32"/>
        </w:rPr>
        <w:t>Invalid Date of Birth Format in Prescription Data (1 Record, PRX-19295792)</w:t>
      </w:r>
    </w:p>
    <w:p w14:paraId="09856742" w14:textId="0208E679" w:rsidR="00E6356D" w:rsidRPr="00F92BA6" w:rsidRDefault="00E6356D" w:rsidP="000D4EB4">
      <w:pPr>
        <w:pStyle w:val="NormalWeb"/>
        <w:ind w:left="720" w:firstLine="360"/>
        <w:rPr>
          <w:rFonts w:asciiTheme="majorBidi" w:hAnsiTheme="majorBidi" w:cstheme="majorBidi"/>
        </w:rPr>
      </w:pPr>
      <w:r w:rsidRPr="00F92BA6">
        <w:rPr>
          <w:rFonts w:asciiTheme="majorBidi" w:hAnsiTheme="majorBidi" w:cstheme="majorBidi"/>
        </w:rPr>
        <w:t xml:space="preserve">One record in the dataset has an invalid </w:t>
      </w:r>
      <w:proofErr w:type="spellStart"/>
      <w:r w:rsidRPr="00F92BA6">
        <w:rPr>
          <w:rFonts w:asciiTheme="majorBidi" w:hAnsiTheme="majorBidi" w:cstheme="majorBidi"/>
        </w:rPr>
        <w:t>date_of_birth</w:t>
      </w:r>
      <w:proofErr w:type="spellEnd"/>
      <w:r w:rsidRPr="00F92BA6">
        <w:rPr>
          <w:rFonts w:asciiTheme="majorBidi" w:hAnsiTheme="majorBidi" w:cstheme="majorBidi"/>
        </w:rPr>
        <w:t xml:space="preserve"> format, affecting Prescription ID PRX-19295792 for patient Fatima Al-Hamdan. This may cause incorrect age calculations in years, which could affect reporting or age-based analytics, though it does not impact direct clinical decisions. The system should enforce the correct YYYY-MM-DD format during data entry to ensure accurate age calculation for all patient records.</w:t>
      </w:r>
    </w:p>
    <w:p w14:paraId="7A10BB3A" w14:textId="1927994D" w:rsidR="00E6356D" w:rsidRPr="00F92BA6" w:rsidRDefault="00E6356D" w:rsidP="00E6356D">
      <w:pPr>
        <w:pStyle w:val="NormalWeb"/>
        <w:numPr>
          <w:ilvl w:val="1"/>
          <w:numId w:val="4"/>
        </w:numPr>
        <w:outlineLvl w:val="1"/>
        <w:rPr>
          <w:rFonts w:asciiTheme="majorBidi" w:hAnsiTheme="majorBidi" w:cstheme="majorBidi"/>
          <w:b/>
          <w:bCs/>
          <w:sz w:val="32"/>
          <w:szCs w:val="32"/>
        </w:rPr>
      </w:pPr>
      <w:r w:rsidRPr="00F92BA6">
        <w:rPr>
          <w:rFonts w:asciiTheme="majorBidi" w:hAnsiTheme="majorBidi" w:cstheme="majorBidi"/>
          <w:b/>
          <w:bCs/>
          <w:sz w:val="32"/>
          <w:szCs w:val="32"/>
        </w:rPr>
        <w:t>Patient Age Mismatch in Prescription Data (40 Records)</w:t>
      </w:r>
    </w:p>
    <w:p w14:paraId="2A1595FB" w14:textId="0DCC59F3" w:rsidR="00E6356D" w:rsidRPr="00F92BA6" w:rsidRDefault="00E6356D" w:rsidP="000D4EB4">
      <w:pPr>
        <w:pStyle w:val="NormalWeb"/>
        <w:ind w:left="720" w:firstLine="360"/>
        <w:rPr>
          <w:rFonts w:asciiTheme="majorBidi" w:hAnsiTheme="majorBidi" w:cstheme="majorBidi"/>
        </w:rPr>
      </w:pPr>
      <w:r w:rsidRPr="00F92BA6">
        <w:rPr>
          <w:rFonts w:asciiTheme="majorBidi" w:hAnsiTheme="majorBidi" w:cstheme="majorBidi"/>
        </w:rPr>
        <w:t xml:space="preserve">Forty records in the dataset, including Prescription IDs such as </w:t>
      </w:r>
      <w:r w:rsidRPr="00F92BA6">
        <w:rPr>
          <w:rFonts w:asciiTheme="majorBidi" w:hAnsiTheme="majorBidi" w:cstheme="majorBidi"/>
          <w:highlight w:val="lightGray"/>
        </w:rPr>
        <w:t>PRX-89503557</w:t>
      </w:r>
      <w:r w:rsidRPr="00F92BA6">
        <w:rPr>
          <w:rFonts w:asciiTheme="majorBidi" w:hAnsiTheme="majorBidi" w:cstheme="majorBidi"/>
        </w:rPr>
        <w:t xml:space="preserve">, </w:t>
      </w:r>
      <w:r w:rsidRPr="00F92BA6">
        <w:rPr>
          <w:rFonts w:asciiTheme="majorBidi" w:hAnsiTheme="majorBidi" w:cstheme="majorBidi"/>
          <w:highlight w:val="lightGray"/>
        </w:rPr>
        <w:t>PRX-85374852</w:t>
      </w:r>
      <w:r w:rsidRPr="00F92BA6">
        <w:rPr>
          <w:rFonts w:asciiTheme="majorBidi" w:hAnsiTheme="majorBidi" w:cstheme="majorBidi"/>
        </w:rPr>
        <w:t>,</w:t>
      </w:r>
      <w:r w:rsidRPr="00F92BA6">
        <w:rPr>
          <w:rFonts w:asciiTheme="majorBidi" w:hAnsiTheme="majorBidi" w:cstheme="majorBidi"/>
          <w:highlight w:val="lightGray"/>
        </w:rPr>
        <w:t xml:space="preserve"> PRX-18397164</w:t>
      </w:r>
      <w:r w:rsidRPr="00F92BA6">
        <w:rPr>
          <w:rFonts w:asciiTheme="majorBidi" w:hAnsiTheme="majorBidi" w:cstheme="majorBidi"/>
        </w:rPr>
        <w:t>,</w:t>
      </w:r>
      <w:r w:rsidRPr="00F92BA6">
        <w:rPr>
          <w:rFonts w:asciiTheme="majorBidi" w:hAnsiTheme="majorBidi" w:cstheme="majorBidi"/>
          <w:highlight w:val="lightGray"/>
        </w:rPr>
        <w:t xml:space="preserve"> PRX-35264294</w:t>
      </w:r>
      <w:r w:rsidRPr="00F92BA6">
        <w:rPr>
          <w:rFonts w:asciiTheme="majorBidi" w:hAnsiTheme="majorBidi" w:cstheme="majorBidi"/>
        </w:rPr>
        <w:t>,</w:t>
      </w:r>
      <w:r w:rsidRPr="00F92BA6">
        <w:rPr>
          <w:rFonts w:asciiTheme="majorBidi" w:hAnsiTheme="majorBidi" w:cstheme="majorBidi"/>
          <w:highlight w:val="lightGray"/>
        </w:rPr>
        <w:t xml:space="preserve"> PRX-92662979</w:t>
      </w:r>
      <w:r w:rsidRPr="00F92BA6">
        <w:rPr>
          <w:rFonts w:asciiTheme="majorBidi" w:hAnsiTheme="majorBidi" w:cstheme="majorBidi"/>
        </w:rPr>
        <w:t xml:space="preserve">, and others, show a mismatch between the recorded patient </w:t>
      </w:r>
      <w:r w:rsidRPr="000D4EB4">
        <w:rPr>
          <w:rFonts w:asciiTheme="majorBidi" w:hAnsiTheme="majorBidi" w:cstheme="majorBidi"/>
          <w:b/>
          <w:bCs/>
        </w:rPr>
        <w:t>age</w:t>
      </w:r>
      <w:r w:rsidRPr="00F92BA6">
        <w:rPr>
          <w:rFonts w:asciiTheme="majorBidi" w:hAnsiTheme="majorBidi" w:cstheme="majorBidi"/>
        </w:rPr>
        <w:t xml:space="preserve"> and the </w:t>
      </w:r>
      <w:r w:rsidRPr="000D4EB4">
        <w:rPr>
          <w:rFonts w:asciiTheme="majorBidi" w:hAnsiTheme="majorBidi" w:cstheme="majorBidi"/>
          <w:b/>
          <w:bCs/>
        </w:rPr>
        <w:t>age calculated</w:t>
      </w:r>
      <w:r w:rsidRPr="00F92BA6">
        <w:rPr>
          <w:rFonts w:asciiTheme="majorBidi" w:hAnsiTheme="majorBidi" w:cstheme="majorBidi"/>
        </w:rPr>
        <w:t xml:space="preserve"> from the </w:t>
      </w:r>
      <w:proofErr w:type="spellStart"/>
      <w:r w:rsidRPr="000D4EB4">
        <w:rPr>
          <w:rFonts w:asciiTheme="majorBidi" w:hAnsiTheme="majorBidi" w:cstheme="majorBidi"/>
          <w:b/>
          <w:bCs/>
        </w:rPr>
        <w:t>date_of_birth</w:t>
      </w:r>
      <w:proofErr w:type="spellEnd"/>
      <w:r w:rsidRPr="00F92BA6">
        <w:rPr>
          <w:rFonts w:asciiTheme="majorBidi" w:hAnsiTheme="majorBidi" w:cstheme="majorBidi"/>
        </w:rPr>
        <w:t xml:space="preserve">. This is a high-severity issue because incorrect age in years can lead doctors or pharmacists to make </w:t>
      </w:r>
      <w:proofErr w:type="gramStart"/>
      <w:r w:rsidRPr="00F92BA6">
        <w:rPr>
          <w:rFonts w:asciiTheme="majorBidi" w:hAnsiTheme="majorBidi" w:cstheme="majorBidi"/>
        </w:rPr>
        <w:t>inappropriate dosing</w:t>
      </w:r>
      <w:proofErr w:type="gramEnd"/>
      <w:r w:rsidRPr="00F92BA6">
        <w:rPr>
          <w:rFonts w:asciiTheme="majorBidi" w:hAnsiTheme="majorBidi" w:cstheme="majorBidi"/>
        </w:rPr>
        <w:t xml:space="preserve"> decisions or clinical judgments. To prevent this, the system should automatically calculate age from the </w:t>
      </w:r>
      <w:proofErr w:type="spellStart"/>
      <w:r w:rsidRPr="00F92BA6">
        <w:rPr>
          <w:rFonts w:asciiTheme="majorBidi" w:hAnsiTheme="majorBidi" w:cstheme="majorBidi"/>
        </w:rPr>
        <w:t>date_of_birth</w:t>
      </w:r>
      <w:proofErr w:type="spellEnd"/>
      <w:r w:rsidRPr="00F92BA6">
        <w:rPr>
          <w:rFonts w:asciiTheme="majorBidi" w:hAnsiTheme="majorBidi" w:cstheme="majorBidi"/>
        </w:rPr>
        <w:t xml:space="preserve"> instead of allowing manual entry, and all 40 affected records should be reviewed and corrected.</w:t>
      </w:r>
    </w:p>
    <w:p w14:paraId="15CDAC47" w14:textId="77777777" w:rsidR="00E6356D" w:rsidRPr="00F92BA6" w:rsidRDefault="00E6356D" w:rsidP="00E6356D">
      <w:pPr>
        <w:pStyle w:val="NormalWeb"/>
        <w:ind w:left="1080" w:firstLine="360"/>
        <w:rPr>
          <w:rFonts w:asciiTheme="majorBidi" w:hAnsiTheme="majorBidi" w:cstheme="majorBidi"/>
        </w:rPr>
      </w:pPr>
    </w:p>
    <w:p w14:paraId="0AFB7446" w14:textId="4B011B6E" w:rsidR="00E6356D" w:rsidRPr="00F92BA6" w:rsidRDefault="00E6356D" w:rsidP="000D4EB4">
      <w:pPr>
        <w:pStyle w:val="NormalWeb"/>
        <w:ind w:left="720"/>
        <w:outlineLvl w:val="1"/>
        <w:rPr>
          <w:rFonts w:asciiTheme="majorBidi" w:hAnsiTheme="majorBidi" w:cstheme="majorBidi"/>
          <w:b/>
          <w:bCs/>
          <w:sz w:val="32"/>
          <w:szCs w:val="32"/>
        </w:rPr>
      </w:pPr>
      <w:r w:rsidRPr="00F92BA6">
        <w:rPr>
          <w:rFonts w:asciiTheme="majorBidi" w:hAnsiTheme="majorBidi" w:cstheme="majorBidi"/>
          <w:b/>
          <w:bCs/>
          <w:sz w:val="32"/>
          <w:szCs w:val="32"/>
        </w:rPr>
        <w:t>2.3 Future Date of Birth Entries in Prescription Data (10 Records)</w:t>
      </w:r>
    </w:p>
    <w:p w14:paraId="6C0F62B9" w14:textId="476BBC38" w:rsidR="00E6356D" w:rsidRPr="00F92BA6" w:rsidRDefault="00E6356D" w:rsidP="000D4EB4">
      <w:pPr>
        <w:pStyle w:val="NormalWeb"/>
        <w:ind w:left="720" w:firstLine="720"/>
        <w:rPr>
          <w:rFonts w:asciiTheme="majorBidi" w:hAnsiTheme="majorBidi" w:cstheme="majorBidi"/>
        </w:rPr>
      </w:pPr>
      <w:r w:rsidRPr="00F92BA6">
        <w:rPr>
          <w:rFonts w:asciiTheme="majorBidi" w:hAnsiTheme="majorBidi" w:cstheme="majorBidi"/>
        </w:rPr>
        <w:t xml:space="preserve">Ten records in the dataset, including Prescription IDs </w:t>
      </w:r>
      <w:r w:rsidRPr="00F92BA6">
        <w:rPr>
          <w:rFonts w:asciiTheme="majorBidi" w:hAnsiTheme="majorBidi" w:cstheme="majorBidi"/>
          <w:highlight w:val="lightGray"/>
        </w:rPr>
        <w:t>PRX-28713077</w:t>
      </w:r>
      <w:r w:rsidRPr="00F92BA6">
        <w:rPr>
          <w:rFonts w:asciiTheme="majorBidi" w:hAnsiTheme="majorBidi" w:cstheme="majorBidi"/>
        </w:rPr>
        <w:t xml:space="preserve">, </w:t>
      </w:r>
      <w:r w:rsidRPr="00F92BA6">
        <w:rPr>
          <w:rFonts w:asciiTheme="majorBidi" w:hAnsiTheme="majorBidi" w:cstheme="majorBidi"/>
          <w:highlight w:val="lightGray"/>
        </w:rPr>
        <w:t>PRX-79173614</w:t>
      </w:r>
      <w:r w:rsidRPr="00F92BA6">
        <w:rPr>
          <w:rFonts w:asciiTheme="majorBidi" w:hAnsiTheme="majorBidi" w:cstheme="majorBidi"/>
        </w:rPr>
        <w:t xml:space="preserve">, </w:t>
      </w:r>
      <w:r w:rsidRPr="00F92BA6">
        <w:rPr>
          <w:rFonts w:asciiTheme="majorBidi" w:hAnsiTheme="majorBidi" w:cstheme="majorBidi"/>
          <w:highlight w:val="lightGray"/>
        </w:rPr>
        <w:t>PRX-12919231</w:t>
      </w:r>
      <w:r w:rsidRPr="00F92BA6">
        <w:rPr>
          <w:rFonts w:asciiTheme="majorBidi" w:hAnsiTheme="majorBidi" w:cstheme="majorBidi"/>
        </w:rPr>
        <w:t xml:space="preserve">, </w:t>
      </w:r>
      <w:r w:rsidRPr="00F92BA6">
        <w:rPr>
          <w:rFonts w:asciiTheme="majorBidi" w:hAnsiTheme="majorBidi" w:cstheme="majorBidi"/>
          <w:highlight w:val="lightGray"/>
        </w:rPr>
        <w:t>PRX-33489813</w:t>
      </w:r>
      <w:r w:rsidRPr="00F92BA6">
        <w:rPr>
          <w:rFonts w:asciiTheme="majorBidi" w:hAnsiTheme="majorBidi" w:cstheme="majorBidi"/>
        </w:rPr>
        <w:t xml:space="preserve">, </w:t>
      </w:r>
      <w:r w:rsidRPr="00F92BA6">
        <w:rPr>
          <w:rFonts w:asciiTheme="majorBidi" w:hAnsiTheme="majorBidi" w:cstheme="majorBidi"/>
          <w:highlight w:val="lightGray"/>
        </w:rPr>
        <w:t>PRX-76479831</w:t>
      </w:r>
      <w:r w:rsidRPr="00F92BA6">
        <w:rPr>
          <w:rFonts w:asciiTheme="majorBidi" w:hAnsiTheme="majorBidi" w:cstheme="majorBidi"/>
        </w:rPr>
        <w:t xml:space="preserve">, </w:t>
      </w:r>
      <w:r w:rsidRPr="00F92BA6">
        <w:rPr>
          <w:rFonts w:asciiTheme="majorBidi" w:hAnsiTheme="majorBidi" w:cstheme="majorBidi"/>
          <w:highlight w:val="lightGray"/>
        </w:rPr>
        <w:t>PRX-96356711</w:t>
      </w:r>
      <w:r w:rsidRPr="00F92BA6">
        <w:rPr>
          <w:rFonts w:asciiTheme="majorBidi" w:hAnsiTheme="majorBidi" w:cstheme="majorBidi"/>
        </w:rPr>
        <w:t xml:space="preserve">, </w:t>
      </w:r>
      <w:r w:rsidRPr="00F92BA6">
        <w:rPr>
          <w:rFonts w:asciiTheme="majorBidi" w:hAnsiTheme="majorBidi" w:cstheme="majorBidi"/>
          <w:highlight w:val="lightGray"/>
        </w:rPr>
        <w:t>PRX-</w:t>
      </w:r>
      <w:r w:rsidRPr="00F92BA6">
        <w:rPr>
          <w:rFonts w:asciiTheme="majorBidi" w:hAnsiTheme="majorBidi" w:cstheme="majorBidi"/>
          <w:highlight w:val="lightGray"/>
        </w:rPr>
        <w:lastRenderedPageBreak/>
        <w:t>44540283</w:t>
      </w:r>
      <w:r w:rsidRPr="00F92BA6">
        <w:rPr>
          <w:rFonts w:asciiTheme="majorBidi" w:hAnsiTheme="majorBidi" w:cstheme="majorBidi"/>
        </w:rPr>
        <w:t xml:space="preserve">, </w:t>
      </w:r>
      <w:r w:rsidRPr="00F92BA6">
        <w:rPr>
          <w:rFonts w:asciiTheme="majorBidi" w:hAnsiTheme="majorBidi" w:cstheme="majorBidi"/>
          <w:highlight w:val="lightGray"/>
        </w:rPr>
        <w:t>PRX-24181143</w:t>
      </w:r>
      <w:r w:rsidRPr="00F92BA6">
        <w:rPr>
          <w:rFonts w:asciiTheme="majorBidi" w:hAnsiTheme="majorBidi" w:cstheme="majorBidi"/>
        </w:rPr>
        <w:t xml:space="preserve">, and </w:t>
      </w:r>
      <w:r w:rsidRPr="00F92BA6">
        <w:rPr>
          <w:rFonts w:asciiTheme="majorBidi" w:hAnsiTheme="majorBidi" w:cstheme="majorBidi"/>
          <w:highlight w:val="lightGray"/>
        </w:rPr>
        <w:t>PRX-81056927</w:t>
      </w:r>
      <w:r w:rsidRPr="00F92BA6">
        <w:rPr>
          <w:rFonts w:asciiTheme="majorBidi" w:hAnsiTheme="majorBidi" w:cstheme="majorBidi"/>
        </w:rPr>
        <w:t xml:space="preserve">, have a </w:t>
      </w:r>
      <w:proofErr w:type="spellStart"/>
      <w:r w:rsidRPr="000D4EB4">
        <w:rPr>
          <w:rFonts w:asciiTheme="majorBidi" w:hAnsiTheme="majorBidi" w:cstheme="majorBidi"/>
          <w:b/>
          <w:bCs/>
        </w:rPr>
        <w:t>date_of_birth</w:t>
      </w:r>
      <w:proofErr w:type="spellEnd"/>
      <w:r w:rsidRPr="00F92BA6">
        <w:rPr>
          <w:rFonts w:asciiTheme="majorBidi" w:hAnsiTheme="majorBidi" w:cstheme="majorBidi"/>
        </w:rPr>
        <w:t xml:space="preserve"> set in the future, which is invalid. This is considered a </w:t>
      </w:r>
      <w:r w:rsidRPr="000D4EB4">
        <w:rPr>
          <w:rFonts w:asciiTheme="majorBidi" w:hAnsiTheme="majorBidi" w:cstheme="majorBidi"/>
          <w:b/>
          <w:bCs/>
        </w:rPr>
        <w:t>low-severity</w:t>
      </w:r>
      <w:r w:rsidRPr="00F92BA6">
        <w:rPr>
          <w:rFonts w:asciiTheme="majorBidi" w:hAnsiTheme="majorBidi" w:cstheme="majorBidi"/>
        </w:rPr>
        <w:t xml:space="preserve"> issue because it is unlikely to cause immediate clinical problems, but it can affect </w:t>
      </w:r>
      <w:r w:rsidRPr="000D4EB4">
        <w:rPr>
          <w:rFonts w:asciiTheme="majorBidi" w:hAnsiTheme="majorBidi" w:cstheme="majorBidi"/>
          <w:b/>
          <w:bCs/>
        </w:rPr>
        <w:t>age calculations</w:t>
      </w:r>
      <w:r w:rsidRPr="00F92BA6">
        <w:rPr>
          <w:rFonts w:asciiTheme="majorBidi" w:hAnsiTheme="majorBidi" w:cstheme="majorBidi"/>
        </w:rPr>
        <w:t xml:space="preserve"> in years and reporting accuracy. To ensure data integrity, the system should automatically prevent future dates from being entered for </w:t>
      </w:r>
      <w:proofErr w:type="spellStart"/>
      <w:r w:rsidRPr="00F92BA6">
        <w:rPr>
          <w:rFonts w:asciiTheme="majorBidi" w:hAnsiTheme="majorBidi" w:cstheme="majorBidi"/>
        </w:rPr>
        <w:t>date_of_birth</w:t>
      </w:r>
      <w:proofErr w:type="spellEnd"/>
      <w:r w:rsidRPr="00F92BA6">
        <w:rPr>
          <w:rFonts w:asciiTheme="majorBidi" w:hAnsiTheme="majorBidi" w:cstheme="majorBidi"/>
        </w:rPr>
        <w:t>, and these 10 records should be reviewed and corrected.</w:t>
      </w:r>
    </w:p>
    <w:p w14:paraId="020823F3" w14:textId="3F856B72" w:rsidR="00E6356D" w:rsidRPr="00F92BA6" w:rsidRDefault="00E6356D" w:rsidP="00F92BA6">
      <w:pPr>
        <w:pStyle w:val="NormalWeb"/>
        <w:outlineLvl w:val="1"/>
        <w:rPr>
          <w:rFonts w:asciiTheme="majorBidi" w:hAnsiTheme="majorBidi" w:cstheme="majorBidi"/>
          <w:b/>
          <w:bCs/>
          <w:sz w:val="32"/>
          <w:szCs w:val="32"/>
        </w:rPr>
      </w:pPr>
      <w:r w:rsidRPr="00F92BA6">
        <w:rPr>
          <w:rFonts w:asciiTheme="majorBidi" w:hAnsiTheme="majorBidi" w:cstheme="majorBidi"/>
          <w:b/>
          <w:bCs/>
          <w:sz w:val="32"/>
          <w:szCs w:val="32"/>
        </w:rPr>
        <w:t xml:space="preserve">2.4 </w:t>
      </w:r>
      <w:r w:rsidR="00F92BA6" w:rsidRPr="00F92BA6">
        <w:rPr>
          <w:rFonts w:asciiTheme="majorBidi" w:hAnsiTheme="majorBidi" w:cstheme="majorBidi"/>
          <w:b/>
          <w:bCs/>
          <w:sz w:val="32"/>
          <w:szCs w:val="32"/>
        </w:rPr>
        <w:t>Invalid Dosage Forms in Prescription Data (9 Records)</w:t>
      </w:r>
    </w:p>
    <w:p w14:paraId="13B15A49" w14:textId="77777777" w:rsidR="00CB75B5" w:rsidRDefault="00CB75B5" w:rsidP="00CB75B5">
      <w:pPr>
        <w:ind w:firstLine="720"/>
        <w:rPr>
          <w:rFonts w:asciiTheme="majorBidi" w:hAnsiTheme="majorBidi"/>
        </w:rPr>
      </w:pPr>
      <w:r w:rsidRPr="00CB75B5">
        <w:rPr>
          <w:rFonts w:asciiTheme="majorBidi" w:hAnsiTheme="majorBidi"/>
        </w:rPr>
        <w:t xml:space="preserve">Nine prescriptions in the dataset, including Prescription IDs PRX-66187845, </w:t>
      </w:r>
      <w:r w:rsidRPr="00CB75B5">
        <w:rPr>
          <w:rFonts w:asciiTheme="majorBidi" w:hAnsiTheme="majorBidi"/>
          <w:highlight w:val="lightGray"/>
        </w:rPr>
        <w:t>PRX-60421010</w:t>
      </w:r>
      <w:r w:rsidRPr="00CB75B5">
        <w:rPr>
          <w:rFonts w:asciiTheme="majorBidi" w:hAnsiTheme="majorBidi"/>
        </w:rPr>
        <w:t xml:space="preserve">, </w:t>
      </w:r>
      <w:r w:rsidRPr="00CB75B5">
        <w:rPr>
          <w:rFonts w:asciiTheme="majorBidi" w:hAnsiTheme="majorBidi"/>
          <w:highlight w:val="lightGray"/>
        </w:rPr>
        <w:t>PRX-85603667</w:t>
      </w:r>
      <w:r w:rsidRPr="00CB75B5">
        <w:rPr>
          <w:rFonts w:asciiTheme="majorBidi" w:hAnsiTheme="majorBidi"/>
        </w:rPr>
        <w:t xml:space="preserve">, </w:t>
      </w:r>
      <w:r w:rsidRPr="00CB75B5">
        <w:rPr>
          <w:rFonts w:asciiTheme="majorBidi" w:hAnsiTheme="majorBidi"/>
          <w:highlight w:val="lightGray"/>
        </w:rPr>
        <w:t>PRX-24919279</w:t>
      </w:r>
      <w:r w:rsidRPr="00CB75B5">
        <w:rPr>
          <w:rFonts w:asciiTheme="majorBidi" w:hAnsiTheme="majorBidi"/>
        </w:rPr>
        <w:t xml:space="preserve">, </w:t>
      </w:r>
      <w:r w:rsidRPr="00CB75B5">
        <w:rPr>
          <w:rFonts w:asciiTheme="majorBidi" w:hAnsiTheme="majorBidi"/>
          <w:highlight w:val="lightGray"/>
        </w:rPr>
        <w:t>PRX-39987280</w:t>
      </w:r>
      <w:r w:rsidRPr="00CB75B5">
        <w:rPr>
          <w:rFonts w:asciiTheme="majorBidi" w:hAnsiTheme="majorBidi"/>
        </w:rPr>
        <w:t xml:space="preserve">, </w:t>
      </w:r>
      <w:r w:rsidRPr="00CB75B5">
        <w:rPr>
          <w:rFonts w:asciiTheme="majorBidi" w:hAnsiTheme="majorBidi"/>
          <w:highlight w:val="lightGray"/>
        </w:rPr>
        <w:t>PRX-11582229</w:t>
      </w:r>
      <w:r w:rsidRPr="00CB75B5">
        <w:rPr>
          <w:rFonts w:asciiTheme="majorBidi" w:hAnsiTheme="majorBidi"/>
        </w:rPr>
        <w:t xml:space="preserve">, </w:t>
      </w:r>
      <w:r w:rsidRPr="00CB75B5">
        <w:rPr>
          <w:rFonts w:asciiTheme="majorBidi" w:hAnsiTheme="majorBidi"/>
          <w:highlight w:val="lightGray"/>
        </w:rPr>
        <w:t>and PRX-98384904</w:t>
      </w:r>
      <w:r w:rsidRPr="00CB75B5">
        <w:rPr>
          <w:rFonts w:asciiTheme="majorBidi" w:hAnsiTheme="majorBidi"/>
        </w:rPr>
        <w:t xml:space="preserve">, have medication names that do not follow the required format </w:t>
      </w:r>
      <w:r w:rsidRPr="00CB75B5">
        <w:rPr>
          <w:rFonts w:asciiTheme="majorBidi" w:hAnsiTheme="majorBidi"/>
          <w:b/>
          <w:bCs/>
        </w:rPr>
        <w:t>(Medicine Name + Dose Strength + Dosage Form)</w:t>
      </w:r>
      <w:r w:rsidRPr="00CB75B5">
        <w:rPr>
          <w:rFonts w:asciiTheme="majorBidi" w:hAnsiTheme="majorBidi"/>
        </w:rPr>
        <w:t xml:space="preserve">. Examples include entries such as </w:t>
      </w:r>
      <w:r w:rsidRPr="00CB75B5">
        <w:rPr>
          <w:rFonts w:asciiTheme="majorBidi" w:hAnsiTheme="majorBidi"/>
          <w:i/>
          <w:iCs/>
        </w:rPr>
        <w:t>“Atorvastatin 20mg”</w:t>
      </w:r>
      <w:r w:rsidRPr="00CB75B5">
        <w:rPr>
          <w:rFonts w:asciiTheme="majorBidi" w:hAnsiTheme="majorBidi"/>
        </w:rPr>
        <w:t xml:space="preserve"> and </w:t>
      </w:r>
      <w:r w:rsidRPr="00CB75B5">
        <w:rPr>
          <w:rFonts w:asciiTheme="majorBidi" w:hAnsiTheme="majorBidi"/>
          <w:i/>
          <w:iCs/>
        </w:rPr>
        <w:t>“metformin 500mg”</w:t>
      </w:r>
      <w:r w:rsidRPr="00CB75B5">
        <w:rPr>
          <w:rFonts w:asciiTheme="majorBidi" w:hAnsiTheme="majorBidi"/>
        </w:rPr>
        <w:t xml:space="preserve">, where the </w:t>
      </w:r>
      <w:r w:rsidRPr="00CB75B5">
        <w:rPr>
          <w:rFonts w:asciiTheme="majorBidi" w:hAnsiTheme="majorBidi"/>
          <w:b/>
          <w:bCs/>
        </w:rPr>
        <w:t>dosage form (e.g., tablet, capsule)</w:t>
      </w:r>
      <w:r w:rsidRPr="00CB75B5">
        <w:rPr>
          <w:rFonts w:asciiTheme="majorBidi" w:hAnsiTheme="majorBidi"/>
        </w:rPr>
        <w:t xml:space="preserve"> is missing. This is a medium-severity issue because incomplete medication descriptions can cause confusion for pharmacists or electronic systems, potentially leading to dispensing errors. The prescribing system should enforce the standard medication name format, and all 9 affected records should be reviewed and corrected.</w:t>
      </w:r>
    </w:p>
    <w:p w14:paraId="6F30E706" w14:textId="4FFC0DFC" w:rsidR="00F92BA6" w:rsidRPr="00F92BA6" w:rsidRDefault="00F92BA6" w:rsidP="00CB75B5">
      <w:pPr>
        <w:pStyle w:val="Heading2"/>
        <w:rPr>
          <w:rFonts w:asciiTheme="majorBidi" w:hAnsiTheme="majorBidi"/>
          <w:b/>
          <w:bCs/>
          <w:color w:val="000000" w:themeColor="text1"/>
        </w:rPr>
      </w:pPr>
      <w:r w:rsidRPr="00F92BA6">
        <w:rPr>
          <w:rFonts w:asciiTheme="majorBidi" w:hAnsiTheme="majorBidi"/>
          <w:b/>
          <w:bCs/>
          <w:color w:val="000000" w:themeColor="text1"/>
        </w:rPr>
        <w:t>2.5 Duplicate Prescription Records with Conflicting Timestamps (PRX-72959166)</w:t>
      </w:r>
    </w:p>
    <w:p w14:paraId="6B2C7378" w14:textId="6DE83CC4" w:rsidR="00F92BA6" w:rsidRPr="00F92BA6" w:rsidRDefault="00F92BA6" w:rsidP="00F92BA6">
      <w:pPr>
        <w:rPr>
          <w:rFonts w:asciiTheme="majorBidi" w:hAnsiTheme="majorBidi" w:cstheme="majorBidi"/>
        </w:rPr>
      </w:pPr>
      <w:r w:rsidRPr="00F92BA6">
        <w:rPr>
          <w:rFonts w:asciiTheme="majorBidi" w:hAnsiTheme="majorBidi" w:cstheme="majorBidi"/>
        </w:rPr>
        <w:tab/>
        <w:t xml:space="preserve">For prescription </w:t>
      </w:r>
      <w:r w:rsidRPr="001E74D8">
        <w:rPr>
          <w:rFonts w:asciiTheme="majorBidi" w:hAnsiTheme="majorBidi" w:cstheme="majorBidi"/>
          <w:highlight w:val="lightGray"/>
        </w:rPr>
        <w:t>PRX-72959166</w:t>
      </w:r>
      <w:r w:rsidRPr="00F92BA6">
        <w:rPr>
          <w:rFonts w:asciiTheme="majorBidi" w:hAnsiTheme="majorBidi" w:cstheme="majorBidi"/>
        </w:rPr>
        <w:t xml:space="preserve">, there are two records that are identical except for the </w:t>
      </w:r>
      <w:proofErr w:type="spellStart"/>
      <w:r w:rsidRPr="001E74D8">
        <w:rPr>
          <w:rFonts w:asciiTheme="majorBidi" w:hAnsiTheme="majorBidi" w:cstheme="majorBidi"/>
          <w:b/>
          <w:bCs/>
        </w:rPr>
        <w:t>prescription_datetime</w:t>
      </w:r>
      <w:proofErr w:type="spellEnd"/>
      <w:r w:rsidRPr="00F92BA6">
        <w:rPr>
          <w:rFonts w:asciiTheme="majorBidi" w:hAnsiTheme="majorBidi" w:cstheme="majorBidi"/>
        </w:rPr>
        <w:t xml:space="preserve"> value. This creates confusion because it is unclear which timestamp accurately represents the actual prescribing event, potentially affecting auditing or clinical reporting. The system should enforce the unique constraint properly and review these duplicate records to ensure only one accurate entry exists.</w:t>
      </w:r>
    </w:p>
    <w:p w14:paraId="77306529" w14:textId="77777777" w:rsidR="00F92BA6" w:rsidRPr="00F92BA6" w:rsidRDefault="00F92BA6" w:rsidP="00F92BA6">
      <w:pPr>
        <w:rPr>
          <w:rFonts w:asciiTheme="majorBidi" w:hAnsiTheme="majorBidi" w:cstheme="majorBidi"/>
        </w:rPr>
      </w:pPr>
    </w:p>
    <w:p w14:paraId="70E887DC" w14:textId="629A6B92" w:rsidR="00F92BA6" w:rsidRPr="00F92BA6" w:rsidRDefault="00F92BA6" w:rsidP="00F92BA6">
      <w:pPr>
        <w:pStyle w:val="Heading2"/>
        <w:rPr>
          <w:rFonts w:asciiTheme="majorBidi" w:hAnsiTheme="majorBidi"/>
          <w:b/>
          <w:bCs/>
          <w:color w:val="000000" w:themeColor="text1"/>
        </w:rPr>
      </w:pPr>
      <w:r w:rsidRPr="00F92BA6">
        <w:rPr>
          <w:rFonts w:asciiTheme="majorBidi" w:hAnsiTheme="majorBidi"/>
          <w:b/>
          <w:bCs/>
          <w:color w:val="000000" w:themeColor="text1"/>
        </w:rPr>
        <w:t>2.6 Prescriptions for Children Under 5 Receiving Potentially Unsafe Medications (18 Prescriptions)</w:t>
      </w:r>
    </w:p>
    <w:p w14:paraId="5006CC4D" w14:textId="7B6BD134" w:rsidR="005D56F8" w:rsidRPr="00CB75B5" w:rsidRDefault="00F92BA6" w:rsidP="00CB75B5">
      <w:pPr>
        <w:ind w:firstLine="720"/>
        <w:rPr>
          <w:rFonts w:asciiTheme="majorBidi" w:hAnsiTheme="majorBidi" w:cstheme="majorBidi"/>
        </w:rPr>
      </w:pPr>
      <w:r w:rsidRPr="00F92BA6">
        <w:rPr>
          <w:rFonts w:asciiTheme="majorBidi" w:hAnsiTheme="majorBidi" w:cstheme="majorBidi"/>
        </w:rPr>
        <w:t xml:space="preserve">Eighteen prescriptions in the dataset for children under 5 years old, including Prescription IDs such as </w:t>
      </w:r>
      <w:r w:rsidRPr="00CB75B5">
        <w:rPr>
          <w:rFonts w:asciiTheme="majorBidi" w:hAnsiTheme="majorBidi" w:cstheme="majorBidi"/>
          <w:highlight w:val="lightGray"/>
        </w:rPr>
        <w:t>PRX-83569939</w:t>
      </w:r>
      <w:r w:rsidRPr="00F92BA6">
        <w:rPr>
          <w:rFonts w:asciiTheme="majorBidi" w:hAnsiTheme="majorBidi" w:cstheme="majorBidi"/>
        </w:rPr>
        <w:t xml:space="preserve">, </w:t>
      </w:r>
      <w:r w:rsidRPr="00CB75B5">
        <w:rPr>
          <w:rFonts w:asciiTheme="majorBidi" w:hAnsiTheme="majorBidi" w:cstheme="majorBidi"/>
          <w:highlight w:val="lightGray"/>
        </w:rPr>
        <w:t>PRX-86181117</w:t>
      </w:r>
      <w:r w:rsidRPr="00F92BA6">
        <w:rPr>
          <w:rFonts w:asciiTheme="majorBidi" w:hAnsiTheme="majorBidi" w:cstheme="majorBidi"/>
        </w:rPr>
        <w:t xml:space="preserve">, </w:t>
      </w:r>
      <w:r w:rsidRPr="00CB75B5">
        <w:rPr>
          <w:rFonts w:asciiTheme="majorBidi" w:hAnsiTheme="majorBidi" w:cstheme="majorBidi"/>
          <w:highlight w:val="lightGray"/>
        </w:rPr>
        <w:t>PRX-73070585</w:t>
      </w:r>
      <w:r w:rsidRPr="00F92BA6">
        <w:rPr>
          <w:rFonts w:asciiTheme="majorBidi" w:hAnsiTheme="majorBidi" w:cstheme="majorBidi"/>
        </w:rPr>
        <w:t xml:space="preserve">, </w:t>
      </w:r>
      <w:r w:rsidRPr="00F92BA6">
        <w:rPr>
          <w:rFonts w:asciiTheme="majorBidi" w:hAnsiTheme="majorBidi" w:cstheme="majorBidi"/>
          <w:highlight w:val="lightGray"/>
        </w:rPr>
        <w:t>PRX-22799546</w:t>
      </w:r>
      <w:r w:rsidRPr="00F92BA6">
        <w:rPr>
          <w:rFonts w:asciiTheme="majorBidi" w:hAnsiTheme="majorBidi" w:cstheme="majorBidi"/>
        </w:rPr>
        <w:t xml:space="preserve">, and others, involve medications that may be unsuitable for their age. This is a </w:t>
      </w:r>
      <w:r w:rsidRPr="00CB75B5">
        <w:rPr>
          <w:rFonts w:asciiTheme="majorBidi" w:hAnsiTheme="majorBidi" w:cstheme="majorBidi"/>
          <w:b/>
          <w:bCs/>
        </w:rPr>
        <w:t>high-severity</w:t>
      </w:r>
      <w:r w:rsidRPr="00F92BA6">
        <w:rPr>
          <w:rFonts w:asciiTheme="majorBidi" w:hAnsiTheme="majorBidi" w:cstheme="majorBidi"/>
        </w:rPr>
        <w:t xml:space="preserve"> issue because these dosage forms can pose serious health risks if swallowed or administered incorrectly. To prevent harm, the prescribing system should enforce age-based dosage restrictions, and all 20 records should be reviewed to ensure safe medication administration for young children.</w:t>
      </w:r>
    </w:p>
    <w:p w14:paraId="0E7F7D89" w14:textId="10E18C2C" w:rsidR="00F92BA6" w:rsidRDefault="00F92BA6" w:rsidP="00CB75B5">
      <w:pPr>
        <w:pStyle w:val="Heading2"/>
        <w:rPr>
          <w:rFonts w:asciiTheme="majorBidi" w:eastAsiaTheme="minorHAnsi" w:hAnsiTheme="majorBidi"/>
          <w:b/>
          <w:bCs/>
          <w:color w:val="000000" w:themeColor="text1"/>
        </w:rPr>
      </w:pPr>
      <w:r w:rsidRPr="00F92BA6">
        <w:rPr>
          <w:rFonts w:asciiTheme="majorBidi" w:hAnsiTheme="majorBidi"/>
          <w:b/>
          <w:bCs/>
          <w:color w:val="000000" w:themeColor="text1"/>
        </w:rPr>
        <w:lastRenderedPageBreak/>
        <w:t xml:space="preserve">2.7 </w:t>
      </w:r>
      <w:r w:rsidR="00CB75B5" w:rsidRPr="00CB75B5">
        <w:rPr>
          <w:rFonts w:asciiTheme="majorBidi" w:eastAsiaTheme="minorHAnsi" w:hAnsiTheme="majorBidi"/>
          <w:b/>
          <w:bCs/>
          <w:color w:val="000000" w:themeColor="text1"/>
        </w:rPr>
        <w:t>Inconsistent Quantity and Dosing Relationships in Prescription Data (All Records)</w:t>
      </w:r>
    </w:p>
    <w:p w14:paraId="25EB780F" w14:textId="008EA565" w:rsidR="00CB75B5" w:rsidRDefault="00CB75B5" w:rsidP="00CB75B5">
      <w:r>
        <w:tab/>
      </w:r>
      <w:r w:rsidRPr="00CB75B5">
        <w:t xml:space="preserve">All records in the dataset show no clear relationship between </w:t>
      </w:r>
      <w:proofErr w:type="spellStart"/>
      <w:r w:rsidRPr="00CB75B5">
        <w:rPr>
          <w:b/>
          <w:bCs/>
        </w:rPr>
        <w:t>dose_strength</w:t>
      </w:r>
      <w:proofErr w:type="spellEnd"/>
      <w:r w:rsidRPr="00CB75B5">
        <w:rPr>
          <w:b/>
          <w:bCs/>
        </w:rPr>
        <w:t xml:space="preserve">, </w:t>
      </w:r>
      <w:proofErr w:type="spellStart"/>
      <w:r w:rsidRPr="00CB75B5">
        <w:rPr>
          <w:b/>
          <w:bCs/>
        </w:rPr>
        <w:t>dose_unit</w:t>
      </w:r>
      <w:proofErr w:type="spellEnd"/>
      <w:r w:rsidRPr="00CB75B5">
        <w:rPr>
          <w:b/>
          <w:bCs/>
        </w:rPr>
        <w:t xml:space="preserve">, </w:t>
      </w:r>
      <w:proofErr w:type="spellStart"/>
      <w:r w:rsidRPr="00CB75B5">
        <w:rPr>
          <w:b/>
          <w:bCs/>
        </w:rPr>
        <w:t>frequency_per_day</w:t>
      </w:r>
      <w:proofErr w:type="spellEnd"/>
      <w:r w:rsidRPr="00CB75B5">
        <w:rPr>
          <w:b/>
          <w:bCs/>
        </w:rPr>
        <w:t>, and quantity</w:t>
      </w:r>
      <w:r w:rsidRPr="00CB75B5">
        <w:t xml:space="preserve">. For example, prescriptions with the </w:t>
      </w:r>
      <w:r w:rsidRPr="00CB75B5">
        <w:rPr>
          <w:b/>
          <w:bCs/>
        </w:rPr>
        <w:t>same medication</w:t>
      </w:r>
      <w:r w:rsidRPr="00CB75B5">
        <w:t xml:space="preserve">, </w:t>
      </w:r>
      <w:r w:rsidRPr="00CB75B5">
        <w:rPr>
          <w:b/>
          <w:bCs/>
        </w:rPr>
        <w:t xml:space="preserve">same </w:t>
      </w:r>
      <w:proofErr w:type="spellStart"/>
      <w:r w:rsidRPr="00CB75B5">
        <w:rPr>
          <w:b/>
          <w:bCs/>
        </w:rPr>
        <w:t>dose_strength</w:t>
      </w:r>
      <w:proofErr w:type="spellEnd"/>
      <w:r w:rsidRPr="00CB75B5">
        <w:t xml:space="preserve">, </w:t>
      </w:r>
      <w:r w:rsidRPr="00CB75B5">
        <w:rPr>
          <w:b/>
          <w:bCs/>
        </w:rPr>
        <w:t xml:space="preserve">same </w:t>
      </w:r>
      <w:proofErr w:type="spellStart"/>
      <w:r w:rsidRPr="00CB75B5">
        <w:rPr>
          <w:b/>
          <w:bCs/>
        </w:rPr>
        <w:t>dose_unit</w:t>
      </w:r>
      <w:proofErr w:type="spellEnd"/>
      <w:r w:rsidRPr="00CB75B5">
        <w:t xml:space="preserve">, and </w:t>
      </w:r>
      <w:r w:rsidRPr="00CB75B5">
        <w:rPr>
          <w:b/>
          <w:bCs/>
        </w:rPr>
        <w:t xml:space="preserve">same </w:t>
      </w:r>
      <w:proofErr w:type="spellStart"/>
      <w:r w:rsidRPr="00CB75B5">
        <w:rPr>
          <w:b/>
          <w:bCs/>
        </w:rPr>
        <w:t>frequency_per_day</w:t>
      </w:r>
      <w:proofErr w:type="spellEnd"/>
      <w:r w:rsidRPr="00CB75B5">
        <w:t xml:space="preserve"> often have different </w:t>
      </w:r>
      <w:r w:rsidRPr="00CB75B5">
        <w:rPr>
          <w:b/>
          <w:bCs/>
        </w:rPr>
        <w:t>quantity</w:t>
      </w:r>
      <w:r w:rsidRPr="00CB75B5">
        <w:t xml:space="preserve"> values, indicating that the quantity does not correspond to the expected total medication required for the dosing schedule. The prescribing system and data entry process should be reviewed to enforce standardized dosing rules and ensure that </w:t>
      </w:r>
      <w:r w:rsidRPr="00CB75B5">
        <w:rPr>
          <w:b/>
          <w:bCs/>
        </w:rPr>
        <w:t>quantity is logically derived from the medication, dose strength, dose unit, and dosing frequency</w:t>
      </w:r>
      <w:r w:rsidRPr="00CB75B5">
        <w:t xml:space="preserve"> across all prescriptions.</w:t>
      </w:r>
    </w:p>
    <w:p w14:paraId="22697727" w14:textId="77777777" w:rsidR="00CB75B5" w:rsidRPr="00CB75B5" w:rsidRDefault="00CB75B5" w:rsidP="00CB75B5"/>
    <w:p w14:paraId="5EED5833" w14:textId="2B0FFAF4" w:rsidR="00F92BA6" w:rsidRPr="00F92BA6" w:rsidRDefault="00F92BA6" w:rsidP="00F92BA6">
      <w:pPr>
        <w:pStyle w:val="Heading2"/>
        <w:rPr>
          <w:rFonts w:asciiTheme="majorBidi" w:hAnsiTheme="majorBidi"/>
          <w:b/>
          <w:bCs/>
          <w:color w:val="000000" w:themeColor="text1"/>
        </w:rPr>
      </w:pPr>
      <w:r w:rsidRPr="00F92BA6">
        <w:rPr>
          <w:rFonts w:asciiTheme="majorBidi" w:hAnsiTheme="majorBidi"/>
          <w:b/>
          <w:bCs/>
          <w:color w:val="000000" w:themeColor="text1"/>
        </w:rPr>
        <w:t>2.8 Misclassified Patient Types in Prescription Data (414 Records)</w:t>
      </w:r>
    </w:p>
    <w:p w14:paraId="6EFB19BF" w14:textId="07A448A4" w:rsidR="00F92BA6" w:rsidRDefault="00F92BA6" w:rsidP="00F92BA6">
      <w:pPr>
        <w:rPr>
          <w:rFonts w:asciiTheme="majorBidi" w:hAnsiTheme="majorBidi" w:cstheme="majorBidi"/>
        </w:rPr>
      </w:pPr>
      <w:r>
        <w:rPr>
          <w:rFonts w:asciiTheme="majorBidi" w:hAnsiTheme="majorBidi" w:cstheme="majorBidi"/>
          <w:b/>
          <w:bCs/>
          <w:sz w:val="32"/>
          <w:szCs w:val="32"/>
        </w:rPr>
        <w:tab/>
      </w:r>
      <w:r w:rsidRPr="00F92BA6">
        <w:rPr>
          <w:rFonts w:asciiTheme="majorBidi" w:hAnsiTheme="majorBidi" w:cstheme="majorBidi"/>
        </w:rPr>
        <w:t>Four hundred fourteen records in the dataset are misclassified, with adults labeled as pediatric and newborns labeled as adults. This is a high-severity issue because incorrect patient classification can lead doctors to make inappropriate dosing or treatment decisions. The system should enforce accurate patient type classification based on age, and all 414 affected records should be reviewed and corrected.</w:t>
      </w:r>
    </w:p>
    <w:p w14:paraId="1A3682CE" w14:textId="77777777" w:rsidR="00F92BA6" w:rsidRDefault="00F92BA6" w:rsidP="00F92BA6">
      <w:pPr>
        <w:rPr>
          <w:rFonts w:asciiTheme="majorBidi" w:hAnsiTheme="majorBidi" w:cstheme="majorBidi"/>
        </w:rPr>
      </w:pPr>
    </w:p>
    <w:p w14:paraId="080C1392" w14:textId="77777777" w:rsidR="00F92BA6" w:rsidRPr="00F92BA6" w:rsidRDefault="00F92BA6" w:rsidP="00F92BA6">
      <w:pPr>
        <w:pStyle w:val="Heading2"/>
        <w:rPr>
          <w:rFonts w:asciiTheme="majorBidi" w:eastAsiaTheme="minorHAnsi" w:hAnsiTheme="majorBidi"/>
          <w:b/>
          <w:bCs/>
          <w:color w:val="000000" w:themeColor="text1"/>
        </w:rPr>
      </w:pPr>
      <w:r w:rsidRPr="00F92BA6">
        <w:rPr>
          <w:rFonts w:asciiTheme="majorBidi" w:hAnsiTheme="majorBidi"/>
          <w:b/>
          <w:bCs/>
          <w:color w:val="000000" w:themeColor="text1"/>
        </w:rPr>
        <w:t xml:space="preserve">2.9 </w:t>
      </w:r>
      <w:r w:rsidRPr="00F92BA6">
        <w:rPr>
          <w:rFonts w:asciiTheme="majorBidi" w:eastAsiaTheme="minorHAnsi" w:hAnsiTheme="majorBidi"/>
          <w:b/>
          <w:bCs/>
          <w:color w:val="000000" w:themeColor="text1"/>
        </w:rPr>
        <w:t>Prescription Dates Before Patient Birth in Dataset (20 Records)</w:t>
      </w:r>
    </w:p>
    <w:p w14:paraId="45A924D8" w14:textId="4A8CF1C8" w:rsidR="00F92BA6" w:rsidRDefault="00F92BA6" w:rsidP="00B47D5A">
      <w:pPr>
        <w:ind w:firstLine="720"/>
        <w:rPr>
          <w:rFonts w:asciiTheme="majorBidi" w:hAnsiTheme="majorBidi" w:cstheme="majorBidi"/>
        </w:rPr>
      </w:pPr>
      <w:r w:rsidRPr="00B47D5A">
        <w:rPr>
          <w:rFonts w:asciiTheme="majorBidi" w:hAnsiTheme="majorBidi" w:cstheme="majorBidi"/>
        </w:rPr>
        <w:t xml:space="preserve">Twenty prescriptions in the dataset, including Prescription IDs PRX-83569939, </w:t>
      </w:r>
      <w:r w:rsidRPr="00B47D5A">
        <w:rPr>
          <w:rFonts w:asciiTheme="majorBidi" w:hAnsiTheme="majorBidi" w:cstheme="majorBidi"/>
          <w:highlight w:val="lightGray"/>
        </w:rPr>
        <w:t>PRX-86181117</w:t>
      </w:r>
      <w:r w:rsidRPr="00B47D5A">
        <w:rPr>
          <w:rFonts w:asciiTheme="majorBidi" w:hAnsiTheme="majorBidi" w:cstheme="majorBidi"/>
        </w:rPr>
        <w:t xml:space="preserve">, </w:t>
      </w:r>
      <w:r w:rsidRPr="00B47D5A">
        <w:rPr>
          <w:rFonts w:asciiTheme="majorBidi" w:hAnsiTheme="majorBidi" w:cstheme="majorBidi"/>
          <w:highlight w:val="lightGray"/>
        </w:rPr>
        <w:t>PRX-73070585</w:t>
      </w:r>
      <w:r w:rsidRPr="00B47D5A">
        <w:rPr>
          <w:rFonts w:asciiTheme="majorBidi" w:hAnsiTheme="majorBidi" w:cstheme="majorBidi"/>
        </w:rPr>
        <w:t xml:space="preserve">, </w:t>
      </w:r>
      <w:r w:rsidRPr="00B47D5A">
        <w:rPr>
          <w:rFonts w:asciiTheme="majorBidi" w:hAnsiTheme="majorBidi" w:cstheme="majorBidi"/>
          <w:highlight w:val="lightGray"/>
        </w:rPr>
        <w:t>PRX-22799546</w:t>
      </w:r>
      <w:r w:rsidRPr="00B47D5A">
        <w:rPr>
          <w:rFonts w:asciiTheme="majorBidi" w:hAnsiTheme="majorBidi" w:cstheme="majorBidi"/>
        </w:rPr>
        <w:t xml:space="preserve">, </w:t>
      </w:r>
      <w:r w:rsidRPr="00B47D5A">
        <w:rPr>
          <w:rFonts w:asciiTheme="majorBidi" w:hAnsiTheme="majorBidi" w:cstheme="majorBidi"/>
          <w:highlight w:val="lightGray"/>
        </w:rPr>
        <w:t>PRX-37568520</w:t>
      </w:r>
      <w:r w:rsidRPr="00B47D5A">
        <w:rPr>
          <w:rFonts w:asciiTheme="majorBidi" w:hAnsiTheme="majorBidi" w:cstheme="majorBidi"/>
        </w:rPr>
        <w:t xml:space="preserve">, and others, have </w:t>
      </w:r>
      <w:proofErr w:type="spellStart"/>
      <w:r w:rsidRPr="00B47D5A">
        <w:rPr>
          <w:rFonts w:asciiTheme="majorBidi" w:hAnsiTheme="majorBidi" w:cstheme="majorBidi"/>
        </w:rPr>
        <w:t>prescription_datetime</w:t>
      </w:r>
      <w:proofErr w:type="spellEnd"/>
      <w:r w:rsidRPr="00B47D5A">
        <w:rPr>
          <w:rFonts w:asciiTheme="majorBidi" w:hAnsiTheme="majorBidi" w:cstheme="majorBidi"/>
        </w:rPr>
        <w:t xml:space="preserve"> values that occur before the patient’s </w:t>
      </w:r>
      <w:proofErr w:type="spellStart"/>
      <w:r w:rsidRPr="00B47D5A">
        <w:rPr>
          <w:rFonts w:asciiTheme="majorBidi" w:hAnsiTheme="majorBidi" w:cstheme="majorBidi"/>
        </w:rPr>
        <w:t>date_of_birth</w:t>
      </w:r>
      <w:proofErr w:type="spellEnd"/>
      <w:r w:rsidRPr="00B47D5A">
        <w:rPr>
          <w:rFonts w:asciiTheme="majorBidi" w:hAnsiTheme="majorBidi" w:cstheme="majorBidi"/>
        </w:rPr>
        <w:t xml:space="preserve">, which is logically impossible. This is a high-severity issue because it makes these records </w:t>
      </w:r>
      <w:proofErr w:type="gramStart"/>
      <w:r w:rsidRPr="00B47D5A">
        <w:rPr>
          <w:rFonts w:asciiTheme="majorBidi" w:hAnsiTheme="majorBidi" w:cstheme="majorBidi"/>
        </w:rPr>
        <w:t>medically</w:t>
      </w:r>
      <w:proofErr w:type="gramEnd"/>
      <w:r w:rsidRPr="00B47D5A">
        <w:rPr>
          <w:rFonts w:asciiTheme="majorBidi" w:hAnsiTheme="majorBidi" w:cstheme="majorBidi"/>
        </w:rPr>
        <w:t xml:space="preserve"> unreliable for doctors, pharmacists, or audits, potentially affecting clinical decisions and reporting. The prescribing system should enforce a validation rule that prevents any prescription date earlier than the patient’s birth, and all 20 affected records should be investigated for data entry or system errors.</w:t>
      </w:r>
    </w:p>
    <w:p w14:paraId="135DB17C" w14:textId="77777777" w:rsidR="00E14549" w:rsidRDefault="00E14549" w:rsidP="00E14549">
      <w:pPr>
        <w:rPr>
          <w:rFonts w:asciiTheme="majorBidi" w:hAnsiTheme="majorBidi" w:cstheme="majorBidi"/>
        </w:rPr>
      </w:pPr>
    </w:p>
    <w:p w14:paraId="0993458B" w14:textId="7DD37DB6" w:rsidR="00E14549" w:rsidRPr="00B47D5A" w:rsidRDefault="00E14549" w:rsidP="00E14549">
      <w:pPr>
        <w:rPr>
          <w:rFonts w:asciiTheme="majorBidi" w:hAnsiTheme="majorBidi" w:cstheme="majorBidi"/>
        </w:rPr>
      </w:pPr>
    </w:p>
    <w:sectPr w:rsidR="00E14549" w:rsidRPr="00B47D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36DAD"/>
    <w:multiLevelType w:val="hybridMultilevel"/>
    <w:tmpl w:val="5B867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0B55FF"/>
    <w:multiLevelType w:val="multilevel"/>
    <w:tmpl w:val="80AE159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67D2304D"/>
    <w:multiLevelType w:val="hybridMultilevel"/>
    <w:tmpl w:val="D4BE3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5B67AC"/>
    <w:multiLevelType w:val="hybridMultilevel"/>
    <w:tmpl w:val="26D41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1340341">
    <w:abstractNumId w:val="0"/>
  </w:num>
  <w:num w:numId="2" w16cid:durableId="361827515">
    <w:abstractNumId w:val="3"/>
  </w:num>
  <w:num w:numId="3" w16cid:durableId="1020160282">
    <w:abstractNumId w:val="2"/>
  </w:num>
  <w:num w:numId="4" w16cid:durableId="1394886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6D3"/>
    <w:rsid w:val="000D4EB4"/>
    <w:rsid w:val="001E74D8"/>
    <w:rsid w:val="005D56F8"/>
    <w:rsid w:val="00671C03"/>
    <w:rsid w:val="007431F9"/>
    <w:rsid w:val="007B1C6A"/>
    <w:rsid w:val="00942B06"/>
    <w:rsid w:val="00B47D5A"/>
    <w:rsid w:val="00CB75B5"/>
    <w:rsid w:val="00E14549"/>
    <w:rsid w:val="00E6356D"/>
    <w:rsid w:val="00F026D3"/>
    <w:rsid w:val="00F5205D"/>
    <w:rsid w:val="00F92B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632AC"/>
  <w15:chartTrackingRefBased/>
  <w15:docId w15:val="{4320A506-AEF7-4CC0-AE16-0E28F9290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6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6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6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6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6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6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6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6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6D3"/>
    <w:rPr>
      <w:rFonts w:eastAsiaTheme="majorEastAsia" w:cstheme="majorBidi"/>
      <w:color w:val="272727" w:themeColor="text1" w:themeTint="D8"/>
    </w:rPr>
  </w:style>
  <w:style w:type="paragraph" w:styleId="Title">
    <w:name w:val="Title"/>
    <w:basedOn w:val="Normal"/>
    <w:next w:val="Normal"/>
    <w:link w:val="TitleChar"/>
    <w:uiPriority w:val="10"/>
    <w:qFormat/>
    <w:rsid w:val="00F02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6D3"/>
    <w:pPr>
      <w:spacing w:before="160"/>
      <w:jc w:val="center"/>
    </w:pPr>
    <w:rPr>
      <w:i/>
      <w:iCs/>
      <w:color w:val="404040" w:themeColor="text1" w:themeTint="BF"/>
    </w:rPr>
  </w:style>
  <w:style w:type="character" w:customStyle="1" w:styleId="QuoteChar">
    <w:name w:val="Quote Char"/>
    <w:basedOn w:val="DefaultParagraphFont"/>
    <w:link w:val="Quote"/>
    <w:uiPriority w:val="29"/>
    <w:rsid w:val="00F026D3"/>
    <w:rPr>
      <w:i/>
      <w:iCs/>
      <w:color w:val="404040" w:themeColor="text1" w:themeTint="BF"/>
    </w:rPr>
  </w:style>
  <w:style w:type="paragraph" w:styleId="ListParagraph">
    <w:name w:val="List Paragraph"/>
    <w:basedOn w:val="Normal"/>
    <w:uiPriority w:val="34"/>
    <w:qFormat/>
    <w:rsid w:val="00F026D3"/>
    <w:pPr>
      <w:ind w:left="720"/>
      <w:contextualSpacing/>
    </w:pPr>
  </w:style>
  <w:style w:type="character" w:styleId="IntenseEmphasis">
    <w:name w:val="Intense Emphasis"/>
    <w:basedOn w:val="DefaultParagraphFont"/>
    <w:uiPriority w:val="21"/>
    <w:qFormat/>
    <w:rsid w:val="00F026D3"/>
    <w:rPr>
      <w:i/>
      <w:iCs/>
      <w:color w:val="0F4761" w:themeColor="accent1" w:themeShade="BF"/>
    </w:rPr>
  </w:style>
  <w:style w:type="paragraph" w:styleId="IntenseQuote">
    <w:name w:val="Intense Quote"/>
    <w:basedOn w:val="Normal"/>
    <w:next w:val="Normal"/>
    <w:link w:val="IntenseQuoteChar"/>
    <w:uiPriority w:val="30"/>
    <w:qFormat/>
    <w:rsid w:val="00F02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6D3"/>
    <w:rPr>
      <w:i/>
      <w:iCs/>
      <w:color w:val="0F4761" w:themeColor="accent1" w:themeShade="BF"/>
    </w:rPr>
  </w:style>
  <w:style w:type="character" w:styleId="IntenseReference">
    <w:name w:val="Intense Reference"/>
    <w:basedOn w:val="DefaultParagraphFont"/>
    <w:uiPriority w:val="32"/>
    <w:qFormat/>
    <w:rsid w:val="00F026D3"/>
    <w:rPr>
      <w:b/>
      <w:bCs/>
      <w:smallCaps/>
      <w:color w:val="0F4761" w:themeColor="accent1" w:themeShade="BF"/>
      <w:spacing w:val="5"/>
    </w:rPr>
  </w:style>
  <w:style w:type="paragraph" w:styleId="NormalWeb">
    <w:name w:val="Normal (Web)"/>
    <w:basedOn w:val="Normal"/>
    <w:uiPriority w:val="99"/>
    <w:semiHidden/>
    <w:unhideWhenUsed/>
    <w:rsid w:val="00E6356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F5959C-EE83-420F-A558-2F9CEFE81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TotalTime>
  <Pages>4</Pages>
  <Words>986</Words>
  <Characters>5622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Saleh</dc:creator>
  <cp:keywords/>
  <dc:description/>
  <cp:lastModifiedBy>Ahmad Saleh</cp:lastModifiedBy>
  <cp:revision>5</cp:revision>
  <dcterms:created xsi:type="dcterms:W3CDTF">2026-03-05T12:20:00Z</dcterms:created>
  <dcterms:modified xsi:type="dcterms:W3CDTF">2026-03-07T12:13:00Z</dcterms:modified>
</cp:coreProperties>
</file>