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E1EB" w14:textId="77777777" w:rsidR="00470743" w:rsidRPr="00470743" w:rsidRDefault="00470743" w:rsidP="00470743">
      <w:pPr>
        <w:spacing w:after="203" w:line="240" w:lineRule="auto"/>
        <w:outlineLvl w:val="0"/>
        <w:rPr>
          <w:rFonts w:ascii="Arial" w:eastAsia="Times New Roman" w:hAnsi="Arial" w:cs="Arial"/>
          <w:b/>
          <w:bCs/>
          <w:color w:val="0B82C6"/>
          <w:kern w:val="36"/>
          <w:sz w:val="58"/>
          <w:szCs w:val="58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kern w:val="36"/>
          <w:sz w:val="58"/>
          <w:szCs w:val="58"/>
          <w:lang w:eastAsia="en-NL"/>
        </w:rPr>
        <w:t>IJzer</w:t>
      </w:r>
      <w:proofErr w:type="spellEnd"/>
    </w:p>
    <w:p w14:paraId="2FB8C718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paar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rollen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5EBAAB93" w14:textId="77777777" w:rsidR="00470743" w:rsidRPr="00470743" w:rsidRDefault="00470743" w:rsidP="004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bestanddeel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hemoglobine</w:t>
      </w:r>
      <w:proofErr w:type="spellEnd"/>
    </w:p>
    <w:p w14:paraId="3A5507A9" w14:textId="77777777" w:rsidR="00470743" w:rsidRPr="00470743" w:rsidRDefault="00470743" w:rsidP="004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ondersteunt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immuunsysteem</w:t>
      </w:r>
      <w:proofErr w:type="spellEnd"/>
    </w:p>
    <w:p w14:paraId="6B13AF64" w14:textId="77777777" w:rsidR="00470743" w:rsidRPr="00470743" w:rsidRDefault="00470743" w:rsidP="00470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draagt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normale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energiestofwisseling</w:t>
      </w:r>
      <w:proofErr w:type="spellEnd"/>
    </w:p>
    <w:p w14:paraId="6D3C76BA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Hemoglobine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onderdeel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rode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bloedcellen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Deze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rode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bloedcellen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vervoeren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longen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naar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ieder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onderdeel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Zonder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kun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niet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want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verbranding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voedingsstoffen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weefsels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waarbij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energie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vrijkomt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waarmee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doet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wat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doet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43A3B0E3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Waar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zit het in</w:t>
      </w:r>
    </w:p>
    <w:p w14:paraId="79C5BCEB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Scheikundig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gezien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2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soorten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: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non-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vind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vooral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dierlijke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producten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zoals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vlees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 Non-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komt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dierlijke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plantaardige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producten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zoals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aardappelen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brood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groenten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31ED7603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Check </w:t>
      </w:r>
      <w:hyperlink r:id="rId5" w:anchor="ijzer" w:tgtFrame="_blank" w:tooltip="Opent interne link in huidig scherm" w:history="1"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‘</w:t>
        </w:r>
        <w:proofErr w:type="spellStart"/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Waar</w:t>
        </w:r>
        <w:proofErr w:type="spellEnd"/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 xml:space="preserve"> zit het in’</w:t>
        </w:r>
      </w:hyperlink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informatie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over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ijzerbronnen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bijdrage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deze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mineraalbronnen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"https://www.vitamine-info.nl/hoeveel-heb-ik-nodig/" \o "Opent interne link in huidig scherm" \t "_blank" </w:instrText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dagelijkse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7DD527A1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Hoeveel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heb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ik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nodig</w:t>
      </w:r>
      <w:proofErr w:type="spellEnd"/>
    </w:p>
    <w:p w14:paraId="755E43D2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afhankelijk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leeftijd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geslacht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volwassen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mannen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vastgesteld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11 mg.</w:t>
      </w:r>
    </w:p>
    <w:p w14:paraId="3C5CC4B4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hebben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mannen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verliezen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menstruatie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verliezen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ze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zwangerschap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vrouw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vorming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placenta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ontwikkeling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het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kindje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dagelijkse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volwassen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menopauze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daarom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16 mg. Na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menopauze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ongesteldheid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of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zwangerschap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slechts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11 mg per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geadviseerd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4DF2F925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kinderen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18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jaar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verandert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dagelijkse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per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levensfase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overzicht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ijzer-behoefte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levensfasen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vind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op ‘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"https://www.vitamine-info.nl/hoeveel-heb-ik-nodig/" \o "Opent interne link in huidig scherm" </w:instrText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Hoeveel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heb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ik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’.</w:t>
      </w:r>
    </w:p>
    <w:p w14:paraId="7D4CCC6A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Factoren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die de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opname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ijzer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beïnvloeden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 </w:t>
      </w:r>
    </w:p>
    <w:p w14:paraId="064B05C2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beïnvloed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NL"/>
        </w:rPr>
        <w:t>fysiologische</w:t>
      </w:r>
      <w:proofErr w:type="spellEnd"/>
      <w:r w:rsidRPr="00470743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NL"/>
        </w:rPr>
        <w:t>voedingsfactoren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072891B6" w14:textId="77777777" w:rsidR="00470743" w:rsidRPr="00470743" w:rsidRDefault="00470743" w:rsidP="00470743">
      <w:pPr>
        <w:spacing w:after="203" w:line="300" w:lineRule="atLeast"/>
        <w:outlineLvl w:val="2"/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  <w:t>Fysiologische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  <w:t>factoren</w:t>
      </w:r>
      <w:proofErr w:type="spellEnd"/>
    </w:p>
    <w:p w14:paraId="3A6AA95E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lastRenderedPageBreak/>
        <w:t>Fysiologische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factoren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dingen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invloed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hebben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28F0421B" w14:textId="77777777" w:rsidR="00470743" w:rsidRPr="00470743" w:rsidRDefault="00470743" w:rsidP="004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</w:p>
    <w:p w14:paraId="2424E02D" w14:textId="77777777" w:rsidR="00470743" w:rsidRPr="00470743" w:rsidRDefault="00470743" w:rsidP="004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ijzervoorraad</w:t>
      </w:r>
      <w:proofErr w:type="spellEnd"/>
    </w:p>
    <w:p w14:paraId="35B8D412" w14:textId="77777777" w:rsidR="00470743" w:rsidRPr="00470743" w:rsidRDefault="00470743" w:rsidP="00470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ijzerbehoefte</w:t>
      </w:r>
      <w:proofErr w:type="spellEnd"/>
    </w:p>
    <w:p w14:paraId="0EAC9973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ijzervoorraad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laag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of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hogere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hebt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dan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neemt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automatisch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eten.</w:t>
      </w:r>
    </w:p>
    <w:p w14:paraId="0E877B44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mate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waarin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hangt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af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leeftijd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geslacht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al in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hebt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Groepen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hogere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7E9092CD" w14:textId="77777777" w:rsidR="00470743" w:rsidRPr="00470743" w:rsidRDefault="00470743" w:rsidP="00470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kinderen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jonger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dan 3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jaar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Kinderen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eerder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extra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verbruiken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om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denkvermogen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spiercoördinatie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ontwikkelen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leiden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minder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goed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functionerend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geheugen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verstoord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leergedrag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veroorzaken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0B5CBE08" w14:textId="77777777" w:rsidR="00470743" w:rsidRPr="00470743" w:rsidRDefault="00470743" w:rsidP="00470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jongvolwassen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meisjes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menstruerende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Door het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bloedverlies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menstruatie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meisjes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7FF3009C" w14:textId="77777777" w:rsidR="00470743" w:rsidRPr="00470743" w:rsidRDefault="00470743" w:rsidP="004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hyperlink r:id="rId6" w:tgtFrame="_blank" w:tooltip="Opent interne link in huidig scherm" w:history="1">
        <w:proofErr w:type="spellStart"/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zwangere</w:t>
        </w:r>
        <w:proofErr w:type="spellEnd"/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 xml:space="preserve"> </w:t>
        </w:r>
        <w:proofErr w:type="spellStart"/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vrouwen</w:t>
        </w:r>
        <w:proofErr w:type="spellEnd"/>
      </w:hyperlink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zwangere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hemoglobine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eigen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baby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286B5A5B" w14:textId="77777777" w:rsidR="00470743" w:rsidRPr="00470743" w:rsidRDefault="00470743" w:rsidP="00470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laag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hemoglobinegehalte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39762E4D" w14:textId="77777777" w:rsidR="00470743" w:rsidRPr="00470743" w:rsidRDefault="00470743" w:rsidP="00470743">
      <w:pPr>
        <w:spacing w:after="203" w:line="300" w:lineRule="atLeast"/>
        <w:outlineLvl w:val="2"/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</w:pP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0"/>
          <w:szCs w:val="30"/>
          <w:lang w:eastAsia="en-NL"/>
        </w:rPr>
        <w:t>Voedingsfactoren</w:t>
      </w:r>
      <w:proofErr w:type="spellEnd"/>
    </w:p>
    <w:p w14:paraId="05DB0044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voeding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speelt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grote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rol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Heem-ijzer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beter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opgenomen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dan non-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Enkele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voedingsfactoren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3DA5DE56" w14:textId="77777777" w:rsidR="00470743" w:rsidRPr="00470743" w:rsidRDefault="00470743" w:rsidP="00470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Koffie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thee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verlagen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zowel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non-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1F4F5479" w14:textId="77777777" w:rsidR="00470743" w:rsidRPr="00470743" w:rsidRDefault="00470743" w:rsidP="00470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Van </w:t>
      </w:r>
      <w:hyperlink r:id="rId7" w:tgtFrame="_blank" w:tooltip="Opent interne link in huidig scherm" w:history="1">
        <w:r w:rsidRPr="00470743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calcium</w:t>
        </w:r>
      </w:hyperlink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gezegd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remt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komt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weinig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want het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gebeurt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alleen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bijzonder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calcium in je eten zit.</w:t>
      </w:r>
    </w:p>
    <w:p w14:paraId="41686785" w14:textId="77777777" w:rsidR="00470743" w:rsidRPr="00470743" w:rsidRDefault="00470743" w:rsidP="00470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Vlees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vis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"https://www.vitamine-info.nl/alle-vitamines-en-mineralen-op-een-rij/vitamine-c/" \o "Opent interne link in huidig scherm" \t "_blank" </w:instrText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vitamine</w:t>
      </w:r>
      <w:proofErr w:type="spellEnd"/>
      <w:r w:rsidRPr="00470743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C</w:t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verhogen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non-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5D5830AE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Wat is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veilig</w:t>
      </w:r>
      <w:proofErr w:type="spellEnd"/>
    </w:p>
    <w:p w14:paraId="1B507B79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Vanuit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onze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Nederlandse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Gezondheidsraad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is 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uitspraak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over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teveel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Daarom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kijken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verder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799D98E3" w14:textId="77777777" w:rsidR="00470743" w:rsidRPr="00470743" w:rsidRDefault="00470743" w:rsidP="00470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Europese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Voedsel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-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Warenautoriteit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bovengrens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teveel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vastgesteld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2DFF24B1" w14:textId="77777777" w:rsidR="00470743" w:rsidRPr="00470743" w:rsidRDefault="00470743" w:rsidP="00470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Nordic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Councel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of Ministers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houdt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25mg per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302F6741" w14:textId="77777777" w:rsidR="00470743" w:rsidRPr="00470743" w:rsidRDefault="00470743" w:rsidP="00470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lastRenderedPageBreak/>
        <w:t xml:space="preserve">het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Amerikaanse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Institute of Medicine,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afgekort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IOM,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houdt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45 mg per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 </w:t>
      </w:r>
    </w:p>
    <w:p w14:paraId="2598F0FF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lijden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ijzerstapelingsziekte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bijvoorbeeld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hemochromatose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is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maximaal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veilige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dosis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vast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stellen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77622BF1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een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ijzer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tekort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 </w:t>
      </w:r>
    </w:p>
    <w:p w14:paraId="0C3CBD6E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kunnen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klachten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ontstaan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:</w:t>
      </w:r>
    </w:p>
    <w:p w14:paraId="113BE8A0" w14:textId="77777777" w:rsidR="00470743" w:rsidRPr="00470743" w:rsidRDefault="00470743" w:rsidP="004707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duizeligheid</w:t>
      </w:r>
      <w:proofErr w:type="spellEnd"/>
    </w:p>
    <w:p w14:paraId="4257F66D" w14:textId="77777777" w:rsidR="00470743" w:rsidRPr="00470743" w:rsidRDefault="00470743" w:rsidP="004707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verminderd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concentratievermogen</w:t>
      </w:r>
      <w:proofErr w:type="spellEnd"/>
    </w:p>
    <w:p w14:paraId="43958532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duidelijk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leidt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dit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noemen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anemie</w:t>
      </w:r>
      <w:proofErr w:type="spellEnd"/>
    </w:p>
    <w:p w14:paraId="5A23A195" w14:textId="77777777" w:rsidR="00470743" w:rsidRPr="00470743" w:rsidRDefault="00470743" w:rsidP="00470743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te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veel</w:t>
      </w:r>
      <w:proofErr w:type="spellEnd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ijzer</w:t>
      </w:r>
      <w:proofErr w:type="spellEnd"/>
    </w:p>
    <w:p w14:paraId="23FAC9D7" w14:textId="77777777" w:rsidR="00470743" w:rsidRPr="00470743" w:rsidRDefault="00470743" w:rsidP="00470743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hoog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ijzergehalte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het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leiden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tot:</w:t>
      </w:r>
    </w:p>
    <w:p w14:paraId="671E087B" w14:textId="77777777" w:rsidR="00470743" w:rsidRPr="00470743" w:rsidRDefault="00470743" w:rsidP="00470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chronische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vermoeidheid</w:t>
      </w:r>
      <w:proofErr w:type="spellEnd"/>
    </w:p>
    <w:p w14:paraId="06384C8D" w14:textId="77777777" w:rsidR="00470743" w:rsidRPr="00470743" w:rsidRDefault="00470743" w:rsidP="00470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beschadiging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organen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zoals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lever, de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darmen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hart.</w:t>
      </w:r>
    </w:p>
    <w:p w14:paraId="6432C32A" w14:textId="77777777" w:rsidR="00023D6F" w:rsidRDefault="00023D6F"/>
    <w:sectPr w:rsidR="0002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63F"/>
    <w:multiLevelType w:val="multilevel"/>
    <w:tmpl w:val="EBB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C2DA9"/>
    <w:multiLevelType w:val="multilevel"/>
    <w:tmpl w:val="DF8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C75D1"/>
    <w:multiLevelType w:val="multilevel"/>
    <w:tmpl w:val="5BE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4F3A"/>
    <w:multiLevelType w:val="multilevel"/>
    <w:tmpl w:val="4FF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4834"/>
    <w:multiLevelType w:val="multilevel"/>
    <w:tmpl w:val="554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B6A85"/>
    <w:multiLevelType w:val="multilevel"/>
    <w:tmpl w:val="865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D0F2B"/>
    <w:multiLevelType w:val="multilevel"/>
    <w:tmpl w:val="38B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2328E"/>
    <w:multiLevelType w:val="multilevel"/>
    <w:tmpl w:val="407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3674C"/>
    <w:multiLevelType w:val="multilevel"/>
    <w:tmpl w:val="1770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950366">
    <w:abstractNumId w:val="6"/>
  </w:num>
  <w:num w:numId="2" w16cid:durableId="1931305587">
    <w:abstractNumId w:val="3"/>
  </w:num>
  <w:num w:numId="3" w16cid:durableId="696007853">
    <w:abstractNumId w:val="0"/>
  </w:num>
  <w:num w:numId="4" w16cid:durableId="62026731">
    <w:abstractNumId w:val="7"/>
  </w:num>
  <w:num w:numId="5" w16cid:durableId="1314678455">
    <w:abstractNumId w:val="4"/>
  </w:num>
  <w:num w:numId="6" w16cid:durableId="1444960213">
    <w:abstractNumId w:val="2"/>
  </w:num>
  <w:num w:numId="7" w16cid:durableId="1286543415">
    <w:abstractNumId w:val="1"/>
  </w:num>
  <w:num w:numId="8" w16cid:durableId="614287873">
    <w:abstractNumId w:val="5"/>
  </w:num>
  <w:num w:numId="9" w16cid:durableId="1029915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3"/>
    <w:rsid w:val="00023D6F"/>
    <w:rsid w:val="004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5D11"/>
  <w15:chartTrackingRefBased/>
  <w15:docId w15:val="{83C49B5C-F241-4271-B29F-5A222B51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470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470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Kop3">
    <w:name w:val="heading 3"/>
    <w:basedOn w:val="Standaard"/>
    <w:link w:val="Kop3Char"/>
    <w:uiPriority w:val="9"/>
    <w:qFormat/>
    <w:rsid w:val="00470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0743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Kop2Char">
    <w:name w:val="Kop 2 Char"/>
    <w:basedOn w:val="Standaardalinea-lettertype"/>
    <w:link w:val="Kop2"/>
    <w:uiPriority w:val="9"/>
    <w:rsid w:val="00470743"/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customStyle="1" w:styleId="Kop3Char">
    <w:name w:val="Kop 3 Char"/>
    <w:basedOn w:val="Standaardalinea-lettertype"/>
    <w:link w:val="Kop3"/>
    <w:uiPriority w:val="9"/>
    <w:rsid w:val="00470743"/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paragraph" w:styleId="Normaalweb">
    <w:name w:val="Normal (Web)"/>
    <w:basedOn w:val="Standaard"/>
    <w:uiPriority w:val="99"/>
    <w:semiHidden/>
    <w:unhideWhenUsed/>
    <w:rsid w:val="0047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470743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47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tamine-info.nl/alle-vitamines-en-mineralen-op-een-rij/calc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tamine-info.nl/hoeveel-heb-ik-nodig/zwanger/" TargetMode="External"/><Relationship Id="rId5" Type="http://schemas.openxmlformats.org/officeDocument/2006/relationships/hyperlink" Target="https://www.vitamine-info.nl/waar-zit-het-in/mineral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Alkhatib</dc:creator>
  <cp:keywords/>
  <dc:description/>
  <cp:lastModifiedBy>Ahmad Alkhatib</cp:lastModifiedBy>
  <cp:revision>2</cp:revision>
  <dcterms:created xsi:type="dcterms:W3CDTF">2022-09-07T09:36:00Z</dcterms:created>
  <dcterms:modified xsi:type="dcterms:W3CDTF">2022-09-07T09:36:00Z</dcterms:modified>
</cp:coreProperties>
</file>