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240"/>
        <w:jc w:val="center"/>
        <w:bidi w:val="1"/>
      </w:pPr>
      <w:r>
        <w:rPr>
          <w:rFonts w:ascii="Arial" w:hAnsi="Arial" w:cs="Arial"/>
          <w:b/>
          <w:color w:val="000000"/>
          <w:sz w:val="48"/>
          <w:rtl w:val="1"/>
        </w:rPr>
        <w:t>خارطة التنفيذ الكاملة لمشروع ميني ستور</w:t>
      </w:r>
    </w:p>
    <w:p>
      <w:pPr>
        <w:spacing w:after="360"/>
        <w:jc w:val="center"/>
        <w:bidi w:val="1"/>
      </w:pPr>
      <w:r>
        <w:rPr>
          <w:rFonts w:ascii="Arial" w:hAnsi="Arial" w:cs="Arial"/>
          <w:b w:val="0"/>
          <w:color w:val="475569"/>
          <w:sz w:val="26"/>
          <w:rtl w:val="1"/>
        </w:rPr>
        <w:t>ثماني عشرة مرحلة من تثبيت النظام حتى الإطلاق والتشغيل</w:t>
      </w:r>
    </w:p>
    <w:p>
      <w:pPr>
        <w:spacing w:after="240" w:line="288" w:lineRule="auto"/>
        <w:jc w:val="right"/>
        <w:bidi w:val="1"/>
      </w:pPr>
      <w:r>
        <w:rPr>
          <w:rFonts w:ascii="Arial" w:hAnsi="Arial" w:cs="Arial"/>
          <w:b w:val="0"/>
          <w:color w:val="000000"/>
          <w:sz w:val="23"/>
          <w:rtl w:val="1"/>
        </w:rPr>
        <w:t>تنظم هذه الخارطة جميع مراحل تطوير مشروع ميني ستور حسب الاعتماد الفعلي بين المشتريات والمخزون والمحاسبة والمبيعات والصلاحيات والتشغيل. الكود والترحيلات والاختبارات هي مصدر الحقيقة، لذلك توضح الخطة حالة كل مرحلة وما اكتمل وما يزال مطلوبًا، ولا تعتبر وجود المرحلة في الخطة دليلًا على اكتمالها.</w:t>
      </w:r>
    </w:p>
    <w:p>
      <w:pPr>
        <w:pStyle w:val="Heading1"/>
        <w:jc w:val="right"/>
        <w:bidi w:val="1"/>
        <w:keepNext/>
      </w:pPr>
      <w:r>
        <w:rPr>
          <w:rFonts w:ascii="Arial" w:hAnsi="Arial" w:cs="Arial"/>
          <w:b/>
          <w:color w:val="000000"/>
          <w:sz w:val="32"/>
          <w:rtl w:val="1"/>
        </w:rPr>
        <w:t>الملخص التنفيذي</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331"/>
        <w:gridCol w:w="3331"/>
        <w:gridCol w:w="3331"/>
      </w:tblGrid>
      <w:tr>
        <w:tc>
          <w:tcPr>
            <w:tcW w:type="dxa" w:w="1656"/>
            <w:vAlign w:val="center"/>
            <w:shd w:fill="1F4E78"/>
            <w:tcMar>
              <w:top w:w="120" w:type="dxa"/>
              <w:start w:w="120" w:type="dxa"/>
              <w:bottom w:w="120" w:type="dxa"/>
              <w:end w:w="120" w:type="dxa"/>
            </w:tcMar>
          </w:tcPr>
          <w:p>
            <w:pPr>
              <w:jc w:val="center"/>
              <w:bidi w:val="1"/>
            </w:pPr>
            <w:r>
              <w:rPr>
                <w:rFonts w:ascii="Arial" w:hAnsi="Arial" w:cs="Arial"/>
                <w:b/>
                <w:color w:val="FFFFFF"/>
                <w:sz w:val="22"/>
                <w:rtl w:val="1"/>
              </w:rPr>
              <w:t>النطاق</w:t>
            </w:r>
          </w:p>
        </w:tc>
        <w:tc>
          <w:tcPr>
            <w:tcW w:type="dxa" w:w="5112"/>
            <w:vAlign w:val="center"/>
            <w:shd w:fill="1F4E78"/>
            <w:tcMar>
              <w:top w:w="120" w:type="dxa"/>
              <w:start w:w="120" w:type="dxa"/>
              <w:bottom w:w="120" w:type="dxa"/>
              <w:end w:w="120" w:type="dxa"/>
            </w:tcMar>
          </w:tcPr>
          <w:p>
            <w:pPr>
              <w:jc w:val="center"/>
              <w:bidi w:val="1"/>
            </w:pPr>
            <w:r>
              <w:rPr>
                <w:rFonts w:ascii="Arial" w:hAnsi="Arial" w:cs="Arial"/>
                <w:b/>
                <w:color w:val="FFFFFF"/>
                <w:sz w:val="22"/>
                <w:rtl w:val="1"/>
              </w:rPr>
              <w:t>الوضع</w:t>
            </w:r>
          </w:p>
        </w:tc>
        <w:tc>
          <w:tcPr>
            <w:tcW w:type="dxa" w:w="2664"/>
            <w:vAlign w:val="center"/>
            <w:shd w:fill="1F4E78"/>
            <w:tcMar>
              <w:top w:w="120" w:type="dxa"/>
              <w:start w:w="120" w:type="dxa"/>
              <w:bottom w:w="120" w:type="dxa"/>
              <w:end w:w="120" w:type="dxa"/>
            </w:tcMar>
          </w:tcPr>
          <w:p>
            <w:pPr>
              <w:jc w:val="center"/>
              <w:bidi w:val="1"/>
            </w:pPr>
            <w:r>
              <w:rPr>
                <w:rFonts w:ascii="Arial" w:hAnsi="Arial" w:cs="Arial"/>
                <w:b/>
                <w:color w:val="FFFFFF"/>
                <w:sz w:val="22"/>
                <w:rtl w:val="1"/>
              </w:rPr>
              <w:t>الأولوية</w:t>
            </w:r>
          </w:p>
        </w:tc>
      </w:tr>
      <w:tr>
        <w:tc>
          <w:tcPr>
            <w:tcW w:type="dxa" w:w="1656"/>
            <w:vAlign w:val="center"/>
            <w:tcMar>
              <w:top w:w="120" w:type="dxa"/>
              <w:start w:w="120" w:type="dxa"/>
              <w:bottom w:w="120" w:type="dxa"/>
              <w:end w:w="120" w:type="dxa"/>
            </w:tcMar>
          </w:tcPr>
          <w:p>
            <w:pPr>
              <w:jc w:val="center"/>
              <w:bidi w:val="1"/>
            </w:pPr>
            <w:r>
              <w:rPr>
                <w:rFonts w:ascii="Arial" w:hAnsi="Arial" w:cs="Arial"/>
                <w:b w:val="0"/>
                <w:color w:val="000000"/>
                <w:sz w:val="20"/>
                <w:rtl w:val="1"/>
              </w:rPr>
              <w:t>المشتريات</w:t>
            </w:r>
          </w:p>
        </w:tc>
        <w:tc>
          <w:tcPr>
            <w:tcW w:type="dxa" w:w="5112"/>
            <w:vAlign w:val="center"/>
            <w:tcMar>
              <w:top w:w="120" w:type="dxa"/>
              <w:start w:w="120" w:type="dxa"/>
              <w:bottom w:w="120" w:type="dxa"/>
              <w:end w:w="120" w:type="dxa"/>
            </w:tcMar>
          </w:tcPr>
          <w:p>
            <w:pPr>
              <w:jc w:val="right"/>
              <w:bidi w:val="1"/>
            </w:pPr>
            <w:r>
              <w:rPr>
                <w:rFonts w:ascii="Arial" w:hAnsi="Arial" w:cs="Arial"/>
                <w:b w:val="0"/>
                <w:color w:val="000000"/>
                <w:sz w:val="20"/>
                <w:rtl w:val="1"/>
              </w:rPr>
              <w:t>الدورة الحديثة مكتملة حتى التحليلات المتقدمة وإيقاف الإنشاء القديم</w:t>
            </w:r>
          </w:p>
        </w:tc>
        <w:tc>
          <w:tcPr>
            <w:tcW w:type="dxa" w:w="2664"/>
            <w:vAlign w:val="center"/>
            <w:tcMar>
              <w:top w:w="120" w:type="dxa"/>
              <w:start w:w="120" w:type="dxa"/>
              <w:bottom w:w="120" w:type="dxa"/>
              <w:end w:w="120" w:type="dxa"/>
            </w:tcMar>
          </w:tcPr>
          <w:p>
            <w:pPr>
              <w:jc w:val="center"/>
              <w:bidi w:val="1"/>
            </w:pPr>
            <w:r>
              <w:rPr>
                <w:rFonts w:ascii="Arial" w:hAnsi="Arial" w:cs="Arial"/>
                <w:b/>
                <w:color w:val="000000"/>
                <w:sz w:val="20"/>
                <w:rtl w:val="1"/>
              </w:rPr>
              <w:t>صيانة ومراقبة</w:t>
            </w:r>
          </w:p>
        </w:tc>
      </w:tr>
      <w:tr>
        <w:tc>
          <w:tcPr>
            <w:tcW w:type="dxa" w:w="1656"/>
            <w:vAlign w:val="center"/>
            <w:tcMar>
              <w:top w:w="120" w:type="dxa"/>
              <w:start w:w="120" w:type="dxa"/>
              <w:bottom w:w="120" w:type="dxa"/>
              <w:end w:w="120" w:type="dxa"/>
            </w:tcMar>
            <w:shd w:fill="EAF2F8"/>
          </w:tcPr>
          <w:p>
            <w:pPr>
              <w:jc w:val="center"/>
              <w:bidi w:val="1"/>
            </w:pPr>
            <w:r>
              <w:rPr>
                <w:rFonts w:ascii="Arial" w:hAnsi="Arial" w:cs="Arial"/>
                <w:b w:val="0"/>
                <w:color w:val="000000"/>
                <w:sz w:val="20"/>
                <w:rtl w:val="1"/>
              </w:rPr>
              <w:t>المبيعات</w:t>
            </w:r>
          </w:p>
        </w:tc>
        <w:tc>
          <w:tcPr>
            <w:tcW w:type="dxa" w:w="5112"/>
            <w:vAlign w:val="center"/>
            <w:tcMar>
              <w:top w:w="120" w:type="dxa"/>
              <w:start w:w="120" w:type="dxa"/>
              <w:bottom w:w="120" w:type="dxa"/>
              <w:end w:w="120" w:type="dxa"/>
            </w:tcMar>
            <w:shd w:fill="EAF2F8"/>
          </w:tcPr>
          <w:p>
            <w:pPr>
              <w:jc w:val="right"/>
              <w:bidi w:val="1"/>
            </w:pPr>
            <w:r>
              <w:rPr>
                <w:rFonts w:ascii="Arial" w:hAnsi="Arial" w:cs="Arial"/>
                <w:b w:val="0"/>
                <w:color w:val="000000"/>
                <w:sz w:val="20"/>
                <w:rtl w:val="1"/>
              </w:rPr>
              <w:t>مكتملة حتى استلام المرتجع وفحصه</w:t>
            </w:r>
          </w:p>
        </w:tc>
        <w:tc>
          <w:tcPr>
            <w:tcW w:type="dxa" w:w="2664"/>
            <w:vAlign w:val="center"/>
            <w:tcMar>
              <w:top w:w="120" w:type="dxa"/>
              <w:start w:w="120" w:type="dxa"/>
              <w:bottom w:w="120" w:type="dxa"/>
              <w:end w:w="120" w:type="dxa"/>
            </w:tcMar>
            <w:shd w:fill="EAF2F8"/>
          </w:tcPr>
          <w:p>
            <w:pPr>
              <w:jc w:val="center"/>
              <w:bidi w:val="1"/>
            </w:pPr>
            <w:r>
              <w:rPr>
                <w:rFonts w:ascii="Arial" w:hAnsi="Arial" w:cs="Arial"/>
                <w:b/>
                <w:color w:val="000000"/>
                <w:sz w:val="20"/>
                <w:rtl w:val="1"/>
              </w:rPr>
              <w:t>إكمال ترحيل المرتجع</w:t>
            </w:r>
          </w:p>
        </w:tc>
      </w:tr>
      <w:tr>
        <w:tc>
          <w:tcPr>
            <w:tcW w:type="dxa" w:w="1656"/>
            <w:vAlign w:val="center"/>
            <w:tcMar>
              <w:top w:w="120" w:type="dxa"/>
              <w:start w:w="120" w:type="dxa"/>
              <w:bottom w:w="120" w:type="dxa"/>
              <w:end w:w="120" w:type="dxa"/>
            </w:tcMar>
          </w:tcPr>
          <w:p>
            <w:pPr>
              <w:jc w:val="center"/>
              <w:bidi w:val="1"/>
            </w:pPr>
            <w:r>
              <w:rPr>
                <w:rFonts w:ascii="Arial" w:hAnsi="Arial" w:cs="Arial"/>
                <w:b w:val="0"/>
                <w:color w:val="000000"/>
                <w:sz w:val="20"/>
                <w:rtl w:val="1"/>
              </w:rPr>
              <w:t>المستودعات</w:t>
            </w:r>
          </w:p>
        </w:tc>
        <w:tc>
          <w:tcPr>
            <w:tcW w:type="dxa" w:w="5112"/>
            <w:vAlign w:val="center"/>
            <w:tcMar>
              <w:top w:w="120" w:type="dxa"/>
              <w:start w:w="120" w:type="dxa"/>
              <w:bottom w:w="120" w:type="dxa"/>
              <w:end w:w="120" w:type="dxa"/>
            </w:tcMar>
          </w:tcPr>
          <w:p>
            <w:pPr>
              <w:jc w:val="right"/>
              <w:bidi w:val="1"/>
            </w:pPr>
            <w:r>
              <w:rPr>
                <w:rFonts w:ascii="Arial" w:hAnsi="Arial" w:cs="Arial"/>
                <w:b w:val="0"/>
                <w:color w:val="000000"/>
                <w:sz w:val="20"/>
                <w:rtl w:val="1"/>
              </w:rPr>
              <w:t>قدرات متقدمة منفذة والمسار متوقف مؤقتًا</w:t>
            </w:r>
          </w:p>
        </w:tc>
        <w:tc>
          <w:tcPr>
            <w:tcW w:type="dxa" w:w="2664"/>
            <w:vAlign w:val="center"/>
            <w:tcMar>
              <w:top w:w="120" w:type="dxa"/>
              <w:start w:w="120" w:type="dxa"/>
              <w:bottom w:w="120" w:type="dxa"/>
              <w:end w:w="120" w:type="dxa"/>
            </w:tcMar>
          </w:tcPr>
          <w:p>
            <w:pPr>
              <w:jc w:val="center"/>
              <w:bidi w:val="1"/>
            </w:pPr>
            <w:r>
              <w:rPr>
                <w:rFonts w:ascii="Arial" w:hAnsi="Arial" w:cs="Arial"/>
                <w:b/>
                <w:color w:val="000000"/>
                <w:sz w:val="20"/>
                <w:rtl w:val="1"/>
              </w:rPr>
              <w:t>بعد المبيعات</w:t>
            </w:r>
          </w:p>
        </w:tc>
      </w:tr>
      <w:tr>
        <w:tc>
          <w:tcPr>
            <w:tcW w:type="dxa" w:w="1656"/>
            <w:vAlign w:val="center"/>
            <w:tcMar>
              <w:top w:w="120" w:type="dxa"/>
              <w:start w:w="120" w:type="dxa"/>
              <w:bottom w:w="120" w:type="dxa"/>
              <w:end w:w="120" w:type="dxa"/>
            </w:tcMar>
            <w:shd w:fill="EAF2F8"/>
          </w:tcPr>
          <w:p>
            <w:pPr>
              <w:jc w:val="center"/>
              <w:bidi w:val="1"/>
            </w:pPr>
            <w:r>
              <w:rPr>
                <w:rFonts w:ascii="Arial" w:hAnsi="Arial" w:cs="Arial"/>
                <w:b w:val="0"/>
                <w:color w:val="000000"/>
                <w:sz w:val="20"/>
                <w:rtl w:val="1"/>
              </w:rPr>
              <w:t>التشغيل</w:t>
            </w:r>
          </w:p>
        </w:tc>
        <w:tc>
          <w:tcPr>
            <w:tcW w:type="dxa" w:w="5112"/>
            <w:vAlign w:val="center"/>
            <w:tcMar>
              <w:top w:w="120" w:type="dxa"/>
              <w:start w:w="120" w:type="dxa"/>
              <w:bottom w:w="120" w:type="dxa"/>
              <w:end w:w="120" w:type="dxa"/>
            </w:tcMar>
            <w:shd w:fill="EAF2F8"/>
          </w:tcPr>
          <w:p>
            <w:pPr>
              <w:jc w:val="right"/>
              <w:bidi w:val="1"/>
            </w:pPr>
            <w:r>
              <w:rPr>
                <w:rFonts w:ascii="Arial" w:hAnsi="Arial" w:cs="Arial"/>
                <w:b w:val="0"/>
                <w:color w:val="000000"/>
                <w:sz w:val="20"/>
                <w:rtl w:val="1"/>
              </w:rPr>
              <w:t>التحقق محلي فقط ولا يوجد إثبات إنتاج</w:t>
            </w:r>
          </w:p>
        </w:tc>
        <w:tc>
          <w:tcPr>
            <w:tcW w:type="dxa" w:w="2664"/>
            <w:vAlign w:val="center"/>
            <w:tcMar>
              <w:top w:w="120" w:type="dxa"/>
              <w:start w:w="120" w:type="dxa"/>
              <w:bottom w:w="120" w:type="dxa"/>
              <w:end w:w="120" w:type="dxa"/>
            </w:tcMar>
            <w:shd w:fill="EAF2F8"/>
          </w:tcPr>
          <w:p>
            <w:pPr>
              <w:jc w:val="center"/>
              <w:bidi w:val="1"/>
            </w:pPr>
            <w:r>
              <w:rPr>
                <w:rFonts w:ascii="Arial" w:hAnsi="Arial" w:cs="Arial"/>
                <w:b/>
                <w:color w:val="000000"/>
                <w:sz w:val="20"/>
                <w:rtl w:val="1"/>
              </w:rPr>
              <w:t>قبل الإطلاق</w:t>
            </w:r>
          </w:p>
        </w:tc>
      </w:tr>
    </w:tbl>
    <w:p>
      <w:pPr>
        <w:spacing w:after="200" w:line="288" w:lineRule="auto"/>
        <w:jc w:val="right"/>
        <w:bidi w:val="1"/>
      </w:pPr>
      <w:r>
        <w:rPr>
          <w:rFonts w:ascii="Arial" w:hAnsi="Arial" w:cs="Arial"/>
          <w:b/>
          <w:color w:val="000000"/>
          <w:sz w:val="23"/>
          <w:rtl w:val="1"/>
        </w:rPr>
        <w:t xml:space="preserve">الأولوية الحالية  </w:t>
      </w:r>
      <w:r>
        <w:rPr>
          <w:rFonts w:ascii="Arial" w:hAnsi="Arial" w:cs="Arial"/>
          <w:b w:val="0"/>
          <w:color w:val="000000"/>
          <w:sz w:val="23"/>
          <w:rtl w:val="1"/>
        </w:rPr>
        <w:t>تنفيذ ترحيل قرارات فحص مرتجعات الزبائن إلى المخزون والتتبع وعكس التكلفة، ثم إنشاء الإشعار الدائن والاسترداد أو الرصيد بصورة مستقلة. يجب أيضًا تصحيح ملفات التخطيط القديمة التي لا تزال تعرض مرحلة سابقة باعتبارها المهمة التالية.</w:t>
      </w:r>
    </w:p>
    <w:p>
      <w:r>
        <w:br w:type="page"/>
      </w:r>
    </w:p>
    <w:p>
      <w:pPr>
        <w:pStyle w:val="Heading1"/>
        <w:spacing w:before="180" w:after="100"/>
        <w:jc w:val="right"/>
        <w:bidi w:val="1"/>
        <w:keepNext/>
      </w:pPr>
      <w:r>
        <w:rPr>
          <w:rFonts w:ascii="Arial" w:hAnsi="Arial" w:cs="Arial"/>
          <w:b/>
          <w:color w:val="000000"/>
          <w:sz w:val="32"/>
          <w:rtl w:val="1"/>
        </w:rPr>
        <w:t>الخطوة 1  تثبيت الوضع الحالي</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مكتملة إلى حد كبير، مع بقاء رحلات قبول تشغيلية دورية.</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تحديث الوثائق وحالات المهام لتطابق الكود والترحيلات الفعلية.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تشغيل رحلة المشتريات كاملة من طلب الشراء حتى الاستلام والفاتورة والمطابقة والدفع والتكلفة الإضافية والتقارير.</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اختبار الاستلام والفوترة الجزئيين، وإعادة المحاولة، ومنع التكرار، والتزامن.</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تسجيل نسخة مرجعية مستقرة قبل فتح أي مسار وظيفي جديد.</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نجاح رحلة قبول كاملة بصلاحيات مستخدم حقيقية وعدم وجود فجوة توثيقية معروفة.</w:t>
      </w:r>
    </w:p>
    <w:p>
      <w:pPr>
        <w:pStyle w:val="Heading1"/>
        <w:spacing w:before="180" w:after="100"/>
        <w:jc w:val="right"/>
        <w:bidi w:val="1"/>
        <w:keepNext/>
      </w:pPr>
      <w:r>
        <w:rPr>
          <w:rFonts w:ascii="Arial" w:hAnsi="Arial" w:cs="Arial"/>
          <w:b/>
          <w:color w:val="000000"/>
          <w:sz w:val="32"/>
          <w:rtl w:val="1"/>
        </w:rPr>
        <w:t>الخطوة 2  إغلاق خط الأمان الأساسي</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مكتملة لبيئة العرض المحلية، وغير مثبتة بعد لكل بيئة إنتاجية.</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تغيير بيانات المدير التي سبق وجودها في المستودع وإبطال الجلسات القديمة في كل بيئة مكتشفة.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إبقاء الأسرار في إعدادات تشغيل محمية وعدم وضعها في الكود أو الوثائق.</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فرض اتصال مشفر وموثوق بقاعدة البيانات وضبط أسماء المضيفين المسموحة.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مراجعة صلاحيات العمليات الحساسة والتدقيق والاحتفاظ بالسجلات.</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تحديد المسؤول عن النسخ الاحتياطي والتنبيهات والاستجابة للحوادث.</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إغلاق مخاطر بيانات الدخول المعروفة ووجود دليل أمني وتشغيلي لكل بيئة فعلية.</w:t>
      </w:r>
    </w:p>
    <w:p>
      <w:r>
        <w:br w:type="page"/>
      </w:r>
    </w:p>
    <w:p>
      <w:pPr>
        <w:pStyle w:val="Heading1"/>
        <w:spacing w:before="180" w:after="100"/>
        <w:jc w:val="right"/>
        <w:bidi w:val="1"/>
        <w:keepNext/>
      </w:pPr>
      <w:r>
        <w:rPr>
          <w:rFonts w:ascii="Arial" w:hAnsi="Arial" w:cs="Arial"/>
          <w:b/>
          <w:color w:val="000000"/>
          <w:sz w:val="32"/>
          <w:rtl w:val="1"/>
        </w:rPr>
        <w:t>الخطوة 3  مطابقة المخزون والمحاسبة</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منفذة لمسارات رئيسية في المخزون والمشتريات، وتبقى المطابقة المالية الشاملة والتشغيلية الدورية.</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مقارنة قيمة المخزون الفعلية برصيد حساب المخزون في دفتر الأستاذ العام.</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مطابقة البضاعة المستلمة غير المفوترة مع الاستلامات وفواتير الموردين والمرتجعات.</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عرض الفروقات حسب الشركة والفترة والمستودع والمنتج والمستند.</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الانتقال من كل فرق إلى حركة المخزون والمستند والقيد المسببين له.</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إبقاء المصالحة للقراءة فقط ومنع التصحيح التلقائي غير المراجع.</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تفسير جميع الفروقات أو إثبات التطابق ضمن حدود الدقة المعتمدة.</w:t>
      </w:r>
    </w:p>
    <w:p>
      <w:pPr>
        <w:pStyle w:val="Heading1"/>
        <w:spacing w:before="180" w:after="100"/>
        <w:jc w:val="right"/>
        <w:bidi w:val="1"/>
        <w:keepNext/>
      </w:pPr>
      <w:r>
        <w:rPr>
          <w:rFonts w:ascii="Arial" w:hAnsi="Arial" w:cs="Arial"/>
          <w:b/>
          <w:color w:val="000000"/>
          <w:sz w:val="32"/>
          <w:rtl w:val="1"/>
        </w:rPr>
        <w:t>الخطوة 4  عكس وتصحيح المستندات</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منفذة لأربعة مستندات شراء رئيسية، وتبقى التغطية لبقية المستندات.</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استخدام إشعارات المورد الدائنة عند إرجاع بضاعة مفوترة.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إضافة عكس مضبوط للاستلام والفاتورة والدفع وبقية المستندات المرحلة حسب قواعد كل نوع.</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منع حذف المستند المرحل أو تعديله مباشرة.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حفظ سبب العكس والمنفذ والوقت والمستند الأصلي والمستند العاكس.</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احترام الفترة المحاسبية والصلاحيات ومنع التنفيذ المكرر.</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إمكانية تصحيح كل حالة مدعومة بمستندات عكس متوازنة وقابلة للتدقيق.</w:t>
      </w:r>
    </w:p>
    <w:p>
      <w:r>
        <w:br w:type="page"/>
      </w:r>
    </w:p>
    <w:p>
      <w:pPr>
        <w:pStyle w:val="Heading1"/>
        <w:spacing w:before="180" w:after="100"/>
        <w:jc w:val="right"/>
        <w:bidi w:val="1"/>
        <w:keepNext/>
      </w:pPr>
      <w:r>
        <w:rPr>
          <w:rFonts w:ascii="Arial" w:hAnsi="Arial" w:cs="Arial"/>
          <w:b/>
          <w:color w:val="000000"/>
          <w:sz w:val="32"/>
          <w:rtl w:val="1"/>
        </w:rPr>
        <w:t>الخطوة 5  التقارير المالية والإقفال</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منفذة جزئيًا؛ توجد قيود وفترات مالية، بينما القوائم المالية المتكاملة ما زالت ناقصة.</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إكمال ميزان المراجعة وكشف دفتر الأستاذ العام.</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إكمال أعمار ديون الموردين والزبائن وربطها بالمستندات.</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إنتاج قائمة الدخل والميزانية العمومية من الحسابات المصدرية.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إعداد قائمة تحقق لإقفال الفترة وتسوية الفروقات قبل الإغلاق.</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ترحيل الأثر المالي لتسويات المخزون اليدوية وفق سياسة معتمدة.</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تطابق التقارير مع القيود وتمكن المستخدم المخول من إقفال الفترة ومراجعتها.</w:t>
      </w:r>
    </w:p>
    <w:p>
      <w:pPr>
        <w:pStyle w:val="Heading1"/>
        <w:spacing w:before="180" w:after="100"/>
        <w:jc w:val="right"/>
        <w:bidi w:val="1"/>
        <w:keepNext/>
      </w:pPr>
      <w:r>
        <w:rPr>
          <w:rFonts w:ascii="Arial" w:hAnsi="Arial" w:cs="Arial"/>
          <w:b/>
          <w:color w:val="000000"/>
          <w:sz w:val="32"/>
          <w:rtl w:val="1"/>
        </w:rPr>
        <w:t>الخطوة 6  إدارة الشركات والمستخدمين</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منفذة جزئيًا؛ العضويات والأدوار موجودة، وتبقى دورة الدعوات والتبديل ونطاق البيانات.</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إضافة تبديل الشركة النشطة من الواجهة بأمان.</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دعوة مستخدم جديد وربط مستخدم موجود بشركة.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إدارة الأدوار والتعيينات ضمن سقف تفويض يمنع رفع الصلاحيات غير المشروع.</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تقييد البيانات حسب الفرع والمستودع ونقطة البيع.</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تسجيل القيم قبل وبعد تغييرات العضوية والصلاحيات.</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إدارة دورة حياة المستخدم كاملة من الواجهة مع عزل الشركات واختبارات تجاوز الصلاحيات.</w:t>
      </w:r>
    </w:p>
    <w:p>
      <w:r>
        <w:br w:type="page"/>
      </w:r>
    </w:p>
    <w:p>
      <w:pPr>
        <w:pStyle w:val="Heading1"/>
        <w:spacing w:before="180" w:after="100"/>
        <w:jc w:val="right"/>
        <w:bidi w:val="1"/>
        <w:keepNext/>
      </w:pPr>
      <w:r>
        <w:rPr>
          <w:rFonts w:ascii="Arial" w:hAnsi="Arial" w:cs="Arial"/>
          <w:b/>
          <w:color w:val="000000"/>
          <w:sz w:val="32"/>
          <w:rtl w:val="1"/>
        </w:rPr>
        <w:t>الخطوة 7  إدارة الزبائن</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منفذة بدرجة كبيرة حتى ملف الزبون وجهات الاتصال والعناوين والسياسات التجارية، وتبقى قدرات الائتمان المتقدمة.</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الحفاظ على ملف موحد للزبون وجهات الاتصال والهواتف والعناوين والرقم الضريبي.</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إدارة شروط الدفع والعملة والتصنيف والسياسة الائتمانية دون تغيير التاريخ المرحل.</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توفير سجل تعاملات وملاحظات بصلاحيات مناسبة.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دعم البحث بالاسم والهاتف والرقم ومنع التكرار بقواعد وفهارس مناسبة.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إبقاء بيانات التعريف منفصلة عن الأرصدة المالية المشتقة.</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مصدر موحد وآمن لبيانات الزبون تعتمد عليه المبيعات والحسابات.</w:t>
      </w:r>
    </w:p>
    <w:p>
      <w:pPr>
        <w:pStyle w:val="Heading1"/>
        <w:spacing w:before="180" w:after="100"/>
        <w:jc w:val="right"/>
        <w:bidi w:val="1"/>
        <w:keepNext/>
      </w:pPr>
      <w:r>
        <w:rPr>
          <w:rFonts w:ascii="Arial" w:hAnsi="Arial" w:cs="Arial"/>
          <w:b/>
          <w:color w:val="000000"/>
          <w:sz w:val="32"/>
          <w:rtl w:val="1"/>
        </w:rPr>
        <w:t>الخطوة 8  التسعير والعروض</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أساس التسعير وقوائم الأسعار وعروض الأسعار منفذ، بينما العروض الترويجية والموافقات المتقدمة لاحقة.</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دعم قوائم أسعار حسب الشركة والقناة ومجموعة الزبائن.</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تطبيق أسعار خاصة بالزبون وترتيب أولوية حتمي عند التعارض.</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إدارة الخصومات وحدودها وصلاحيات تجاوزها.</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ضبط فترات الصلاحية والحد الأدنى للكمية ومنع التداخل غير المحدد.</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حفظ السعر الأصلي ومصدر السعر والخصم النهائي والضريبة على المستند.</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نتيجة سعر حتمية وقابلة للتفسير لكل سطر بيع.</w:t>
      </w:r>
    </w:p>
    <w:p>
      <w:r>
        <w:br w:type="page"/>
      </w:r>
    </w:p>
    <w:p>
      <w:pPr>
        <w:pStyle w:val="Heading1"/>
        <w:spacing w:before="180" w:after="100"/>
        <w:jc w:val="right"/>
        <w:bidi w:val="1"/>
        <w:keepNext/>
      </w:pPr>
      <w:r>
        <w:rPr>
          <w:rFonts w:ascii="Arial" w:hAnsi="Arial" w:cs="Arial"/>
          <w:b/>
          <w:color w:val="000000"/>
          <w:sz w:val="32"/>
          <w:rtl w:val="1"/>
        </w:rPr>
        <w:t>الخطوة 9  إكمال دورة المبيعات</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منفذة من العرض حتى التسليم والفاتورة وترحيل الذمم والتحصيل، ووصلت إلى فحص المرتجعات.</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الحفاظ على تسلسل العرض وطلب البيع والحجز والتسليم والفاتورة والتحصيل والإغلاق.</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دعم البيع النقدي والآجل والتسليم والفوترة الجزئيين.</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إكمال فحص الحد الائتماني وسياسة التجاوز والموافقة.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استخدام أسماء المنتجات والبحث بالاسم والباركود مع إبقاء المعرفات داخلية.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تثبيت السعر والضريبة والخصم والتكلفة اللازمة للتدقيق.</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رحلة بيع مترابطة من الطلب إلى التحصيل والمرتجع مع آثار مخزنية ومحاسبية صحيحة.</w:t>
      </w:r>
    </w:p>
    <w:p>
      <w:pPr>
        <w:pStyle w:val="Heading1"/>
        <w:spacing w:before="180" w:after="100"/>
        <w:jc w:val="right"/>
        <w:bidi w:val="1"/>
        <w:keepNext/>
      </w:pPr>
      <w:r>
        <w:rPr>
          <w:rFonts w:ascii="Arial" w:hAnsi="Arial" w:cs="Arial"/>
          <w:b/>
          <w:color w:val="000000"/>
          <w:sz w:val="32"/>
          <w:rtl w:val="1"/>
        </w:rPr>
        <w:t>الخطوة 10  حسابات الزبائن والتحصيل</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النواة منفذة بفواتير مرحلة ودفعات مستقلة وتخصيص جزئي وعكس مضبوط؛ تبقى الأعمار والكشوف المتقدمة.</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دعم الدفعات النقدية والبنكية والدفعات المقدمة وفق سياسة واضحة.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توزيع الدفعة على فاتورة واحدة أو عدة فواتير ودعم السداد الجزئي.</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منع تجاوز الرصيد عند التنفيذ المتزامن.</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إكمال كشف حساب الزبون والفواتير المستحقة والمتأخرة.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ربط التحصيل بقيد محاسبي ومصدر دفع واضح ودعم فروق الصرف.</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إمكانية تفسير رصيد كل زبون من الفواتير والدفعات والتخصيصات والقيود.</w:t>
      </w:r>
    </w:p>
    <w:p>
      <w:r>
        <w:br w:type="page"/>
      </w:r>
    </w:p>
    <w:p>
      <w:pPr>
        <w:pStyle w:val="Heading1"/>
        <w:spacing w:before="180" w:after="100"/>
        <w:jc w:val="right"/>
        <w:bidi w:val="1"/>
        <w:keepNext/>
      </w:pPr>
      <w:r>
        <w:rPr>
          <w:rFonts w:ascii="Arial" w:hAnsi="Arial" w:cs="Arial"/>
          <w:b/>
          <w:color w:val="000000"/>
          <w:sz w:val="32"/>
          <w:rtl w:val="1"/>
        </w:rPr>
        <w:t>الخطوة 11  مرتجعات المبيعات والإشعارات الدائنة</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قيد التنفيذ حاليًا؛ طلب المرتجع والاستلام والفحص مكتملة، وترحيل قرار المخزون هو المهمة التالية.</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ترحيل قرار الفحص وإعادة المقبول إلى المخزون والتتبع بالتكلفة التاريخية.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إبقاء المحجور غير متاح وعدم إدخال المرفوض أو المتلف إلى الرصيد.</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عكس تكلفة البضاعة المباعة عند انطباقه دون إنشاء إشعار دائن مبكر.</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إنشاء إشعار دائن مستقل يعكس الإيراد والضريبة والذمم ويرتبط بالفاتورة والمرتجع.</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دعم رد المبلغ أو إبقائه رصيدًا للزبون، مع عكس ومصالحة مضبوطين.</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تطابق كمية المرتجع وقيمته ومخزونه وتكلفته وذمة الزبون والقيود دون أثر مزدوج.</w:t>
      </w:r>
    </w:p>
    <w:p>
      <w:pPr>
        <w:pStyle w:val="Heading1"/>
        <w:spacing w:before="180" w:after="100"/>
        <w:jc w:val="right"/>
        <w:bidi w:val="1"/>
        <w:keepNext/>
      </w:pPr>
      <w:r>
        <w:rPr>
          <w:rFonts w:ascii="Arial" w:hAnsi="Arial" w:cs="Arial"/>
          <w:b/>
          <w:color w:val="000000"/>
          <w:sz w:val="32"/>
          <w:rtl w:val="1"/>
        </w:rPr>
        <w:t>الخطوة 12  إكمال إدارة المستودعات</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منفذة جزئيًا ومتوقفة مؤقتًا بعد إنجاز الرصيد والحركة والحجز والجرد والتتبع والسياسات.</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تشغيل اختبارات واجهة فعلية للرحلات المنفذة.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مطابقة الأرصدة القديمة مع الرصيد التفصيلي والمواقع والمخزون غير المعيّن.</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نقل قراءات النظام تدريجيًا إلى المصدر الجديد ثم إيقاف القديم بعد إثبات التطابق.</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إكمال الاستلام الجزئي للتحويلات وجدولة الجرد وبوابات الانتقال.</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إضافة مسح استلام المشتريات ونية أمر الشراء بعد تثبيت دورة الاستلام المطلوبة.</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مصدر واحد معتمد للرصيد والحركة وعدم وجود فرق غير مفسر عند الانتقال.</w:t>
      </w:r>
    </w:p>
    <w:p>
      <w:r>
        <w:br w:type="page"/>
      </w:r>
    </w:p>
    <w:p>
      <w:pPr>
        <w:pStyle w:val="Heading1"/>
        <w:spacing w:before="180" w:after="100"/>
        <w:jc w:val="right"/>
        <w:bidi w:val="1"/>
        <w:keepNext/>
      </w:pPr>
      <w:r>
        <w:rPr>
          <w:rFonts w:ascii="Arial" w:hAnsi="Arial" w:cs="Arial"/>
          <w:b/>
          <w:color w:val="000000"/>
          <w:sz w:val="32"/>
          <w:rtl w:val="1"/>
        </w:rPr>
        <w:t>الخطوة 13  تطوير نقاط البيع</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منفذة جزئيًا؛ إعدادات الأجهزة وتجارب القطاعات موجودة، بينما إدارة الوردية والصندوق ما زالت مطلوبة.</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تحديد تشكيلة المنتجات ونطاق الفرع والمستودعات لكل جهاز ومستخدم.</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إضافة فتح وإغلاق الوردية ورصيد البداية والإدخال والسحب النقدي.</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دعم تعليق الفواتير واسترجاعها والمرتجعات بصلاحيات.</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مطابقة الصندوق الفعلي مع النظام وتسجيل العجز أو الزيادة والاعتماد.</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إضافة الطاولات والمطبخ والإضافات وميزات المطاعم حسب أولوية السوق فقط.</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وردية بيع قابلة للتدقيق من فتح الصندوق حتى الإقفال والمطابقة.</w:t>
      </w:r>
    </w:p>
    <w:p>
      <w:pPr>
        <w:pStyle w:val="Heading1"/>
        <w:spacing w:before="180" w:after="100"/>
        <w:jc w:val="right"/>
        <w:bidi w:val="1"/>
        <w:keepNext/>
      </w:pPr>
      <w:r>
        <w:rPr>
          <w:rFonts w:ascii="Arial" w:hAnsi="Arial" w:cs="Arial"/>
          <w:b/>
          <w:color w:val="000000"/>
          <w:sz w:val="32"/>
          <w:rtl w:val="1"/>
        </w:rPr>
        <w:t>الخطوة 14  الاستيراد والتصدير</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توجد تطبيقات متخصصة في المشتريات، لكن المحرك المركزي العام ما زال مخططًا.</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بناء محرك مركزي للقوالب وربط الأعمدة والمعاينة والتحقق قبل الحفظ.</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إظهار أخطاء مفهومة لكل صف ومنع الحفظ الجزئي غير المقصود.</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إدخال الزبائن والموردين والمنتجات والأرصدة تدريجيًا عبر خدمات التطبيق.</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تصدير التقارير إلى ملفات إكسل وملفات القيم المفصولة بفواصل بصورة آمنة.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تسجيل المستخدم والوقت والملف والنتيجة وحماية الملفات من الصيغ الضارة.</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استيراد آمن قابل لإعادة الاختبار والتدقيق دون تجاوز طبقة التطبيق.</w:t>
      </w:r>
    </w:p>
    <w:p>
      <w:r>
        <w:br w:type="page"/>
      </w:r>
    </w:p>
    <w:p>
      <w:pPr>
        <w:pStyle w:val="Heading1"/>
        <w:spacing w:before="180" w:after="100"/>
        <w:jc w:val="right"/>
        <w:bidi w:val="1"/>
        <w:keepNext/>
      </w:pPr>
      <w:r>
        <w:rPr>
          <w:rFonts w:ascii="Arial" w:hAnsi="Arial" w:cs="Arial"/>
          <w:b/>
          <w:color w:val="000000"/>
          <w:sz w:val="32"/>
          <w:rtl w:val="1"/>
        </w:rPr>
        <w:t>الخطوة 15  التكاملات الخارجية</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مخططة ولم يبدأ تنفيذ واجهة عامة أو مزود دفع خارجي.</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إنشاء واجهة برمجية مستقرة ومحمية للأنظمة الخارجية.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إضافة تكاملات المتاجر الإلكترونية والتوصيل والدفع حسب الحاجة التجارية.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توقيع رسائل المزود والتحقق منها ومنع معالجة الرسالة نفسها مرتين.</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دعم إعادة المحاولة والاسترداد والاعتراض ومراقبة الفشل.</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حفظ عقود التكامل وإصداراتها وحدودها ومسؤولية تشغيلها.</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عقود تكامل موثقة واختبارات أمان وتكرار وفشل ومصالحة لكل مزود.</w:t>
      </w:r>
    </w:p>
    <w:p>
      <w:pPr>
        <w:pStyle w:val="Heading1"/>
        <w:spacing w:before="180" w:after="100"/>
        <w:jc w:val="right"/>
        <w:bidi w:val="1"/>
        <w:keepNext/>
      </w:pPr>
      <w:r>
        <w:rPr>
          <w:rFonts w:ascii="Arial" w:hAnsi="Arial" w:cs="Arial"/>
          <w:b/>
          <w:color w:val="000000"/>
          <w:sz w:val="32"/>
          <w:rtl w:val="1"/>
        </w:rPr>
        <w:t>الخطوة 16  لوحات المتابعة والتحليلات</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منفذة جزئيًا في المشتريات والمخزون، وتبقى اللوحات الموحدة للمبيعات والمالية.</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عرض المبيعات والربح حسب الفترة والفرع والمنتج والزبون.</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قياس أداء الموردين وموظفي المبيعات من مصادر محددة.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إظهار المخزون البطيء والراكد وقرب انتهاء الصلاحية.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إظهار الديون المستحقة والمتأخرة ودورة تحويل المخزون إلى نقد.</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تمكين الانتقال من كل مؤشر إلى المستندات المصدرية التي تفسره.</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مؤشرات محسوبة من مصادر معتمدة وقابلة للتتبع إلى التفاصيل.</w:t>
      </w:r>
    </w:p>
    <w:p>
      <w:r>
        <w:br w:type="page"/>
      </w:r>
    </w:p>
    <w:p>
      <w:pPr>
        <w:pStyle w:val="Heading1"/>
        <w:spacing w:before="180" w:after="100"/>
        <w:jc w:val="right"/>
        <w:bidi w:val="1"/>
        <w:keepNext/>
      </w:pPr>
      <w:r>
        <w:rPr>
          <w:rFonts w:ascii="Arial" w:hAnsi="Arial" w:cs="Arial"/>
          <w:b/>
          <w:color w:val="000000"/>
          <w:sz w:val="32"/>
          <w:rtl w:val="1"/>
        </w:rPr>
        <w:t>الخطوة 17  الاختبارات والأداء</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قوية محليًا في البناء والانحدار وتكامل قاعدة البيانات، وتبقى واجهات المستخدم والحمل والاختراق المستقل.</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توسيع اختبارات قواعد العمل وقاعدة البيانات والصلاحيات وعزل الشركات.</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تشغيل اختبارات واجهة برحلات مستخدم فعلية وباللغتين العربية والإنجليزية.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اختبار التزامن ومنع التكرار والأحجام الكبيرة والحالات الفاشلة.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تكرار اختبار النسخ الاحتياطي والاستعادة والمصالحة.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قياس الاستعلامات البطيئة والحمل ومعالجة الاختناقات المثبتة بالأرقام.</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نجاح مجموعة القبول وعدم وجود خطر معروف يمنع التشغيل.</w:t>
      </w:r>
    </w:p>
    <w:p>
      <w:pPr>
        <w:pStyle w:val="Heading1"/>
        <w:spacing w:before="180" w:after="100"/>
        <w:jc w:val="right"/>
        <w:bidi w:val="1"/>
        <w:keepNext/>
      </w:pPr>
      <w:r>
        <w:rPr>
          <w:rFonts w:ascii="Arial" w:hAnsi="Arial" w:cs="Arial"/>
          <w:b/>
          <w:color w:val="000000"/>
          <w:sz w:val="32"/>
          <w:rtl w:val="1"/>
        </w:rPr>
        <w:t>الخطوة 18  الإطلاق والتشغيل</w:t>
      </w:r>
    </w:p>
    <w:p>
      <w:pPr>
        <w:spacing w:after="100" w:line="288" w:lineRule="auto"/>
        <w:jc w:val="right"/>
        <w:bidi w:val="1"/>
      </w:pPr>
      <w:r>
        <w:rPr>
          <w:rFonts w:ascii="Arial" w:hAnsi="Arial" w:cs="Arial"/>
          <w:b/>
          <w:color w:val="000000"/>
          <w:sz w:val="23"/>
          <w:rtl w:val="1"/>
        </w:rPr>
        <w:t xml:space="preserve">الحالة الحالية  </w:t>
      </w:r>
      <w:r>
        <w:rPr>
          <w:rFonts w:ascii="Arial" w:hAnsi="Arial" w:cs="Arial"/>
          <w:b w:val="0"/>
          <w:color w:val="000000"/>
          <w:sz w:val="23"/>
          <w:rtl w:val="1"/>
        </w:rPr>
        <w:t>غير مثبتة للإنتاج؛ الأدلة الحالية محلية لبيئة العرض فقط.</w:t>
      </w:r>
    </w:p>
    <w:p>
      <w:pPr>
        <w:spacing w:after="80"/>
        <w:jc w:val="right"/>
        <w:bidi w:val="1"/>
        <w:keepNext/>
      </w:pPr>
      <w:r>
        <w:rPr>
          <w:rFonts w:ascii="Arial" w:hAnsi="Arial" w:cs="Arial"/>
          <w:b/>
          <w:color w:val="000000"/>
          <w:sz w:val="23"/>
          <w:rtl w:val="1"/>
        </w:rPr>
        <w:t>الأعمال المطلوبة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إنشاء بيئة تجريبية مشابهة للإنتاج وربطها بهويات وأسرار تشغيل فعلية.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تجربة ترحيل قاعدة البيانات وخطة رجوع موثقة قبل الإطلاق.</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تشغيل نسخ احتياطي مجدول خارج الجهاز مع تجربة استعادة فعلية وتنبيه فشل.</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تشغيل مراقبة الأخطاء والسجلات والتنبيهات والقدرة الاستيعابية.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تدريب المستخدمين وتنفيذ إطلاق تدريجي على شركة أو فرع أولًا.</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توثيق الدعم والمسؤوليات والاستجابة للحوادث والتواصل عند الأعطال.</w:t>
      </w:r>
    </w:p>
    <w:p>
      <w:pPr>
        <w:spacing w:after="180" w:line="288" w:lineRule="auto"/>
        <w:jc w:val="right"/>
        <w:bidi w:val="1"/>
      </w:pPr>
      <w:r>
        <w:rPr>
          <w:rFonts w:ascii="Arial" w:hAnsi="Arial" w:cs="Arial"/>
          <w:b/>
          <w:color w:val="000000"/>
          <w:sz w:val="23"/>
          <w:rtl w:val="1"/>
        </w:rPr>
        <w:t xml:space="preserve">شرط إغلاق المرحلة  </w:t>
      </w:r>
      <w:r>
        <w:rPr>
          <w:rFonts w:ascii="Arial" w:hAnsi="Arial" w:cs="Arial"/>
          <w:b w:val="0"/>
          <w:color w:val="000000"/>
          <w:sz w:val="23"/>
          <w:rtl w:val="1"/>
        </w:rPr>
        <w:t>قبول تشغيلي موثق وإطلاق تدريجي قابل للمراقبة والرجوع والاستعادة.</w:t>
      </w:r>
    </w:p>
    <w:p>
      <w:pPr>
        <w:pStyle w:val="Heading1"/>
        <w:jc w:val="right"/>
        <w:bidi w:val="1"/>
        <w:keepNext/>
      </w:pPr>
      <w:r>
        <w:rPr>
          <w:rFonts w:ascii="Arial" w:hAnsi="Arial" w:cs="Arial"/>
          <w:b/>
          <w:color w:val="000000"/>
          <w:sz w:val="32"/>
          <w:rtl w:val="1"/>
        </w:rPr>
        <w:t>طريقة تنفيذ أي متطلب جديد</w:t>
      </w:r>
    </w:p>
    <w:p>
      <w:pPr>
        <w:spacing w:after="60" w:line="288" w:lineRule="auto"/>
        <w:jc w:val="right"/>
        <w:bidi w:val="1"/>
      </w:pPr>
      <w:r>
        <w:rPr>
          <w:rFonts w:ascii="Arial" w:hAnsi="Arial" w:cs="Arial"/>
          <w:b w:val="0"/>
          <w:color w:val="000000"/>
          <w:sz w:val="23"/>
          <w:rtl w:val="1"/>
        </w:rPr>
        <w:t>1. تحديد المرحلة التي ينتمي إليها المتطلب.</w:t>
      </w:r>
    </w:p>
    <w:p>
      <w:pPr>
        <w:spacing w:after="60" w:line="288" w:lineRule="auto"/>
        <w:jc w:val="right"/>
        <w:bidi w:val="1"/>
      </w:pPr>
      <w:r>
        <w:rPr>
          <w:rFonts w:ascii="Arial" w:hAnsi="Arial" w:cs="Arial"/>
          <w:b w:val="0"/>
          <w:color w:val="000000"/>
          <w:sz w:val="23"/>
          <w:rtl w:val="1"/>
        </w:rPr>
        <w:t>2. مقارنة المتطلب بما هو منفذ فعليًا وما هو مخطط فقط.</w:t>
      </w:r>
    </w:p>
    <w:p>
      <w:pPr>
        <w:spacing w:after="60" w:line="288" w:lineRule="auto"/>
        <w:jc w:val="right"/>
        <w:bidi w:val="1"/>
      </w:pPr>
      <w:r>
        <w:rPr>
          <w:rFonts w:ascii="Arial" w:hAnsi="Arial" w:cs="Arial"/>
          <w:b w:val="0"/>
          <w:color w:val="000000"/>
          <w:sz w:val="23"/>
          <w:rtl w:val="1"/>
        </w:rPr>
        <w:t>3. كشف الاعتماد على المراحل السابقة ومنع القفز فوقها.</w:t>
      </w:r>
    </w:p>
    <w:p>
      <w:pPr>
        <w:spacing w:after="60" w:line="288" w:lineRule="auto"/>
        <w:jc w:val="right"/>
        <w:bidi w:val="1"/>
      </w:pPr>
      <w:r>
        <w:rPr>
          <w:rFonts w:ascii="Arial" w:hAnsi="Arial" w:cs="Arial"/>
          <w:b w:val="0"/>
          <w:color w:val="000000"/>
          <w:sz w:val="23"/>
          <w:rtl w:val="1"/>
        </w:rPr>
        <w:t>4. تثبيت قواعد العمل والحالات والصلاحيات وشروط القبول.</w:t>
      </w:r>
    </w:p>
    <w:p>
      <w:pPr>
        <w:spacing w:after="60" w:line="288" w:lineRule="auto"/>
        <w:jc w:val="right"/>
        <w:bidi w:val="1"/>
      </w:pPr>
      <w:r>
        <w:rPr>
          <w:rFonts w:ascii="Arial" w:hAnsi="Arial" w:cs="Arial"/>
          <w:b w:val="0"/>
          <w:color w:val="000000"/>
          <w:sz w:val="23"/>
          <w:rtl w:val="1"/>
        </w:rPr>
        <w:t>5. مراجعة الكيانات وخدمات التطبيق والتخزين والواجهات المتأثرة.</w:t>
      </w:r>
    </w:p>
    <w:p>
      <w:pPr>
        <w:spacing w:after="60" w:line="288" w:lineRule="auto"/>
        <w:jc w:val="right"/>
        <w:bidi w:val="1"/>
      </w:pPr>
      <w:r>
        <w:rPr>
          <w:rFonts w:ascii="Arial" w:hAnsi="Arial" w:cs="Arial"/>
          <w:b w:val="0"/>
          <w:color w:val="000000"/>
          <w:sz w:val="23"/>
          <w:rtl w:val="1"/>
        </w:rPr>
        <w:t>6. تقسيم المتطلب إلى شرائح صغيرة قابلة للبناء والاختبار.</w:t>
      </w:r>
    </w:p>
    <w:p>
      <w:pPr>
        <w:spacing w:after="60" w:line="288" w:lineRule="auto"/>
        <w:jc w:val="right"/>
        <w:bidi w:val="1"/>
      </w:pPr>
      <w:r>
        <w:rPr>
          <w:rFonts w:ascii="Arial" w:hAnsi="Arial" w:cs="Arial"/>
          <w:b w:val="0"/>
          <w:color w:val="000000"/>
          <w:sz w:val="23"/>
          <w:rtl w:val="1"/>
        </w:rPr>
        <w:t>7. تنفيذ شريحة واحدة متكاملة عبر طبقات المجال والتطبيق والبنية التحتية والويب.</w:t>
      </w:r>
    </w:p>
    <w:p>
      <w:pPr>
        <w:spacing w:after="60" w:line="288" w:lineRule="auto"/>
        <w:jc w:val="right"/>
        <w:bidi w:val="1"/>
      </w:pPr>
      <w:r>
        <w:rPr>
          <w:rFonts w:ascii="Arial" w:hAnsi="Arial" w:cs="Arial"/>
          <w:b w:val="0"/>
          <w:color w:val="000000"/>
          <w:sz w:val="23"/>
          <w:rtl w:val="1"/>
        </w:rPr>
        <w:t>8. تشغيل البناء والفحوص واختبارات قاعدة البيانات والترحيلات اللازمة.</w:t>
      </w:r>
    </w:p>
    <w:p>
      <w:pPr>
        <w:spacing w:after="60" w:line="288" w:lineRule="auto"/>
        <w:jc w:val="right"/>
        <w:bidi w:val="1"/>
      </w:pPr>
      <w:r>
        <w:rPr>
          <w:rFonts w:ascii="Arial" w:hAnsi="Arial" w:cs="Arial"/>
          <w:b w:val="0"/>
          <w:color w:val="000000"/>
          <w:sz w:val="23"/>
          <w:rtl w:val="1"/>
        </w:rPr>
        <w:t>9. تحديث الوثائق وقائمة الأعمال وخريطة الكود وسجل العمل.</w:t>
      </w:r>
    </w:p>
    <w:p>
      <w:pPr>
        <w:spacing w:after="60" w:line="288" w:lineRule="auto"/>
        <w:jc w:val="right"/>
        <w:bidi w:val="1"/>
      </w:pPr>
      <w:r>
        <w:rPr>
          <w:rFonts w:ascii="Arial" w:hAnsi="Arial" w:cs="Arial"/>
          <w:b w:val="0"/>
          <w:color w:val="000000"/>
          <w:sz w:val="23"/>
          <w:rtl w:val="1"/>
        </w:rPr>
        <w:t>10. حفظ التغييرات في مجموعة موثقة وشرح نتيجتها بلغة مبسطة.</w:t>
      </w:r>
    </w:p>
    <w:p>
      <w:pPr>
        <w:pStyle w:val="Heading1"/>
        <w:jc w:val="right"/>
        <w:bidi w:val="1"/>
        <w:keepNext/>
      </w:pPr>
      <w:r>
        <w:rPr>
          <w:rFonts w:ascii="Arial" w:hAnsi="Arial" w:cs="Arial"/>
          <w:b/>
          <w:color w:val="000000"/>
          <w:sz w:val="32"/>
          <w:rtl w:val="1"/>
        </w:rPr>
        <w:t>قواعد ترتيب التنفيذ</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لا يبدأ تكامل دفع خارجي قبل اكتمال الأمان والمصالحة والعكس ومنع التكرار.</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لا ينتقل مصدر رصيد المخزون نهائيًا قبل إثبات التطابق وفترة مراقبة دون فروقات.</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لا يعد المستند المرحل قابلًا للتعديل؛ التصحيح يكون بمستند عاكس أو لاحق.</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لا تتجاوز واجهة الويب طبقة التطبيق، ولا تعرض كيانات قاعدة البيانات مباشرة.</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كل شاشة أو رسالة جديدة يجب أن تعمل بالعربية والإنجليزية وتدعم اتجاه العرض من اليمين إلى اليسار.</w:t>
      </w:r>
    </w:p>
    <w:p>
      <w:pPr>
        <w:spacing w:after="60" w:line="271" w:lineRule="auto"/>
        <w:ind w:right="432" w:left="0" w:hanging="259"/>
        <w:jc w:val="right"/>
        <w:bidi w:val="1"/>
      </w:pPr>
      <w:r>
        <w:rPr>
          <w:rFonts w:ascii="Arial" w:hAnsi="Arial" w:cs="Arial"/>
          <w:b/>
          <w:color w:val="000000"/>
          <w:sz w:val="22"/>
          <w:rtl w:val="1"/>
        </w:rPr>
        <w:t xml:space="preserve">•  </w:t>
      </w:r>
      <w:r>
        <w:rPr>
          <w:rFonts w:ascii="Arial" w:hAnsi="Arial" w:cs="Arial"/>
          <w:b w:val="0"/>
          <w:color w:val="000000"/>
          <w:sz w:val="22"/>
          <w:rtl w:val="1"/>
        </w:rPr>
        <w:t>بعد كل شريحة يجب تحديث التوثيق وتشغيل الفحوص المناسبة قبل الانتقال إلى الشريحة التالية.</w:t>
      </w:r>
    </w:p>
    <w:sectPr w:rsidR="00FC693F" w:rsidRPr="0006063C" w:rsidSect="00034616">
      <w:footerReference w:type="default" r:id="rId9"/>
      <w:pgSz w:w="12240" w:h="15840"/>
      <w:pgMar w:top="965" w:right="1123" w:bottom="96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color w:val="646464"/>
        <w:sz w:val="18"/>
        <w:rtl w:val="1"/>
      </w:rPr>
      <w:t>خارطة التنفيذ الكاملة لمشروع ميني ستور</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s="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خارطة التنفيذ الكاملة لمشروع ميني ستور</dc:title>
  <dc:subject>خطة عربية كاملة من تثبيت النظام حتى الإطلاق والتشغيل</dc:subject>
  <dc:creator>فريق مشروع ميني ستور</dc:creator>
  <cp:keywords>ميني ستور، تخطيط موارد المؤسسات، خارطة طريق، مبيعات، مخزون، تشغيل</cp:keywords>
  <dc:description>generated by python-docx</dc:description>
  <cp:lastModifiedBy/>
  <cp:revision>1</cp:revision>
  <dcterms:created xsi:type="dcterms:W3CDTF">2013-12-23T23:15:00Z</dcterms:created>
  <dcterms:modified xsi:type="dcterms:W3CDTF">2013-12-23T23:15:00Z</dcterms:modified>
  <cp:category/>
</cp:coreProperties>
</file>