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  <w:color w:val="1F4E79"/>
          <w:sz w:val="44"/>
          <w:szCs w:val="44"/>
        </w:rPr>
        <w:t xml:space="preserve">Lab Report 3</w:t>
      </w:r>
    </w:p>
    <w:p>
      <w:pPr>
        <w:spacing w:after="300"/>
      </w:pPr>
      <w:r>
        <w:rPr>
          <w:i/>
          <w:iCs/>
          <w:color w:val="595959"/>
          <w:sz w:val="24"/>
          <w:szCs w:val="24"/>
        </w:rPr>
        <w:t xml:space="preserve">High Availability Deployment &amp; Configuration Synchronization</w:t>
      </w:r>
    </w:p>
    <w:p>
      <w:pPr>
        <w:spacing w:after="40"/>
      </w:pPr>
      <w:r>
        <w:rPr>
          <w:b/>
          <w:bCs/>
        </w:rPr>
        <w:t xml:space="preserve">Student: </w:t>
      </w:r>
      <w:r>
        <w:t xml:space="preserve">Ahmad</w:t>
      </w:r>
    </w:p>
    <w:p>
      <w:pPr>
        <w:spacing w:after="40"/>
      </w:pPr>
      <w:r>
        <w:rPr>
          <w:b/>
          <w:bCs/>
        </w:rPr>
        <w:t xml:space="preserve">Platform: </w:t>
      </w:r>
      <w:r>
        <w:t xml:space="preserve">PNETLab (virtual lab environment)</w:t>
      </w:r>
    </w:p>
    <w:p>
      <w:pPr>
        <w:spacing w:after="40"/>
      </w:pPr>
      <w:r>
        <w:rPr>
          <w:b/>
          <w:bCs/>
        </w:rPr>
        <w:t xml:space="preserve">Devices Under Test: </w:t>
      </w:r>
      <w:r>
        <w:t xml:space="preserve">PA-PRI (Active) and PA-SEC (Passive) — Active/Passive HA pair</w:t>
      </w:r>
    </w:p>
    <w:p>
      <w:pPr>
        <w:spacing w:after="40"/>
      </w:pPr>
      <w:r>
        <w:rPr>
          <w:b/>
          <w:bCs/>
        </w:rPr>
        <w:t xml:space="preserve">Date: </w:t>
      </w:r>
      <w:r>
        <w:t xml:space="preserve">September–October 2026</w:t>
      </w:r>
    </w:p>
    <w:p>
      <w:pPr>
        <w:pStyle w:val="Heading1"/>
        <w:pBdr>
          <w:bottom w:val="single" w:color="1F4E79" w:sz="6" w:space="4"/>
        </w:pBdr>
        <w:spacing w:after="140" w:before="280"/>
      </w:pPr>
      <w:r>
        <w:rPr>
          <w:b/>
          <w:bCs/>
          <w:color w:val="1F4E79"/>
        </w:rPr>
        <w:t xml:space="preserve">1. Objective</w:t>
      </w:r>
    </w:p>
    <w:p>
      <w:pPr>
        <w:spacing w:after="140"/>
      </w:pPr>
      <w:r>
        <w:t xml:space="preserve">Deploy a second firewall (PA-SEC), pair it with PA-PRI in Active/Passive High Availability, and verify that configuration synchronization correctly replicates the zones, objects, and security policy from the Active peer — removing the need to manually rebuild the policy a second time.</w:t>
      </w:r>
    </w:p>
    <w:p>
      <w:pPr>
        <w:pStyle w:val="Heading1"/>
        <w:pBdr>
          <w:bottom w:val="single" w:color="1F4E79" w:sz="6" w:space="4"/>
        </w:pBdr>
        <w:spacing w:after="140" w:before="280"/>
      </w:pPr>
      <w:r>
        <w:rPr>
          <w:b/>
          <w:bCs/>
          <w:color w:val="1F4E79"/>
        </w:rPr>
        <w:t xml:space="preserve">2. HA Link Design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Link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Interface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Subnet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HA1 (Control)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ethernet1/2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10.0.1.0/30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Heartbeats and configuration sync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HA2 (Data)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ethernet1/3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10.0.2.0/30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Session-state synchronization</w:t>
            </w:r>
          </w:p>
        </w:tc>
      </w:tr>
    </w:tbl>
    <w:p>
      <w:pPr>
        <w:spacing w:after="140"/>
      </w:pPr>
      <w:r>
        <w:t xml:space="preserve">Both links are direct point-to-point cables between PA-PRI and PA-SEC — no intermediate switching, no gateway required.</w:t>
      </w:r>
    </w:p>
    <w:p>
      <w:pPr>
        <w:pStyle w:val="Heading1"/>
        <w:pBdr>
          <w:bottom w:val="single" w:color="1F4E79" w:sz="6" w:space="4"/>
        </w:pBdr>
        <w:spacing w:after="140" w:before="280"/>
      </w:pPr>
      <w:r>
        <w:rPr>
          <w:b/>
          <w:bCs/>
          <w:color w:val="1F4E79"/>
        </w:rPr>
        <w:t xml:space="preserve">3. Procedure</w:t>
      </w:r>
    </w:p>
    <w:p>
      <w:pPr>
        <w:pStyle w:val="Heading2"/>
        <w:spacing w:after="100" w:before="200"/>
      </w:pPr>
      <w:r>
        <w:rPr>
          <w:b/>
          <w:bCs/>
          <w:color w:val="2E5F8A"/>
        </w:rPr>
        <w:t xml:space="preserve">3.1 PA-SEC Deployment</w:t>
      </w:r>
    </w:p>
    <w:p>
      <w:pPr>
        <w:spacing w:after="140"/>
      </w:pPr>
      <w:r>
        <w:t xml:space="preserve">PA-SEC was built on the same PAN-OS 11.x image and resource profile established in Lab Report 1 (4 vCPU / 8192 MB / 6 interfaces), to avoid the boot failure already diagnosed and resolved there.</w:t>
      </w:r>
    </w:p>
    <w:p>
      <w:pPr>
        <w:spacing w:after="140"/>
      </w:pPr>
      <w:r>
        <w:t xml:space="preserve">Minimal CLI configuration was applied directly to reach a working state: management/admin-access IP, Untrust zone/interface, and default route — mirroring the same data-interface management technique from Lab Report 1, using a unique address (172.16.203.57) to allow independent access to PA-SEC prior to HA pairing.</w:t>
      </w:r>
    </w:p>
    <w:p>
      <w:pPr>
        <w:pStyle w:val="Heading2"/>
        <w:spacing w:after="100" w:before="200"/>
      </w:pPr>
      <w:r>
        <w:rPr>
          <w:b/>
          <w:bCs/>
          <w:color w:val="2E5F8A"/>
        </w:rPr>
        <w:t xml:space="preserve">3.2 HA Configuration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PA-PRI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PA-SEC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Group ID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Active-Passive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Active-Passive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HA1 (Control Link)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ethernet1/2, 10.0.1.1/30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ethernet1/2, 10.0.1.2/30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HA2 (Data Link)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ethernet1/3, 10.0.2.1/30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ethernet1/3, 10.0.2.2/30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Device Priority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90 (preferred Active)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Peer HA1 IP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10.0.1.2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10.0.1.1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 Sync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Enabled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Enabled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5F8A"/>
        </w:rPr>
        <w:t xml:space="preserve">3.3 Configuration Synchronization</w:t>
      </w:r>
    </w:p>
    <w:p>
      <w:pPr>
        <w:spacing w:after="140"/>
      </w:pPr>
      <w:r>
        <w:t xml:space="preserve">With Config Sync enabled, the Active peer automatically pushes zones, interfaces, address objects, and the full security policy to the Passive peer once the HA session establishes — PA-SEC's policy did not need to be manually rebuilt. Only device-local settings (management IP, HA link IPs, Device Priority, hostname) require independent configuration on each firewall.</w:t>
      </w:r>
    </w:p>
    <w:p>
      <w:pPr>
        <w:spacing w:after="140"/>
      </w:pPr>
      <w:r>
        <w:t xml:space="preserve">Synchronization was confirmed through three independent observations: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PA-SEC's ethernet1/1 IP changed from its originally assigned unique address (172.16.203.57) to match PA-PRI's (172.16.203.56) — confirming interface configuration was pushed from the Active peer, standard behavior for a shared-segment HA pair.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running security-policy on PA-SEC returned all 8 security rules, though only 4 had been manually entered there.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zone on PA-SEC listed the DMZ zone, which had never been manually created on that device.</w:t>
      </w:r>
    </w:p>
    <w:p>
      <w:pPr>
        <w:pStyle w:val="Heading1"/>
        <w:pBdr>
          <w:bottom w:val="single" w:color="1F4E79" w:sz="6" w:space="4"/>
        </w:pBdr>
        <w:spacing w:after="140" w:before="280"/>
      </w:pPr>
      <w:r>
        <w:rPr>
          <w:b/>
          <w:bCs/>
          <w:color w:val="1F4E79"/>
        </w:rPr>
        <w:t xml:space="preserve">4. Issues Encountered and Resolutions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 state showed “not synchronized” despite HA1 connectivity being up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Device Dictionary (IoT Content) version mismatch between the two PAN-OS images (one had version 1-211 installed, the other none)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Compared show system info output side-by-side to isolate the single differing field; manually triggered request high-availability sync-to-remote running-config, which succeeded — the mismatch proved advisory, not a hard blocker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PA-SEC's independent GUI access stopped working after sync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Expected consequence of interface config sync overwriting PA-SEC's unique admin-access IP to match PA-PRI's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Documented as correct production HA behavior rather than a fault; PA-SEC is now managed via console, or would be reachable at that shared address only if it becomes Active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DMZ zone/interface config present on PA-SEC but non-functional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ethernet1/5 was not yet physically connected to the DMZ switch in the topology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Wired the link and brought up the corresponding switch port (bridge-group membership) to match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40" w:before="280"/>
      </w:pPr>
      <w:r>
        <w:rPr>
          <w:b/>
          <w:bCs/>
          <w:color w:val="1F4E79"/>
        </w:rPr>
        <w:t xml:space="preserve">5. Evidence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Screenshot: show high-availability state on PA-PRI (state: active, priority 90) and PA-SEC (state: passive, priority 110), peer connection status: up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Screenshot: show system info comparison showing the isolated device-dictionary-version mismatch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Screenshot: manual sync command output (“HA synchronization job has been queued on peer”)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Screenshot: show interface ethernet1/1 on PA-SEC confirming the IP changed to match PA-PRI post-sync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Screenshot: show running security-policy and show zone on PA-SEC confirming all 8 rules and the DMZ zone were received via sync</w:t>
      </w:r>
    </w:p>
    <w:p>
      <w:pPr>
        <w:pStyle w:val="Heading1"/>
        <w:pBdr>
          <w:bottom w:val="single" w:color="1F4E79" w:sz="6" w:space="4"/>
        </w:pBdr>
        <w:spacing w:after="140" w:before="280"/>
      </w:pPr>
      <w:r>
        <w:rPr>
          <w:b/>
          <w:bCs/>
          <w:color w:val="1F4E79"/>
        </w:rPr>
        <w:t xml:space="preserve">6. Conclusion</w:t>
      </w:r>
    </w:p>
    <w:p>
      <w:pPr>
        <w:spacing w:after="140"/>
      </w:pPr>
      <w:r>
        <w:t xml:space="preserve">PA-PRI and PA-SEC form a functioning Active/Passive HA pair: HA1/HA2 links are established, role election behaves as configured (PA-PRI Active, PA-SEC Passive), and Configuration Synchronization was independently verified to replicate zones, address objects, and the full security policy from the Active peer to the Passive one. This completes the high-availability objective of the lab, building directly on the firewall deployment from Lab Report 1 and the security policy from Lab Report 2.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Lab Report 3 — High Availability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2026-10-11T07:00:00.919Z</dcterms:created>
  <dcterms:modified xsi:type="dcterms:W3CDTF">2026-10-11T07:00:00.919Z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