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23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Industry Use Cases and Agentic Security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  NEW (v4)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The five maturity levels are experiment, pilot, ________, scaled and agentic.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Tests that record what legacy code does today are called ________ tests.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An agent's tokens should be scoped, revocable and short-________.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For agent tools, the safe default is to ________ anything not explicitly allowed.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Moving the same code to new infrastructure without changes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In Patching as a Service, the model proposes and the ________ decides.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OWASP ASI06 is about memory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MCP servers and skills are part of an agent's ________ chain.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EU AI Act Article 50 is mainly about ________ towards people.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A tool that moves money should require human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Pick one industry. Describe a good first GenAI use case and the biggest risk.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What does it take to move a pilot to production? Name at least four things.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Explain agent identity and scoped tokens to a non-technical manager.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How would you sell Patching as a Service to a telecom customer, without overpromising?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ALLOW = {'search_kb', 'read_ticket'}</w:t>
        <w:br/>
        <w:t>APPROVE = {'refund_customer'}</w:t>
        <w:br/>
        <w:t>def gate(t):</w:t>
        <w:br/>
        <w:t xml:space="preserve">    return 'ALLOW' if t in ALLOW else 'APPROVE' if t in APPROVE else 'DENY'</w:t>
        <w:br/>
        <w:t>print([gate(t) for t in ['read_ticket', 'delete_customer', 'refund_customer']])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scopes = ['tickets:read']</w:t>
        <w:br/>
        <w:t>print('tickets:close' in scopes, 'tickets:read' in scopes)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line = 'k;070;network;2;Roaming; tried restart'</w:t>
        <w:br/>
        <w:t>parts = line.split(';')</w:t>
        <w:br/>
        <w:t>print(len(parts), ';'.join(parts[4:]))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check(claims, scope, now) that returns False if expired or the scope is missing.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Rewrite this query safely: "SELECT * FROM tickets WHERE customer = '%s'" % 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>
            <w:r>
              <w:rPr>
                <w:rFonts w:ascii="Courier New" w:hAnsi="Courier New"/>
                <w:sz w:val="20"/>
              </w:rPr>
              <w:t>def find_by_customer(conn, name):</w:t>
              <w:br/>
            </w:r>
            <w:r>
              <w:rPr>
                <w:rFonts w:ascii="Courier New" w:hAnsi="Courier New"/>
                <w:sz w:val="20"/>
              </w:rPr>
              <w:t xml:space="preserve">    ...</w:t>
            </w:r>
          </w:p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Rewrite subprocess.call('ping -c 1 ' + host, shell=True) without a shell, with input validation.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one characterisation test for parse_line() that records the 'unknown priority becomes medium' quirk.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