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30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LLM Security and Guardrails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Instructions hidden in retrieved content or tool results are called ________ prompt injection.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Attempts to talk a model out of its safety rules are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Using several layers of protection is called defence in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The strongest way to prevent a secret leaking is to keep it out of the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Removing emails and phone numbers from output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Giving an agent only the permissions it needs is least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Agent tokens should be scoped and ________-lived.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False facts saved into an agent's long-term memory are called memory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Modernising inside an existing system is called ________field work.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Tests that pin the current behaviour of legacy code are ________ tests.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indirect prompt injection with a SmartDesk example.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Pick three risks from the OWASP agentic list and give one control for each.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Describe how you would modernise a legacy module with Codex safely.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How would you decide which agent actions need human approval?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import re</w:t>
        <w:br/>
        <w:t>print(re.sub(r"[\w.]+@[\w.]+", "[email]", "Mail mei@sakura.example now"))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risk = {"read": "low", "email": "medium", "refund": "high"}</w:t>
        <w:br/>
        <w:t>print(risk.get("delete", "high"))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token = {"scope": ["tickets:read"], "exp": 100}</w:t>
        <w:br/>
        <w:t>now = 160</w:t>
        <w:br/>
        <w:t>print("refunds:write" in token["scope"], now &gt; token["exp"])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 function that flags text containing common injection phrases.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system prompt that separates rules from untrusted documents and tool results.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issue_token(agent_id, scopes, ttl) and require(token, scope) using PyJWT.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one PyTest test that fails if the red-team block rate is below 0.9.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