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after="280"/>
        <w:jc w:val="right"/>
        <w:bidi w:val="1"/>
      </w:pPr>
      <w:r>
        <w:rPr>
          <w:rFonts w:ascii="Arial" w:hAnsi="Arial" w:cs="Arial"/>
          <w:b/>
          <w:color w:val="1F4E79"/>
          <w:sz w:val="36"/>
        </w:rPr>
        <w:t>تقرير MLOps - FITE Classification Challenge</w:t>
      </w:r>
    </w:p>
    <w:p>
      <w:pPr>
        <w:spacing w:line="324" w:lineRule="auto" w:after="200"/>
        <w:jc w:val="right"/>
        <w:bidi w:val="1"/>
      </w:pPr>
      <w:r>
        <w:rPr>
          <w:rFonts w:ascii="Arial" w:hAnsi="Arial" w:cs="Arial"/>
          <w:b/>
          <w:color w:val="2E74B5"/>
          <w:sz w:val="28"/>
        </w:rPr>
        <w:t>1. فكرة المشروع</w:t>
      </w:r>
    </w:p>
    <w:p>
      <w:pPr>
        <w:spacing w:line="324" w:lineRule="auto" w:after="160"/>
        <w:jc w:val="right"/>
        <w:bidi w:val="1"/>
      </w:pPr>
      <w:r>
        <w:rPr>
          <w:rFonts w:ascii="Arial" w:hAnsi="Arial" w:cs="Arial"/>
          <w:b w:val="0"/>
          <w:sz w:val="22"/>
        </w:rPr>
        <w:t>المشروع عبارة عن مسألة تصنيف متعدد الكلاسات على بيانات جدولية مجهولة المعنى. بما أن أسماء الخصائص لا تحمل معنى واضحاً، كان التركيز على بناء خط تدريب قابل للإعادة، وتجربة أكثر من نموذج، ثم توثيق النتائج بطريقة تسمح بمقارنة التجارب بدل الاعتماد على تجربة واحدة.</w:t>
      </w:r>
    </w:p>
    <w:p>
      <w:pPr>
        <w:spacing w:line="324" w:lineRule="auto" w:after="160"/>
        <w:jc w:val="right"/>
        <w:bidi w:val="1"/>
      </w:pPr>
      <w:r>
        <w:rPr>
          <w:rFonts w:ascii="Arial" w:hAnsi="Arial" w:cs="Arial"/>
          <w:b w:val="0"/>
          <w:sz w:val="22"/>
        </w:rPr>
        <w:t>استخدمنا Macro F1 كمقياس أساسي لأن توزيع الكلاسات غير متوازن. هذا المقياس يعطينا صورة أوضح عن أداء النموذج على كل كلاس، وليس فقط على الكلاس الأكبر.</w:t>
      </w:r>
    </w:p>
    <w:p>
      <w:pPr>
        <w:spacing w:line="324" w:lineRule="auto" w:after="200"/>
        <w:jc w:val="right"/>
        <w:bidi w:val="1"/>
      </w:pPr>
      <w:r>
        <w:rPr>
          <w:rFonts w:ascii="Arial" w:hAnsi="Arial" w:cs="Arial"/>
          <w:b/>
          <w:color w:val="2E74B5"/>
          <w:sz w:val="28"/>
        </w:rPr>
        <w:t>2. منهجية التقييم</w:t>
      </w:r>
    </w:p>
    <w:p>
      <w:pPr>
        <w:spacing w:line="324" w:lineRule="auto" w:after="160"/>
        <w:jc w:val="right"/>
        <w:bidi w:val="1"/>
      </w:pPr>
      <w:r>
        <w:rPr>
          <w:rFonts w:ascii="Arial" w:hAnsi="Arial" w:cs="Arial"/>
          <w:b w:val="0"/>
          <w:sz w:val="22"/>
        </w:rPr>
        <w:t>اعتمدنا على StratifiedKFold حتى تبقى نسب الكلاسات متقاربة داخل كل fold. لكل نموذج سجلنا Accuracy وBalanced Accuracy وMacro F1، بالإضافة إلى اسم النموذج والإعدادات الأساسية.</w:t>
      </w:r>
    </w:p>
    <w:p>
      <w:pPr>
        <w:spacing w:line="324" w:lineRule="auto" w:after="160"/>
        <w:jc w:val="right"/>
        <w:bidi w:val="1"/>
      </w:pPr>
      <w:r>
        <w:rPr>
          <w:rFonts w:ascii="Arial" w:hAnsi="Arial" w:cs="Arial"/>
          <w:b w:val="0"/>
          <w:sz w:val="22"/>
        </w:rPr>
        <w:t>بهذا الشكل أصبح القرار مبنياً على مقارنة داخلية واضحة بين النماذج، وليس على رقم واحد فقط.</w:t>
      </w:r>
    </w:p>
    <w:p>
      <w:pPr>
        <w:spacing w:line="324" w:lineRule="auto" w:after="200"/>
        <w:jc w:val="right"/>
        <w:bidi w:val="1"/>
      </w:pPr>
      <w:r>
        <w:rPr>
          <w:rFonts w:ascii="Arial" w:hAnsi="Arial" w:cs="Arial"/>
          <w:b/>
          <w:color w:val="2E74B5"/>
          <w:sz w:val="28"/>
        </w:rPr>
        <w:t>3. تتبع التجارب باستخدام MLflow</w:t>
      </w:r>
    </w:p>
    <w:p>
      <w:pPr>
        <w:spacing w:line="324" w:lineRule="auto" w:after="160"/>
        <w:jc w:val="right"/>
        <w:bidi w:val="1"/>
      </w:pPr>
      <w:r>
        <w:rPr>
          <w:rFonts w:ascii="Arial" w:hAnsi="Arial" w:cs="Arial"/>
          <w:b w:val="0"/>
          <w:sz w:val="22"/>
        </w:rPr>
        <w:t>تم دمج MLflow داخل كود التدريب. كل تجربة يتم تسجيلها كـ run مستقل يحتوي على اسم النموذج، الهدف من التجربة، المقاييس، وبعض الملفات الناتجة عند الحاجة.</w:t>
      </w:r>
    </w:p>
    <w:p>
      <w:pPr>
        <w:spacing w:line="324" w:lineRule="auto" w:after="160"/>
        <w:jc w:val="right"/>
        <w:bidi w:val="1"/>
      </w:pPr>
      <w:r>
        <w:rPr>
          <w:rFonts w:ascii="Arial" w:hAnsi="Arial" w:cs="Arial"/>
          <w:b/>
          <w:sz w:val="22"/>
        </w:rPr>
        <w:t>لتشغيل واجهة MLflow محلياً:</w:t>
      </w:r>
    </w:p>
    <w:p>
      <w:pPr>
        <w:spacing w:after="160"/>
        <w:jc w:val="left"/>
      </w:pPr>
      <w:r>
        <w:rPr>
          <w:rFonts w:ascii="Arial" w:hAnsi="Arial" w:cs="Arial"/>
          <w:b w:val="0"/>
          <w:color w:val="282828"/>
          <w:sz w:val="20"/>
        </w:rPr>
        <w:t>mlflow ui --backend-store-uri sqlite:///mlflow.db</w:t>
      </w:r>
    </w:p>
    <w:p>
      <w:pPr>
        <w:spacing w:line="324" w:lineRule="auto" w:after="160"/>
        <w:jc w:val="right"/>
        <w:bidi w:val="1"/>
      </w:pPr>
      <w:r>
        <w:rPr>
          <w:rFonts w:ascii="Arial" w:hAnsi="Arial" w:cs="Arial"/>
          <w:b/>
          <w:sz w:val="22"/>
        </w:rPr>
        <w:t>ثم فتح الرابط:</w:t>
      </w:r>
    </w:p>
    <w:p>
      <w:pPr>
        <w:spacing w:after="160"/>
        <w:jc w:val="left"/>
      </w:pPr>
      <w:r>
        <w:rPr>
          <w:rFonts w:ascii="Arial" w:hAnsi="Arial" w:cs="Arial"/>
          <w:b w:val="0"/>
          <w:color w:val="282828"/>
          <w:sz w:val="20"/>
        </w:rPr>
        <w:t>http://127.0.0.1:5000</w:t>
      </w:r>
    </w:p>
    <w:p>
      <w:pPr>
        <w:spacing w:line="324" w:lineRule="auto" w:after="160"/>
        <w:jc w:val="right"/>
        <w:bidi w:val="1"/>
      </w:pPr>
      <w:r>
        <w:rPr>
          <w:rFonts w:ascii="Arial" w:hAnsi="Arial" w:cs="Arial"/>
          <w:b w:val="0"/>
          <w:sz w:val="22"/>
        </w:rPr>
        <w:t>الصورة التالية تعرض مجموعة من التجارب المسجلة، مع مقاييس المقارنة الأساسية مثل accuracy_mean وbalanced_accuracy_mean وf1_macro_mean.</w:t>
      </w:r>
    </w:p>
    <w:p>
      <w:pPr>
        <w:jc w:val="center"/>
      </w:pPr>
      <w:r>
        <w:drawing>
          <wp:inline xmlns:a="http://schemas.openxmlformats.org/drawingml/2006/main" xmlns:pic="http://schemas.openxmlformats.org/drawingml/2006/picture">
            <wp:extent cx="6192000" cy="2383194"/>
            <wp:docPr id="1" name="Picture 1"/>
            <wp:cNvGraphicFramePr>
              <a:graphicFrameLocks noChangeAspect="1"/>
            </wp:cNvGraphicFramePr>
            <a:graphic>
              <a:graphicData uri="http://schemas.openxmlformats.org/drawingml/2006/picture">
                <pic:pic>
                  <pic:nvPicPr>
                    <pic:cNvPr id="0" name="لقطة الشاشة 2026-07-02 101224.png"/>
                    <pic:cNvPicPr/>
                  </pic:nvPicPr>
                  <pic:blipFill>
                    <a:blip r:embed="rId9"/>
                    <a:stretch>
                      <a:fillRect/>
                    </a:stretch>
                  </pic:blipFill>
                  <pic:spPr>
                    <a:xfrm>
                      <a:off x="0" y="0"/>
                      <a:ext cx="6192000" cy="2383194"/>
                    </a:xfrm>
                    <a:prstGeom prst="rect"/>
                  </pic:spPr>
                </pic:pic>
              </a:graphicData>
            </a:graphic>
          </wp:inline>
        </w:drawing>
      </w:r>
    </w:p>
    <w:p>
      <w:pPr>
        <w:spacing w:line="324" w:lineRule="auto" w:after="280"/>
        <w:jc w:val="right"/>
        <w:bidi w:val="1"/>
      </w:pPr>
      <w:r>
        <w:rPr>
          <w:rFonts w:ascii="Arial" w:hAnsi="Arial" w:cs="Arial"/>
          <w:b/>
          <w:color w:val="595959"/>
          <w:sz w:val="20"/>
        </w:rPr>
        <w:t>صورة 1: جدول MLflow لتجارب النماذج مع المقاييس الأساسية.</w:t>
      </w:r>
    </w:p>
    <w:p>
      <w:pPr>
        <w:spacing w:line="324" w:lineRule="auto" w:after="160"/>
        <w:jc w:val="right"/>
        <w:bidi w:val="1"/>
      </w:pPr>
      <w:r>
        <w:rPr>
          <w:rFonts w:ascii="Arial" w:hAnsi="Arial" w:cs="Arial"/>
          <w:b w:val="0"/>
          <w:sz w:val="22"/>
        </w:rPr>
        <w:t>الصورة التالية تعرض تجارب الـ ensemble والفحوصات الإضافية مثل final_ensemble وreference_soft_voting_candidate، وفيها تظهر مقاييس oof_accuracy وoof_f1_macro.</w:t>
      </w:r>
    </w:p>
    <w:p>
      <w:pPr>
        <w:jc w:val="center"/>
      </w:pPr>
      <w:r>
        <w:drawing>
          <wp:inline xmlns:a="http://schemas.openxmlformats.org/drawingml/2006/main" xmlns:pic="http://schemas.openxmlformats.org/drawingml/2006/picture">
            <wp:extent cx="6192000" cy="2407700"/>
            <wp:docPr id="2" name="Picture 2"/>
            <wp:cNvGraphicFramePr>
              <a:graphicFrameLocks noChangeAspect="1"/>
            </wp:cNvGraphicFramePr>
            <a:graphic>
              <a:graphicData uri="http://schemas.openxmlformats.org/drawingml/2006/picture">
                <pic:pic>
                  <pic:nvPicPr>
                    <pic:cNvPr id="0" name="لقطة الشاشة 2026-07-02 101231.png"/>
                    <pic:cNvPicPr/>
                  </pic:nvPicPr>
                  <pic:blipFill>
                    <a:blip r:embed="rId10"/>
                    <a:stretch>
                      <a:fillRect/>
                    </a:stretch>
                  </pic:blipFill>
                  <pic:spPr>
                    <a:xfrm>
                      <a:off x="0" y="0"/>
                      <a:ext cx="6192000" cy="2407700"/>
                    </a:xfrm>
                    <a:prstGeom prst="rect"/>
                  </pic:spPr>
                </pic:pic>
              </a:graphicData>
            </a:graphic>
          </wp:inline>
        </w:drawing>
      </w:r>
    </w:p>
    <w:p>
      <w:pPr>
        <w:spacing w:line="324" w:lineRule="auto" w:after="280"/>
        <w:jc w:val="right"/>
        <w:bidi w:val="1"/>
      </w:pPr>
      <w:r>
        <w:rPr>
          <w:rFonts w:ascii="Arial" w:hAnsi="Arial" w:cs="Arial"/>
          <w:b/>
          <w:color w:val="595959"/>
          <w:sz w:val="20"/>
        </w:rPr>
        <w:t>صورة 2: جدول MLflow لتجارب الـ ensemble والفحوصات الإضافية.</w:t>
      </w:r>
    </w:p>
    <w:p>
      <w:pPr>
        <w:spacing w:line="324" w:lineRule="auto" w:after="200"/>
        <w:jc w:val="right"/>
        <w:bidi w:val="1"/>
      </w:pPr>
      <w:r>
        <w:rPr>
          <w:rFonts w:ascii="Arial" w:hAnsi="Arial" w:cs="Arial"/>
          <w:b/>
          <w:color w:val="2E74B5"/>
          <w:sz w:val="28"/>
        </w:rPr>
        <w:t>4. التجارب التي تمت مقارنتها</w:t>
      </w:r>
    </w:p>
    <w:tbl>
      <w:tblPr>
        <w:tblStyle w:val="TableGrid"/>
        <w:tblW w:type="auto" w:w="0"/>
        <w:jc w:val="center"/>
        <w:tblLook w:firstColumn="1" w:firstRow="1" w:lastColumn="0" w:lastRow="0" w:noHBand="0" w:noVBand="1" w:val="04A0"/>
      </w:tblPr>
      <w:tblGrid>
        <w:gridCol w:w="5270"/>
        <w:gridCol w:w="5270"/>
      </w:tblGrid>
      <w:tr>
        <w:tc>
          <w:tcPr>
            <w:tcW w:type="dxa" w:w="5270"/>
            <w:shd w:fill="1F4E79"/>
            <w:vAlign w:val="center"/>
          </w:tcPr>
          <w:p>
            <w:pPr>
              <w:spacing w:line="300" w:lineRule="auto" w:after="100"/>
              <w:jc w:val="right"/>
              <w:bidi w:val="1"/>
            </w:pPr>
            <w:r/>
            <w:r>
              <w:rPr>
                <w:rFonts w:ascii="Arial" w:hAnsi="Arial" w:cs="Arial"/>
                <w:b/>
                <w:color w:val="FFFFFF"/>
                <w:sz w:val="21"/>
              </w:rPr>
              <w:t>نوع التجربة</w:t>
            </w:r>
          </w:p>
        </w:tc>
        <w:tc>
          <w:tcPr>
            <w:tcW w:type="dxa" w:w="5270"/>
            <w:shd w:fill="1F4E79"/>
            <w:vAlign w:val="center"/>
          </w:tcPr>
          <w:p>
            <w:pPr>
              <w:spacing w:line="300" w:lineRule="auto" w:after="100"/>
              <w:jc w:val="right"/>
              <w:bidi w:val="1"/>
            </w:pPr>
            <w:r/>
            <w:r>
              <w:rPr>
                <w:rFonts w:ascii="Arial" w:hAnsi="Arial" w:cs="Arial"/>
                <w:b/>
                <w:color w:val="FFFFFF"/>
                <w:sz w:val="21"/>
              </w:rPr>
              <w:t>الهدف</w:t>
            </w:r>
          </w:p>
        </w:tc>
      </w:tr>
      <w:tr>
        <w:tc>
          <w:tcPr>
            <w:tcW w:type="dxa" w:w="5270"/>
            <w:vAlign w:val="center"/>
          </w:tcPr>
          <w:p>
            <w:pPr>
              <w:spacing w:line="300" w:lineRule="auto" w:after="100"/>
              <w:jc w:val="right"/>
              <w:bidi w:val="1"/>
            </w:pPr>
            <w:r/>
            <w:r>
              <w:rPr>
                <w:rFonts w:ascii="Arial" w:hAnsi="Arial" w:cs="Arial"/>
                <w:b w:val="0"/>
                <w:sz w:val="21"/>
              </w:rPr>
              <w:t>Decision Tree و Bagging</w:t>
            </w:r>
          </w:p>
        </w:tc>
        <w:tc>
          <w:tcPr>
            <w:tcW w:type="dxa" w:w="5270"/>
            <w:vAlign w:val="center"/>
          </w:tcPr>
          <w:p>
            <w:pPr>
              <w:spacing w:line="300" w:lineRule="auto" w:after="100"/>
              <w:jc w:val="right"/>
              <w:bidi w:val="1"/>
            </w:pPr>
            <w:r/>
            <w:r>
              <w:rPr>
                <w:rFonts w:ascii="Arial" w:hAnsi="Arial" w:cs="Arial"/>
                <w:b w:val="0"/>
                <w:sz w:val="21"/>
              </w:rPr>
              <w:t>اختبار قدرة الأشجار على التقاط الأنماط الواضحة في الخصائص.</w:t>
            </w:r>
          </w:p>
        </w:tc>
      </w:tr>
      <w:tr>
        <w:tc>
          <w:tcPr>
            <w:tcW w:type="dxa" w:w="5270"/>
            <w:vAlign w:val="center"/>
          </w:tcPr>
          <w:p>
            <w:pPr>
              <w:spacing w:line="300" w:lineRule="auto" w:after="100"/>
              <w:jc w:val="right"/>
              <w:bidi w:val="1"/>
            </w:pPr>
            <w:r/>
            <w:r>
              <w:rPr>
                <w:rFonts w:ascii="Arial" w:hAnsi="Arial" w:cs="Arial"/>
                <w:b w:val="0"/>
                <w:sz w:val="21"/>
              </w:rPr>
              <w:t>Random Forest و Extra Trees</w:t>
            </w:r>
          </w:p>
        </w:tc>
        <w:tc>
          <w:tcPr>
            <w:tcW w:type="dxa" w:w="5270"/>
            <w:vAlign w:val="center"/>
          </w:tcPr>
          <w:p>
            <w:pPr>
              <w:spacing w:line="300" w:lineRule="auto" w:after="100"/>
              <w:jc w:val="right"/>
              <w:bidi w:val="1"/>
            </w:pPr>
            <w:r/>
            <w:r>
              <w:rPr>
                <w:rFonts w:ascii="Arial" w:hAnsi="Arial" w:cs="Arial"/>
                <w:b w:val="0"/>
                <w:sz w:val="21"/>
              </w:rPr>
              <w:t>تقليل تذبذب الشجرة الواحدة عبر تجميع عدة أشجار.</w:t>
            </w:r>
          </w:p>
        </w:tc>
      </w:tr>
      <w:tr>
        <w:tc>
          <w:tcPr>
            <w:tcW w:type="dxa" w:w="5270"/>
            <w:vAlign w:val="center"/>
          </w:tcPr>
          <w:p>
            <w:pPr>
              <w:spacing w:line="300" w:lineRule="auto" w:after="100"/>
              <w:jc w:val="right"/>
              <w:bidi w:val="1"/>
            </w:pPr>
            <w:r/>
            <w:r>
              <w:rPr>
                <w:rFonts w:ascii="Arial" w:hAnsi="Arial" w:cs="Arial"/>
                <w:b w:val="0"/>
                <w:sz w:val="21"/>
              </w:rPr>
              <w:t>Gradient Boosting و HistGradientBoosting</w:t>
            </w:r>
          </w:p>
        </w:tc>
        <w:tc>
          <w:tcPr>
            <w:tcW w:type="dxa" w:w="5270"/>
            <w:vAlign w:val="center"/>
          </w:tcPr>
          <w:p>
            <w:pPr>
              <w:spacing w:line="300" w:lineRule="auto" w:after="100"/>
              <w:jc w:val="right"/>
              <w:bidi w:val="1"/>
            </w:pPr>
            <w:r/>
            <w:r>
              <w:rPr>
                <w:rFonts w:ascii="Arial" w:hAnsi="Arial" w:cs="Arial"/>
                <w:b w:val="0"/>
                <w:sz w:val="21"/>
              </w:rPr>
              <w:t>تجربة نماذج boosting مناسبة للبيانات الجدولية.</w:t>
            </w:r>
          </w:p>
        </w:tc>
      </w:tr>
      <w:tr>
        <w:tc>
          <w:tcPr>
            <w:tcW w:type="dxa" w:w="5270"/>
            <w:vAlign w:val="center"/>
          </w:tcPr>
          <w:p>
            <w:pPr>
              <w:spacing w:line="300" w:lineRule="auto" w:after="100"/>
              <w:jc w:val="right"/>
              <w:bidi w:val="1"/>
            </w:pPr>
            <w:r/>
            <w:r>
              <w:rPr>
                <w:rFonts w:ascii="Arial" w:hAnsi="Arial" w:cs="Arial"/>
                <w:b w:val="0"/>
                <w:sz w:val="21"/>
              </w:rPr>
              <w:t>LightGBM و XGBoost</w:t>
            </w:r>
          </w:p>
        </w:tc>
        <w:tc>
          <w:tcPr>
            <w:tcW w:type="dxa" w:w="5270"/>
            <w:vAlign w:val="center"/>
          </w:tcPr>
          <w:p>
            <w:pPr>
              <w:spacing w:line="300" w:lineRule="auto" w:after="100"/>
              <w:jc w:val="right"/>
              <w:bidi w:val="1"/>
            </w:pPr>
            <w:r/>
            <w:r>
              <w:rPr>
                <w:rFonts w:ascii="Arial" w:hAnsi="Arial" w:cs="Arial"/>
                <w:b w:val="0"/>
                <w:sz w:val="21"/>
              </w:rPr>
              <w:t>اختبار نماذج قوية على tabular data.</w:t>
            </w:r>
          </w:p>
        </w:tc>
      </w:tr>
      <w:tr>
        <w:tc>
          <w:tcPr>
            <w:tcW w:type="dxa" w:w="5270"/>
            <w:vAlign w:val="center"/>
          </w:tcPr>
          <w:p>
            <w:pPr>
              <w:spacing w:line="300" w:lineRule="auto" w:after="100"/>
              <w:jc w:val="right"/>
              <w:bidi w:val="1"/>
            </w:pPr>
            <w:r/>
            <w:r>
              <w:rPr>
                <w:rFonts w:ascii="Arial" w:hAnsi="Arial" w:cs="Arial"/>
                <w:b w:val="0"/>
                <w:sz w:val="21"/>
              </w:rPr>
              <w:t>Unweighted LightGBM</w:t>
            </w:r>
          </w:p>
        </w:tc>
        <w:tc>
          <w:tcPr>
            <w:tcW w:type="dxa" w:w="5270"/>
            <w:vAlign w:val="center"/>
          </w:tcPr>
          <w:p>
            <w:pPr>
              <w:spacing w:line="300" w:lineRule="auto" w:after="100"/>
              <w:jc w:val="right"/>
              <w:bidi w:val="1"/>
            </w:pPr>
            <w:r/>
            <w:r>
              <w:rPr>
                <w:rFonts w:ascii="Arial" w:hAnsi="Arial" w:cs="Arial"/>
                <w:b w:val="0"/>
                <w:sz w:val="21"/>
              </w:rPr>
              <w:t>مقارنة أثر إزالة class weights.</w:t>
            </w:r>
          </w:p>
        </w:tc>
      </w:tr>
      <w:tr>
        <w:tc>
          <w:tcPr>
            <w:tcW w:type="dxa" w:w="5270"/>
            <w:vAlign w:val="center"/>
          </w:tcPr>
          <w:p>
            <w:pPr>
              <w:spacing w:line="300" w:lineRule="auto" w:after="100"/>
              <w:jc w:val="right"/>
              <w:bidi w:val="1"/>
            </w:pPr>
            <w:r/>
            <w:r>
              <w:rPr>
                <w:rFonts w:ascii="Arial" w:hAnsi="Arial" w:cs="Arial"/>
                <w:b w:val="0"/>
                <w:sz w:val="21"/>
              </w:rPr>
              <w:t>Core 4 Features Model</w:t>
            </w:r>
          </w:p>
        </w:tc>
        <w:tc>
          <w:tcPr>
            <w:tcW w:type="dxa" w:w="5270"/>
            <w:vAlign w:val="center"/>
          </w:tcPr>
          <w:p>
            <w:pPr>
              <w:spacing w:line="300" w:lineRule="auto" w:after="100"/>
              <w:jc w:val="right"/>
              <w:bidi w:val="1"/>
            </w:pPr>
            <w:r/>
            <w:r>
              <w:rPr>
                <w:rFonts w:ascii="Arial" w:hAnsi="Arial" w:cs="Arial"/>
                <w:b w:val="0"/>
                <w:sz w:val="21"/>
              </w:rPr>
              <w:t>اختبار نموذج صغير يعتمد على أكثر الخصائص ظهوراً في التحليل.</w:t>
            </w:r>
          </w:p>
        </w:tc>
      </w:tr>
      <w:tr>
        <w:tc>
          <w:tcPr>
            <w:tcW w:type="dxa" w:w="5270"/>
            <w:vAlign w:val="center"/>
          </w:tcPr>
          <w:p>
            <w:pPr>
              <w:spacing w:line="300" w:lineRule="auto" w:after="100"/>
              <w:jc w:val="right"/>
              <w:bidi w:val="1"/>
            </w:pPr>
            <w:r/>
            <w:r>
              <w:rPr>
                <w:rFonts w:ascii="Arial" w:hAnsi="Arial" w:cs="Arial"/>
                <w:b w:val="0"/>
                <w:sz w:val="21"/>
              </w:rPr>
              <w:t>ADASYN و BorderlineSMOTE</w:t>
            </w:r>
          </w:p>
        </w:tc>
        <w:tc>
          <w:tcPr>
            <w:tcW w:type="dxa" w:w="5270"/>
            <w:vAlign w:val="center"/>
          </w:tcPr>
          <w:p>
            <w:pPr>
              <w:spacing w:line="300" w:lineRule="auto" w:after="100"/>
              <w:jc w:val="right"/>
              <w:bidi w:val="1"/>
            </w:pPr>
            <w:r/>
            <w:r>
              <w:rPr>
                <w:rFonts w:ascii="Arial" w:hAnsi="Arial" w:cs="Arial"/>
                <w:b w:val="0"/>
                <w:sz w:val="21"/>
              </w:rPr>
              <w:t>فحص أثر توليد أمثلة إضافية للفئات الأقل عدداً.</w:t>
            </w:r>
          </w:p>
        </w:tc>
      </w:tr>
      <w:tr>
        <w:tc>
          <w:tcPr>
            <w:tcW w:type="dxa" w:w="5270"/>
            <w:vAlign w:val="center"/>
          </w:tcPr>
          <w:p>
            <w:pPr>
              <w:spacing w:line="300" w:lineRule="auto" w:after="100"/>
              <w:jc w:val="right"/>
              <w:bidi w:val="1"/>
            </w:pPr>
            <w:r/>
            <w:r>
              <w:rPr>
                <w:rFonts w:ascii="Arial" w:hAnsi="Arial" w:cs="Arial"/>
                <w:b w:val="0"/>
                <w:sz w:val="21"/>
              </w:rPr>
              <w:t>Soft Voting Ensemble</w:t>
            </w:r>
          </w:p>
        </w:tc>
        <w:tc>
          <w:tcPr>
            <w:tcW w:type="dxa" w:w="5270"/>
            <w:vAlign w:val="center"/>
          </w:tcPr>
          <w:p>
            <w:pPr>
              <w:spacing w:line="300" w:lineRule="auto" w:after="100"/>
              <w:jc w:val="right"/>
              <w:bidi w:val="1"/>
            </w:pPr>
            <w:r/>
            <w:r>
              <w:rPr>
                <w:rFonts w:ascii="Arial" w:hAnsi="Arial" w:cs="Arial"/>
                <w:b w:val="0"/>
                <w:sz w:val="21"/>
              </w:rPr>
              <w:t>دمج احتمالات عدة نماذج عندما تكون أخطاؤها مختلفة.</w:t>
            </w:r>
          </w:p>
        </w:tc>
      </w:tr>
    </w:tbl>
    <w:p/>
    <w:p>
      <w:pPr>
        <w:spacing w:line="324" w:lineRule="auto" w:after="160"/>
        <w:jc w:val="right"/>
        <w:bidi w:val="1"/>
      </w:pPr>
      <w:r>
        <w:rPr>
          <w:rFonts w:ascii="Arial" w:hAnsi="Arial" w:cs="Arial"/>
          <w:b w:val="0"/>
          <w:sz w:val="22"/>
        </w:rPr>
        <w:t>الهدف من هذه التجارب لم يكن فقط رفع النتيجة، بل معرفة أي النماذج أكثر ثباتاً وأيها يعطي أداء جيداً على الكلاسات الأقل عدداً.</w:t>
      </w:r>
    </w:p>
    <w:p>
      <w:pPr>
        <w:spacing w:line="324" w:lineRule="auto" w:after="200"/>
        <w:jc w:val="right"/>
        <w:bidi w:val="1"/>
      </w:pPr>
      <w:r>
        <w:rPr>
          <w:rFonts w:ascii="Arial" w:hAnsi="Arial" w:cs="Arial"/>
          <w:b/>
          <w:color w:val="2E74B5"/>
          <w:sz w:val="28"/>
        </w:rPr>
        <w:t>5. إدارة البيانات باستخدام DVC</w:t>
      </w:r>
    </w:p>
    <w:p>
      <w:pPr>
        <w:spacing w:line="324" w:lineRule="auto" w:after="160"/>
        <w:jc w:val="right"/>
        <w:bidi w:val="1"/>
      </w:pPr>
      <w:r>
        <w:rPr>
          <w:rFonts w:ascii="Arial" w:hAnsi="Arial" w:cs="Arial"/>
          <w:b w:val="0"/>
          <w:sz w:val="22"/>
        </w:rPr>
        <w:t>استخدمنا DVC لتتبع ملفات البيانات بدل رفع ملفات CSV الخام إلى GitHub. هذا يجعل المستودع أخف، ويعطي طريقة واضحة لأي عضو في الفريق ليسترجع نفس نسخة البيانات.</w:t>
      </w:r>
    </w:p>
    <w:p>
      <w:pPr>
        <w:spacing w:line="324" w:lineRule="auto" w:after="160"/>
        <w:jc w:val="right"/>
        <w:bidi w:val="1"/>
      </w:pPr>
      <w:r>
        <w:rPr>
          <w:rFonts w:ascii="Arial" w:hAnsi="Arial" w:cs="Arial"/>
          <w:b/>
          <w:sz w:val="22"/>
        </w:rPr>
        <w:t>رابط مستودع GitHub:</w:t>
      </w:r>
    </w:p>
    <w:p>
      <w:pPr>
        <w:spacing w:after="160"/>
        <w:jc w:val="left"/>
      </w:pPr>
      <w:r>
        <w:rPr>
          <w:rFonts w:ascii="Arial" w:hAnsi="Arial" w:cs="Arial"/>
          <w:b w:val="0"/>
          <w:color w:val="282828"/>
          <w:sz w:val="20"/>
        </w:rPr>
        <w:t>https://github.com/AhmadMurad10/FITE-Classification-Challenge</w:t>
      </w:r>
    </w:p>
    <w:p>
      <w:pPr>
        <w:spacing w:line="324" w:lineRule="auto" w:after="160"/>
        <w:jc w:val="right"/>
        <w:bidi w:val="1"/>
      </w:pPr>
      <w:r>
        <w:rPr>
          <w:rFonts w:ascii="Arial" w:hAnsi="Arial" w:cs="Arial"/>
          <w:b/>
          <w:sz w:val="22"/>
        </w:rPr>
        <w:t>الـ DVC remote مضبوط على Google Drive:</w:t>
      </w:r>
    </w:p>
    <w:p>
      <w:pPr>
        <w:spacing w:after="160"/>
        <w:jc w:val="left"/>
      </w:pPr>
      <w:r>
        <w:rPr>
          <w:rFonts w:ascii="Arial" w:hAnsi="Arial" w:cs="Arial"/>
          <w:b w:val="0"/>
          <w:color w:val="282828"/>
          <w:sz w:val="20"/>
        </w:rPr>
        <w:t>gdrive://12AfjjB_qMloHxg0oZsQ4fbWs3zYJCeAo</w:t>
      </w:r>
    </w:p>
    <w:p>
      <w:pPr>
        <w:spacing w:line="324" w:lineRule="auto" w:after="160"/>
        <w:jc w:val="right"/>
        <w:bidi w:val="1"/>
      </w:pPr>
      <w:r>
        <w:rPr>
          <w:rFonts w:ascii="Arial" w:hAnsi="Arial" w:cs="Arial"/>
          <w:b/>
          <w:sz w:val="22"/>
        </w:rPr>
        <w:t>لاسترجاع البيانات على جهاز جديد:</w:t>
      </w:r>
    </w:p>
    <w:p>
      <w:pPr>
        <w:spacing w:after="160"/>
        <w:jc w:val="left"/>
      </w:pPr>
      <w:r>
        <w:rPr>
          <w:rFonts w:ascii="Arial" w:hAnsi="Arial" w:cs="Arial"/>
          <w:b w:val="0"/>
          <w:color w:val="282828"/>
          <w:sz w:val="20"/>
        </w:rPr>
        <w:t>pip install -r requirements.txt</w:t>
        <w:br/>
        <w:t>dvc pull</w:t>
      </w:r>
    </w:p>
    <w:p>
      <w:pPr>
        <w:spacing w:line="324" w:lineRule="auto" w:after="160"/>
        <w:jc w:val="right"/>
        <w:bidi w:val="1"/>
      </w:pPr>
      <w:r>
        <w:rPr>
          <w:rFonts w:ascii="Arial" w:hAnsi="Arial" w:cs="Arial"/>
          <w:b w:val="0"/>
          <w:sz w:val="22"/>
        </w:rPr>
        <w:t>يجب أن يكون لدى المستخدم صلاحية وصول إلى فولدر Google Drive قبل تنفيذ dvc pull.</w:t>
      </w:r>
    </w:p>
    <w:p>
      <w:pPr>
        <w:spacing w:line="324" w:lineRule="auto" w:after="200"/>
        <w:jc w:val="right"/>
        <w:bidi w:val="1"/>
      </w:pPr>
      <w:r>
        <w:rPr>
          <w:rFonts w:ascii="Arial" w:hAnsi="Arial" w:cs="Arial"/>
          <w:b/>
          <w:color w:val="2E74B5"/>
          <w:sz w:val="28"/>
        </w:rPr>
        <w:t>6. خلاصة</w:t>
      </w:r>
    </w:p>
    <w:p>
      <w:pPr>
        <w:spacing w:line="324" w:lineRule="auto" w:after="160"/>
        <w:jc w:val="right"/>
        <w:bidi w:val="1"/>
      </w:pPr>
      <w:r>
        <w:rPr>
          <w:rFonts w:ascii="Arial" w:hAnsi="Arial" w:cs="Arial"/>
          <w:b w:val="0"/>
          <w:sz w:val="22"/>
        </w:rPr>
        <w:t>تم بناء pipeline قابل للإعادة، وتسجيل التجارب باستخدام MLflow، وتتبع البيانات باستخدام DVC. كما تمت مقارنة عدة نماذج ومقاييس بدل الاعتماد على نتيجة واحدة. هذا يعطينا توثيقاً واضحاً لكيفية الوصول إلى النموذج النهائي، ويسهّل مراجعة التجارب أو إعادة تشغيلها لاحقاً.</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