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Calibri" w:hAnsi="Calibri" w:cs="Calibri"/>
          <w:b/>
          <w:i w:val="0"/>
          <w:color w:val="17365D"/>
          <w:sz w:val="46"/>
        </w:rPr>
        <w:t>Enterprise Vendor Approval Policy</w:t>
      </w:r>
    </w:p>
    <w:p>
      <w:pPr>
        <w:spacing w:after="240"/>
      </w:pPr>
      <w:r>
        <w:rPr>
          <w:rFonts w:ascii="Calibri" w:hAnsi="Calibri" w:cs="Calibri"/>
          <w:b w:val="0"/>
          <w:i w:val="0"/>
          <w:color w:val="667085"/>
          <w:sz w:val="25"/>
        </w:rPr>
        <w:t>Procurement and third-party onboarding</w:t>
      </w:r>
    </w:p>
    <w:p>
      <w:pPr>
        <w:spacing w:after="200"/>
        <w:pBdr>
          <w:bottom w:val="single" w:sz="8" w:space="1" w:color="98A2B3"/>
        </w:pBdr>
      </w:pPr>
      <w:r>
        <w:rPr>
          <w:rFonts w:ascii="Calibri" w:hAnsi="Calibri" w:cs="Calibri"/>
          <w:b/>
          <w:i w:val="0"/>
          <w:color w:val="17365D"/>
          <w:sz w:val="19"/>
        </w:rPr>
        <w:t>INTERNAL - CURRENT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7365D"/>
                <w:sz w:val="21"/>
              </w:rPr>
              <w:t>Document ID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111111"/>
                <w:sz w:val="21"/>
              </w:rPr>
              <w:t>APX-PROC-POL-014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7365D"/>
                <w:sz w:val="21"/>
              </w:rPr>
              <w:t>Version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111111"/>
                <w:sz w:val="21"/>
              </w:rPr>
              <w:t>3.0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7365D"/>
                <w:sz w:val="21"/>
              </w:rPr>
              <w:t>Status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111111"/>
                <w:sz w:val="21"/>
              </w:rPr>
              <w:t>Current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7365D"/>
                <w:sz w:val="21"/>
              </w:rPr>
              <w:t>Effective date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111111"/>
                <w:sz w:val="21"/>
              </w:rPr>
              <w:t>2026-07-01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7365D"/>
                <w:sz w:val="21"/>
              </w:rPr>
              <w:t>Owner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111111"/>
                <w:sz w:val="21"/>
              </w:rPr>
              <w:t>Procurement Operations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7365D"/>
                <w:sz w:val="21"/>
              </w:rPr>
              <w:t>Supersedes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111111"/>
                <w:sz w:val="21"/>
              </w:rPr>
              <w:t>Version 2.1 dated 2024-03-15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cs="Calibri"/>
          <w:b/>
          <w:i w:val="0"/>
          <w:color w:val="2E74B5"/>
          <w:sz w:val="32"/>
        </w:rPr>
        <w:t>1. Purpose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111111"/>
          <w:sz w:val="22"/>
        </w:rPr>
        <w:t>This policy defines the mandatory intake, risk review, approval, and onboarding process for enterprise vendors used by ApexOne Group.</w:t>
      </w:r>
    </w:p>
    <w:p>
      <w:pPr>
        <w:pStyle w:val="Heading1"/>
        <w:keepNext/>
      </w:pPr>
      <w:r>
        <w:rPr>
          <w:rFonts w:ascii="Calibri" w:hAnsi="Calibri" w:cs="Calibri"/>
          <w:b/>
          <w:i w:val="0"/>
          <w:color w:val="2E74B5"/>
          <w:sz w:val="32"/>
        </w:rPr>
        <w:t>2. Scope and definition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111111"/>
          <w:sz w:val="22"/>
        </w:rPr>
        <w:t>A vendor is treated as an enterprise vendor when any of the following applies:</w:t>
      </w:r>
    </w:p>
    <w:p>
      <w:pPr>
        <w:pStyle w:val="ListBullet"/>
        <w:keepLines/>
      </w:pPr>
      <w:r>
        <w:rPr>
          <w:rFonts w:ascii="Calibri" w:hAnsi="Calibri" w:cs="Calibri"/>
          <w:b w:val="0"/>
          <w:i w:val="0"/>
          <w:color w:val="111111"/>
          <w:sz w:val="22"/>
        </w:rPr>
        <w:t>Expected annual spend is USD 50,000 or more.</w:t>
      </w:r>
    </w:p>
    <w:p>
      <w:pPr>
        <w:pStyle w:val="ListBullet"/>
        <w:keepLines/>
      </w:pPr>
      <w:r>
        <w:rPr>
          <w:rFonts w:ascii="Calibri" w:hAnsi="Calibri" w:cs="Calibri"/>
          <w:b w:val="0"/>
          <w:i w:val="0"/>
          <w:color w:val="111111"/>
          <w:sz w:val="22"/>
        </w:rPr>
        <w:t>The vendor will access ApexOne systems, internal data, customer data, or facilities with controlled access.</w:t>
      </w:r>
    </w:p>
    <w:p>
      <w:pPr>
        <w:pStyle w:val="ListBullet"/>
        <w:keepLines/>
      </w:pPr>
      <w:r>
        <w:rPr>
          <w:rFonts w:ascii="Calibri" w:hAnsi="Calibri" w:cs="Calibri"/>
          <w:b w:val="0"/>
          <w:i w:val="0"/>
          <w:color w:val="111111"/>
          <w:sz w:val="22"/>
        </w:rPr>
        <w:t>The service creates a critical operational dependency.</w:t>
      </w:r>
    </w:p>
    <w:p>
      <w:pPr>
        <w:pStyle w:val="ListBullet"/>
        <w:keepLines/>
      </w:pPr>
      <w:r>
        <w:rPr>
          <w:rFonts w:ascii="Calibri" w:hAnsi="Calibri" w:cs="Calibri"/>
          <w:b w:val="0"/>
          <w:i w:val="0"/>
          <w:color w:val="111111"/>
          <w:sz w:val="22"/>
        </w:rPr>
        <w:t>The vendor will be used by two or more business units.</w:t>
      </w:r>
    </w:p>
    <w:p>
      <w:pPr>
        <w:pStyle w:val="Heading1"/>
        <w:keepNext/>
      </w:pPr>
      <w:r>
        <w:rPr>
          <w:rFonts w:ascii="Calibri" w:hAnsi="Calibri" w:cs="Calibri"/>
          <w:b/>
          <w:i w:val="0"/>
          <w:color w:val="2E74B5"/>
          <w:sz w:val="32"/>
        </w:rPr>
        <w:t>3. Required approval process</w:t>
      </w:r>
    </w:p>
    <w:p>
      <w:pPr>
        <w:keepLines/>
        <w:spacing w:after="120" w:line="264" w:lineRule="auto"/>
        <w:numPr>
          <w:ilvl w:val="0"/>
          <w:numId w:val="10"/>
        </w:numPr>
      </w:pPr>
      <w:r>
        <w:rPr>
          <w:rFonts w:ascii="Calibri" w:hAnsi="Calibri" w:cs="Calibri"/>
          <w:b w:val="0"/>
          <w:i w:val="0"/>
          <w:color w:val="111111"/>
          <w:sz w:val="22"/>
        </w:rPr>
        <w:t>Business sponsor submits an intake request with business need, owner, expected spend, data access, system access, and intended start date.</w:t>
      </w:r>
    </w:p>
    <w:p>
      <w:pPr>
        <w:keepLines/>
        <w:spacing w:after="120" w:line="264" w:lineRule="auto"/>
        <w:numPr>
          <w:ilvl w:val="0"/>
          <w:numId w:val="10"/>
        </w:numPr>
      </w:pPr>
      <w:r>
        <w:rPr>
          <w:rFonts w:ascii="Calibri" w:hAnsi="Calibri" w:cs="Calibri"/>
          <w:b w:val="0"/>
          <w:i w:val="0"/>
          <w:color w:val="111111"/>
          <w:sz w:val="22"/>
        </w:rPr>
        <w:t>Procurement checks for duplicate suppliers, confirms the vendor category, and starts due diligence.</w:t>
      </w:r>
    </w:p>
    <w:p>
      <w:pPr>
        <w:keepLines/>
        <w:spacing w:after="120" w:line="264" w:lineRule="auto"/>
        <w:numPr>
          <w:ilvl w:val="0"/>
          <w:numId w:val="10"/>
        </w:numPr>
      </w:pPr>
      <w:r>
        <w:rPr>
          <w:rFonts w:ascii="Calibri" w:hAnsi="Calibri" w:cs="Calibri"/>
          <w:b w:val="0"/>
          <w:i w:val="0"/>
          <w:color w:val="111111"/>
          <w:sz w:val="22"/>
        </w:rPr>
        <w:t>Information Security reviews any vendor with system, data, privileged facility, or security-relevant access. This review cannot be replaced by business-owner acceptance.</w:t>
      </w:r>
    </w:p>
    <w:p>
      <w:pPr>
        <w:keepLines/>
        <w:spacing w:after="120" w:line="264" w:lineRule="auto"/>
        <w:numPr>
          <w:ilvl w:val="0"/>
          <w:numId w:val="10"/>
        </w:numPr>
      </w:pPr>
      <w:r>
        <w:rPr>
          <w:rFonts w:ascii="Calibri" w:hAnsi="Calibri" w:cs="Calibri"/>
          <w:b w:val="0"/>
          <w:i w:val="0"/>
          <w:color w:val="111111"/>
          <w:sz w:val="22"/>
        </w:rPr>
        <w:t>Finance validates budget and applies the approval thresholds in the current Procurement Approval Matrix.</w:t>
      </w:r>
    </w:p>
    <w:p>
      <w:pPr>
        <w:keepLines/>
        <w:spacing w:after="120" w:line="264" w:lineRule="auto"/>
        <w:numPr>
          <w:ilvl w:val="0"/>
          <w:numId w:val="10"/>
        </w:numPr>
      </w:pPr>
      <w:r>
        <w:rPr>
          <w:rFonts w:ascii="Calibri" w:hAnsi="Calibri" w:cs="Calibri"/>
          <w:b w:val="0"/>
          <w:i w:val="0"/>
          <w:color w:val="111111"/>
          <w:sz w:val="22"/>
        </w:rPr>
        <w:t>Legal completes the applicable contract and data-terms review. Approved standard templates may satisfy this stage when an active Legal advisory explicitly allows it.</w:t>
      </w:r>
    </w:p>
    <w:p>
      <w:pPr>
        <w:keepLines/>
        <w:spacing w:after="120" w:line="264" w:lineRule="auto"/>
        <w:numPr>
          <w:ilvl w:val="0"/>
          <w:numId w:val="10"/>
        </w:numPr>
      </w:pPr>
      <w:r>
        <w:rPr>
          <w:rFonts w:ascii="Calibri" w:hAnsi="Calibri" w:cs="Calibri"/>
          <w:b w:val="0"/>
          <w:i w:val="0"/>
          <w:color w:val="111111"/>
          <w:sz w:val="22"/>
        </w:rPr>
        <w:t>Procurement records final approvals, creates the supplier record, and authorizes contracting or purchase-order creation.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6D8"/>
          <w:left w:val="single" w:sz="6" w:space="0" w:color="B8C6D8"/>
          <w:bottom w:val="single" w:sz="6" w:space="0" w:color="B8C6D8"/>
          <w:right w:val="single" w:sz="6" w:space="0" w:color="B8C6D8"/>
          <w:insideH w:val="single" w:sz="6" w:space="0" w:color="B8C6D8"/>
          <w:insideV w:val="single" w:sz="6" w:space="0" w:color="B8C6D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7365D"/>
                <w:sz w:val="21"/>
              </w:rPr>
              <w:t xml:space="preserve">CONTROL  </w:t>
            </w:r>
            <w:r>
              <w:rPr>
                <w:rFonts w:ascii="Calibri" w:hAnsi="Calibri" w:cs="Calibri"/>
                <w:b/>
                <w:i w:val="0"/>
                <w:color w:val="17365D"/>
                <w:sz w:val="21"/>
              </w:rPr>
              <w:t>No contract, purchase order, production access, or data exchange may begin before the required stages are complete.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cs="Calibri"/>
          <w:b/>
          <w:i w:val="0"/>
          <w:color w:val="2E74B5"/>
          <w:sz w:val="32"/>
        </w:rPr>
        <w:t>4. Evidence and records</w:t>
      </w:r>
    </w:p>
    <w:p>
      <w:pPr>
        <w:pStyle w:val="ListBullet"/>
        <w:keepLines/>
      </w:pPr>
      <w:r>
        <w:rPr>
          <w:rFonts w:ascii="Calibri" w:hAnsi="Calibri" w:cs="Calibri"/>
          <w:b w:val="0"/>
          <w:i w:val="0"/>
          <w:color w:val="111111"/>
          <w:sz w:val="22"/>
        </w:rPr>
        <w:t>Intake request and named business sponsor</w:t>
      </w:r>
    </w:p>
    <w:p>
      <w:pPr>
        <w:pStyle w:val="ListBullet"/>
        <w:keepLines/>
      </w:pPr>
      <w:r>
        <w:rPr>
          <w:rFonts w:ascii="Calibri" w:hAnsi="Calibri" w:cs="Calibri"/>
          <w:b w:val="0"/>
          <w:i w:val="0"/>
          <w:color w:val="111111"/>
          <w:sz w:val="22"/>
        </w:rPr>
        <w:t>Due-diligence outcome and risk classification</w:t>
      </w:r>
    </w:p>
    <w:p>
      <w:pPr>
        <w:pStyle w:val="ListBullet"/>
        <w:keepLines/>
      </w:pPr>
      <w:r>
        <w:rPr>
          <w:rFonts w:ascii="Calibri" w:hAnsi="Calibri" w:cs="Calibri"/>
          <w:b w:val="0"/>
          <w:i w:val="0"/>
          <w:color w:val="111111"/>
          <w:sz w:val="22"/>
        </w:rPr>
        <w:t>Information Security decision when applicable</w:t>
      </w:r>
    </w:p>
    <w:p>
      <w:pPr>
        <w:pStyle w:val="ListBullet"/>
        <w:keepLines/>
      </w:pPr>
      <w:r>
        <w:rPr>
          <w:rFonts w:ascii="Calibri" w:hAnsi="Calibri" w:cs="Calibri"/>
          <w:b w:val="0"/>
          <w:i w:val="0"/>
          <w:color w:val="111111"/>
          <w:sz w:val="22"/>
        </w:rPr>
        <w:t>Finance approval under the current matrix</w:t>
      </w:r>
    </w:p>
    <w:p>
      <w:pPr>
        <w:pStyle w:val="ListBullet"/>
        <w:keepLines/>
      </w:pPr>
      <w:r>
        <w:rPr>
          <w:rFonts w:ascii="Calibri" w:hAnsi="Calibri" w:cs="Calibri"/>
          <w:b w:val="0"/>
          <w:i w:val="0"/>
          <w:color w:val="111111"/>
          <w:sz w:val="22"/>
        </w:rPr>
        <w:t>Legal review path and executed agreement</w:t>
      </w:r>
    </w:p>
    <w:p>
      <w:pPr>
        <w:pStyle w:val="ListBullet"/>
        <w:keepLines/>
      </w:pPr>
      <w:r>
        <w:rPr>
          <w:rFonts w:ascii="Calibri" w:hAnsi="Calibri" w:cs="Calibri"/>
          <w:b w:val="0"/>
          <w:i w:val="0"/>
          <w:color w:val="111111"/>
          <w:sz w:val="22"/>
        </w:rPr>
        <w:t>Final supplier record and approval timestamp</w:t>
      </w:r>
    </w:p>
    <w:p>
      <w:pPr>
        <w:pStyle w:val="Heading1"/>
        <w:keepNext/>
      </w:pPr>
      <w:r>
        <w:rPr>
          <w:rFonts w:ascii="Calibri" w:hAnsi="Calibri" w:cs="Calibri"/>
          <w:b/>
          <w:i w:val="0"/>
          <w:color w:val="2E74B5"/>
          <w:sz w:val="32"/>
        </w:rPr>
        <w:t>5. Exceptions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111111"/>
          <w:sz w:val="22"/>
        </w:rPr>
        <w:t>Emergency exceptions require written approval from the Procurement Director and the accountable control owner. An exception does not remove legal, security, or regulatory obligations.</w:t>
      </w:r>
    </w:p>
    <w:p>
      <w:pPr>
        <w:pStyle w:val="Heading1"/>
        <w:keepNext/>
      </w:pPr>
      <w:r>
        <w:rPr>
          <w:rFonts w:ascii="Calibri" w:hAnsi="Calibri" w:cs="Calibri"/>
          <w:b/>
          <w:i w:val="0"/>
          <w:color w:val="2E74B5"/>
          <w:sz w:val="32"/>
        </w:rPr>
        <w:t>6. Version control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111111"/>
          <w:sz w:val="22"/>
        </w:rPr>
        <w:t>Version 3.0 supersedes version 2.1. Printed or downloaded copies must be checked against the policy repository before use.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/>
        <w:b w:val="0"/>
        <w:i w:val="0"/>
        <w:color w:val="667085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6" w:space="1" w:color="D0D5DD"/>
      </w:pBdr>
    </w:pPr>
    <w:r>
      <w:rPr>
        <w:rFonts w:ascii="Calibri" w:hAnsi="Calibri" w:cs="Calibri"/>
        <w:b/>
        <w:i w:val="0"/>
        <w:color w:val="17365D"/>
        <w:sz w:val="18"/>
      </w:rPr>
      <w:t>APEXONE GROUP</w:t>
    </w:r>
    <w:r>
      <w:rPr>
        <w:rFonts w:ascii="Calibri" w:hAnsi="Calibri" w:cs="Calibri"/>
        <w:b w:val="0"/>
        <w:i w:val="0"/>
        <w:color w:val="667085"/>
        <w:sz w:val="18"/>
      </w:rPr>
      <w:t xml:space="preserve">  |  APX-PROC-POL-014  | 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Vendor Approval Policy</dc:title>
  <dc:subject>Current procurement policy</dc:subject>
  <dc:creator>ApexOne Group</dc:creator>
  <cp:keywords>synthetic assessment document, APX-PROC-POL-014, Internal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