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cs="Calibri"/>
          <w:b/>
          <w:i w:val="0"/>
          <w:color w:val="17365D"/>
          <w:sz w:val="46"/>
        </w:rPr>
        <w:t>Employee Leave Policy</w:t>
      </w:r>
    </w:p>
    <w:p>
      <w:pPr>
        <w:spacing w:after="240"/>
      </w:pPr>
      <w:r>
        <w:rPr>
          <w:rFonts w:ascii="Calibri" w:hAnsi="Calibri" w:cs="Calibri"/>
          <w:b w:val="0"/>
          <w:i w:val="0"/>
          <w:color w:val="667085"/>
          <w:sz w:val="25"/>
        </w:rPr>
        <w:t>Annual, sick, emergency, and family leave</w:t>
      </w:r>
    </w:p>
    <w:p>
      <w:pPr>
        <w:spacing w:after="200"/>
        <w:pBdr>
          <w:bottom w:val="single" w:sz="8" w:space="1" w:color="98A2B3"/>
        </w:pBdr>
      </w:pPr>
      <w:r>
        <w:rPr>
          <w:rFonts w:ascii="Calibri" w:hAnsi="Calibri" w:cs="Calibri"/>
          <w:b/>
          <w:i w:val="0"/>
          <w:color w:val="17365D"/>
          <w:sz w:val="19"/>
        </w:rPr>
        <w:t>INTERNAL - CURRENT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Document ID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APX-HR-POL-003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Version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4.2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Status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Current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Effective date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2026-04-01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Owner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People Operations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Audience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All employees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1. Annual leave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Employees request annual leave through the HR portal. Requests should normally be submitted at least five business days before the first day of leave and require manager approval.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2. Sick leave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Employees should notify their manager as soon as reasonably possible. Medical documentation may be requested after three consecutive working days, subject to local law.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3. Emergency and family leave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Emergency and family leave requests are handled through People Operations. Employees should provide the minimum information necessary to assess eligibility.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4. Administrative leave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Administrative leave connected to an employee-relations review or investigation is handled separately by authorized HR personnel. Case details are not part of this general policy and must not be disclosed through normal employee support channels.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 xml:space="preserve">PRIVACY  </w:t>
            </w: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Managers and support teams must not search for or disclose confidential employee-relations case information when responding to a general leave-policy question.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b w:val="0"/>
        <w:i w:val="0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0D5DD"/>
      </w:pBdr>
    </w:pPr>
    <w:r>
      <w:rPr>
        <w:rFonts w:ascii="Calibri" w:hAnsi="Calibri" w:cs="Calibri"/>
        <w:b/>
        <w:i w:val="0"/>
        <w:color w:val="17365D"/>
        <w:sz w:val="18"/>
      </w:rPr>
      <w:t>APEXONE GROUP</w:t>
    </w:r>
    <w:r>
      <w:rPr>
        <w:rFonts w:ascii="Calibri" w:hAnsi="Calibri" w:cs="Calibri"/>
        <w:b w:val="0"/>
        <w:i w:val="0"/>
        <w:color w:val="667085"/>
        <w:sz w:val="18"/>
      </w:rPr>
      <w:t xml:space="preserve">  |  APX-HR-POL-003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Leave Policy</dc:title>
  <dc:subject>Current employee policy</dc:subject>
  <dc:creator>ApexOne Group</dc:creator>
  <cp:keywords>synthetic assessment document, APX-HR-POL-003, Internal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