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639B8" w14:textId="1F05E96A" w:rsidR="00603C2D" w:rsidRPr="00CF60C6" w:rsidRDefault="00603C2D" w:rsidP="00CF60C6">
      <w:pPr>
        <w:rPr>
          <w:rFonts w:cstheme="minorHAnsi"/>
          <w:b/>
          <w:bCs/>
          <w:sz w:val="36"/>
          <w:szCs w:val="36"/>
        </w:rPr>
      </w:pPr>
      <w:r w:rsidRPr="00603C2D">
        <w:rPr>
          <w:rFonts w:cstheme="minorHAnsi"/>
          <w:sz w:val="18"/>
          <w:szCs w:val="18"/>
        </w:rPr>
        <w:t>End-user documentation provides detailed information and instructions to help users understand and effectively use a product or service. It typically includes guides, tutorials, FAQs, and troubleshooting tips aimed at non-technical users.</w:t>
      </w:r>
    </w:p>
    <w:p w14:paraId="2BF1279B" w14:textId="77777777" w:rsidR="00603C2D" w:rsidRPr="00603C2D" w:rsidRDefault="00603C2D" w:rsidP="00603C2D">
      <w:pPr>
        <w:rPr>
          <w:rFonts w:cstheme="minorHAnsi"/>
          <w:b/>
          <w:bCs/>
          <w:sz w:val="20"/>
          <w:szCs w:val="20"/>
        </w:rPr>
      </w:pPr>
    </w:p>
    <w:p w14:paraId="5D891E07" w14:textId="77777777" w:rsidR="00603C2D" w:rsidRPr="00603C2D" w:rsidRDefault="00603C2D" w:rsidP="00603C2D">
      <w:pPr>
        <w:rPr>
          <w:rFonts w:cstheme="minorHAnsi"/>
          <w:b/>
          <w:bCs/>
          <w:sz w:val="24"/>
          <w:szCs w:val="24"/>
        </w:rPr>
      </w:pPr>
      <w:r w:rsidRPr="00603C2D">
        <w:rPr>
          <w:rFonts w:cstheme="minorHAnsi"/>
          <w:b/>
          <w:bCs/>
          <w:sz w:val="24"/>
          <w:szCs w:val="24"/>
        </w:rPr>
        <w:t>Introduction</w:t>
      </w:r>
    </w:p>
    <w:p w14:paraId="7051DFA3" w14:textId="77777777" w:rsidR="00603C2D" w:rsidRPr="00603C2D" w:rsidRDefault="00603C2D" w:rsidP="00603C2D">
      <w:pPr>
        <w:rPr>
          <w:rFonts w:cstheme="minorHAnsi"/>
          <w:sz w:val="18"/>
          <w:szCs w:val="18"/>
        </w:rPr>
      </w:pPr>
      <w:r w:rsidRPr="00603C2D">
        <w:rPr>
          <w:rFonts w:cstheme="minorHAnsi"/>
          <w:sz w:val="18"/>
          <w:szCs w:val="18"/>
        </w:rPr>
        <w:t>The introduction section gives an overview of the product or service, explaining its purpose, key features, and benefits. It sets the context for the rest of the documentation, helping users understand what to expect and how the product can help them.</w:t>
      </w:r>
    </w:p>
    <w:p w14:paraId="0FFD5C0A" w14:textId="77777777" w:rsidR="00603C2D" w:rsidRPr="00603C2D" w:rsidRDefault="00603C2D" w:rsidP="00603C2D">
      <w:pPr>
        <w:rPr>
          <w:rFonts w:cstheme="minorHAnsi"/>
          <w:b/>
          <w:bCs/>
          <w:sz w:val="24"/>
          <w:szCs w:val="24"/>
        </w:rPr>
      </w:pPr>
      <w:r w:rsidRPr="00603C2D">
        <w:rPr>
          <w:rFonts w:cstheme="minorHAnsi"/>
          <w:b/>
          <w:bCs/>
          <w:sz w:val="24"/>
          <w:szCs w:val="24"/>
        </w:rPr>
        <w:t>Getting Started</w:t>
      </w:r>
    </w:p>
    <w:p w14:paraId="05C0ADCC" w14:textId="77777777" w:rsidR="00603C2D" w:rsidRPr="00603C2D" w:rsidRDefault="00603C2D" w:rsidP="00603C2D">
      <w:pPr>
        <w:rPr>
          <w:rFonts w:cstheme="minorHAnsi"/>
          <w:sz w:val="18"/>
          <w:szCs w:val="18"/>
        </w:rPr>
      </w:pPr>
      <w:r w:rsidRPr="00603C2D">
        <w:rPr>
          <w:rFonts w:cstheme="minorHAnsi"/>
          <w:sz w:val="18"/>
          <w:szCs w:val="18"/>
        </w:rPr>
        <w:t>The getting started section provides initial steps to begin using the product or service. This may include installation instructions, setup guides, and basic tutorials. It's designed to help users quickly and easily start using the product.</w:t>
      </w:r>
    </w:p>
    <w:p w14:paraId="4BD82D7F" w14:textId="77777777" w:rsidR="00603C2D" w:rsidRPr="00603C2D" w:rsidRDefault="00603C2D" w:rsidP="00603C2D">
      <w:pPr>
        <w:rPr>
          <w:rFonts w:cstheme="minorHAnsi"/>
          <w:b/>
          <w:bCs/>
          <w:sz w:val="24"/>
          <w:szCs w:val="24"/>
        </w:rPr>
      </w:pPr>
      <w:r w:rsidRPr="00603C2D">
        <w:rPr>
          <w:rFonts w:cstheme="minorHAnsi"/>
          <w:b/>
          <w:bCs/>
          <w:sz w:val="24"/>
          <w:szCs w:val="24"/>
        </w:rPr>
        <w:t>User Interface Overview</w:t>
      </w:r>
    </w:p>
    <w:p w14:paraId="3F56386E" w14:textId="77777777" w:rsidR="00603C2D" w:rsidRPr="00603C2D" w:rsidRDefault="00603C2D" w:rsidP="00603C2D">
      <w:pPr>
        <w:rPr>
          <w:rFonts w:cstheme="minorHAnsi"/>
          <w:sz w:val="18"/>
          <w:szCs w:val="18"/>
        </w:rPr>
      </w:pPr>
      <w:r w:rsidRPr="00603C2D">
        <w:rPr>
          <w:rFonts w:cstheme="minorHAnsi"/>
          <w:sz w:val="18"/>
          <w:szCs w:val="18"/>
        </w:rPr>
        <w:t>The user interface (UI) overview section explains the layout and components of the product's interface. It describes the main screens, menus, buttons, and other elements, helping users navigate and use the product effectively.</w:t>
      </w:r>
    </w:p>
    <w:p w14:paraId="69BF9EE3" w14:textId="77777777" w:rsidR="00603C2D" w:rsidRPr="00603C2D" w:rsidRDefault="00603C2D" w:rsidP="00603C2D">
      <w:pPr>
        <w:rPr>
          <w:rFonts w:cstheme="minorHAnsi"/>
          <w:b/>
          <w:bCs/>
          <w:sz w:val="24"/>
          <w:szCs w:val="24"/>
        </w:rPr>
      </w:pPr>
      <w:r w:rsidRPr="00603C2D">
        <w:rPr>
          <w:rFonts w:cstheme="minorHAnsi"/>
          <w:b/>
          <w:bCs/>
          <w:sz w:val="24"/>
          <w:szCs w:val="24"/>
        </w:rPr>
        <w:t>Troubleshooting</w:t>
      </w:r>
    </w:p>
    <w:p w14:paraId="773F5CE1" w14:textId="77777777" w:rsidR="00603C2D" w:rsidRPr="00603C2D" w:rsidRDefault="00603C2D" w:rsidP="00603C2D">
      <w:pPr>
        <w:rPr>
          <w:rFonts w:cstheme="minorHAnsi"/>
          <w:sz w:val="18"/>
          <w:szCs w:val="18"/>
        </w:rPr>
      </w:pPr>
      <w:r w:rsidRPr="00603C2D">
        <w:rPr>
          <w:rFonts w:cstheme="minorHAnsi"/>
          <w:sz w:val="18"/>
          <w:szCs w:val="18"/>
        </w:rPr>
        <w:t>The troubleshooting section provides solutions to common problems users may encounter while using the product. It includes step-by-step instructions for diagnosing and resolving issues, ensuring users can quickly find help when something goes wrong.</w:t>
      </w:r>
    </w:p>
    <w:p w14:paraId="54DB0B97" w14:textId="77777777" w:rsidR="00603C2D" w:rsidRPr="00603C2D" w:rsidRDefault="00603C2D" w:rsidP="00603C2D">
      <w:pPr>
        <w:rPr>
          <w:rFonts w:cstheme="minorHAnsi"/>
          <w:b/>
          <w:bCs/>
          <w:sz w:val="24"/>
          <w:szCs w:val="24"/>
        </w:rPr>
      </w:pPr>
      <w:r w:rsidRPr="00603C2D">
        <w:rPr>
          <w:rFonts w:cstheme="minorHAnsi"/>
          <w:b/>
          <w:bCs/>
          <w:sz w:val="24"/>
          <w:szCs w:val="24"/>
        </w:rPr>
        <w:t>FAQs:</w:t>
      </w:r>
    </w:p>
    <w:p w14:paraId="72587067" w14:textId="77777777" w:rsidR="00603C2D" w:rsidRPr="00603C2D" w:rsidRDefault="00603C2D" w:rsidP="00603C2D">
      <w:pPr>
        <w:rPr>
          <w:rFonts w:cstheme="minorHAnsi"/>
          <w:sz w:val="18"/>
          <w:szCs w:val="18"/>
        </w:rPr>
      </w:pPr>
      <w:r w:rsidRPr="00603C2D">
        <w:rPr>
          <w:rFonts w:cstheme="minorHAnsi"/>
          <w:sz w:val="18"/>
          <w:szCs w:val="18"/>
        </w:rPr>
        <w:t>The frequently asked questions (FAQs) section lists common questions users have about the product, along with clear and concise answers. This section helps users find quick solutions to their queries without needing to contact support.</w:t>
      </w:r>
    </w:p>
    <w:p w14:paraId="45DD035F" w14:textId="77777777" w:rsidR="00603C2D" w:rsidRPr="00603C2D" w:rsidRDefault="00603C2D" w:rsidP="00603C2D">
      <w:pPr>
        <w:rPr>
          <w:rFonts w:cstheme="minorHAnsi"/>
          <w:b/>
          <w:bCs/>
          <w:sz w:val="24"/>
          <w:szCs w:val="24"/>
        </w:rPr>
      </w:pPr>
      <w:r w:rsidRPr="00603C2D">
        <w:rPr>
          <w:rFonts w:cstheme="minorHAnsi"/>
          <w:b/>
          <w:bCs/>
          <w:sz w:val="24"/>
          <w:szCs w:val="24"/>
        </w:rPr>
        <w:t>Conclusion</w:t>
      </w:r>
    </w:p>
    <w:p w14:paraId="216F798B" w14:textId="4AD73957" w:rsidR="0020030C" w:rsidRPr="00603C2D" w:rsidRDefault="00603C2D" w:rsidP="00603C2D">
      <w:pPr>
        <w:rPr>
          <w:rFonts w:cstheme="minorHAnsi"/>
          <w:sz w:val="18"/>
          <w:szCs w:val="18"/>
        </w:rPr>
      </w:pPr>
      <w:r w:rsidRPr="00603C2D">
        <w:rPr>
          <w:rFonts w:cstheme="minorHAnsi"/>
          <w:sz w:val="18"/>
          <w:szCs w:val="18"/>
        </w:rPr>
        <w:t>The conclusion section wraps up the documentation, summarizing key points and providing final thoughts. It may also include links to additional resources, support contact information, and encouragement for users to provide feedback or seek further assistance</w:t>
      </w:r>
      <w:r w:rsidRPr="00603C2D">
        <w:rPr>
          <w:rFonts w:cstheme="minorHAnsi"/>
          <w:b/>
          <w:bCs/>
          <w:sz w:val="20"/>
          <w:szCs w:val="20"/>
        </w:rPr>
        <w:t>.</w:t>
      </w:r>
    </w:p>
    <w:sectPr w:rsidR="0020030C" w:rsidRPr="00603C2D" w:rsidSect="005B0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C1"/>
    <w:rsid w:val="00016140"/>
    <w:rsid w:val="0020030C"/>
    <w:rsid w:val="00231F5D"/>
    <w:rsid w:val="0024423D"/>
    <w:rsid w:val="004E0AC2"/>
    <w:rsid w:val="005B0DA6"/>
    <w:rsid w:val="00603C2D"/>
    <w:rsid w:val="00687115"/>
    <w:rsid w:val="006D360D"/>
    <w:rsid w:val="0078479E"/>
    <w:rsid w:val="008F2420"/>
    <w:rsid w:val="009150E8"/>
    <w:rsid w:val="00BD2295"/>
    <w:rsid w:val="00CF60C6"/>
    <w:rsid w:val="00E80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9BED"/>
  <w15:chartTrackingRefBased/>
  <w15:docId w15:val="{22761CC7-21C7-483B-85C6-89A3303D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C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C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74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Almuhidat</dc:creator>
  <cp:keywords/>
  <dc:description/>
  <cp:lastModifiedBy>Ahmad Almuhidat</cp:lastModifiedBy>
  <cp:revision>8</cp:revision>
  <dcterms:created xsi:type="dcterms:W3CDTF">2022-10-15T17:28:00Z</dcterms:created>
  <dcterms:modified xsi:type="dcterms:W3CDTF">2025-03-20T00:30:00Z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1c31dca71e3acb420fd0de8b32b5ca05c5c3ab55767b4b1577562dfce8dfe488</vt:lpwstr>
  </property>
</Properties>
</file>