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Ахмади</w:t>
      </w:r>
      <w:r>
        <w:t xml:space="preserve"> </w:t>
      </w:r>
      <w:r>
        <w:t xml:space="preserve">Ахмад</w:t>
      </w:r>
      <w:r>
        <w:t xml:space="preserve"> </w:t>
      </w:r>
      <w:r>
        <w:t xml:space="preserve">Фаисал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1)</w:t>
      </w:r>
    </w:p>
    <w:p>
      <w:pPr>
        <w:pStyle w:val="CaptionedFigure"/>
      </w:pPr>
      <w:bookmarkStart w:id="24" w:name="fig:001"/>
      <w:r>
        <w:drawing>
          <wp:inline>
            <wp:extent cx="5334000" cy="3032342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 файл lab05-1.asm (рис. 2)</w:t>
      </w:r>
    </w:p>
    <w:p>
      <w:pPr>
        <w:pStyle w:val="CaptionedFigure"/>
      </w:pPr>
      <w:bookmarkStart w:id="28" w:name="fig:002"/>
      <w:r>
        <w:drawing>
          <wp:inline>
            <wp:extent cx="5334000" cy="2951188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 файл на редактирование. Написал код. (рис. 3)</w:t>
      </w:r>
    </w:p>
    <w:p>
      <w:pPr>
        <w:pStyle w:val="CaptionedFigure"/>
      </w:pPr>
      <w:bookmarkStart w:id="32" w:name="fig:003"/>
      <w:r>
        <w:drawing>
          <wp:inline>
            <wp:extent cx="5072513" cy="4947385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 файл для просмотра и убедился, что он содержит написанный код. (рис. 4)</w:t>
      </w:r>
    </w:p>
    <w:p>
      <w:pPr>
        <w:pStyle w:val="CaptionedFigure"/>
      </w:pPr>
      <w:bookmarkStart w:id="36" w:name="fig:004"/>
      <w:r>
        <w:drawing>
          <wp:inline>
            <wp:extent cx="4610501" cy="4639376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 исполняемый файл программы и провреил его работу.(рис. 5)</w:t>
      </w:r>
    </w:p>
    <w:p>
      <w:pPr>
        <w:pStyle w:val="CaptionedFigure"/>
      </w:pPr>
      <w:bookmarkStart w:id="40" w:name="fig:005"/>
      <w:r>
        <w:drawing>
          <wp:inline>
            <wp:extent cx="5334000" cy="1093581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6)</w:t>
      </w:r>
    </w:p>
    <w:p>
      <w:pPr>
        <w:pStyle w:val="CaptionedFigure"/>
      </w:pPr>
      <w:bookmarkStart w:id="44" w:name="fig:006"/>
      <w:r>
        <w:drawing>
          <wp:inline>
            <wp:extent cx="5334000" cy="2384990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 код программы lab05-2.asm. (рис. 7)</w:t>
      </w:r>
      <w:r>
        <w:t xml:space="preserve"> </w:t>
      </w:r>
      <w:r>
        <w:t xml:space="preserve">Скомпилировал программу и провреил запуск. (рис. 8)</w:t>
      </w:r>
    </w:p>
    <w:p>
      <w:pPr>
        <w:pStyle w:val="CaptionedFigure"/>
      </w:pPr>
      <w:bookmarkStart w:id="48" w:name="fig:007"/>
      <w:r>
        <w:drawing>
          <wp:inline>
            <wp:extent cx="3869355" cy="3532471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881466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lab5-2.asm я заменил подпрограмму sprintLF на sprint (рис. 9).</w:t>
      </w:r>
      <w:r>
        <w:t xml:space="preserve"> </w:t>
      </w:r>
      <w:r>
        <w:t xml:space="preserve">Затем я снова собрал исполняемый файл (рис. 10).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3792353" cy="3946357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818326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11, рис. 12)</w:t>
      </w:r>
    </w:p>
    <w:p>
      <w:pPr>
        <w:pStyle w:val="CaptionedFigure"/>
      </w:pPr>
      <w:bookmarkStart w:id="64" w:name="fig:011"/>
      <w:r>
        <w:drawing>
          <wp:inline>
            <wp:extent cx="3599848" cy="5573027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1068304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13, рис. 14)</w:t>
      </w:r>
    </w:p>
    <w:p>
      <w:pPr>
        <w:pStyle w:val="CaptionedFigure"/>
      </w:pPr>
      <w:bookmarkStart w:id="72" w:name="fig:013"/>
      <w:r>
        <w:drawing>
          <wp:inline>
            <wp:extent cx="3975233" cy="4052235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4"/>
      <w:r>
        <w:drawing>
          <wp:inline>
            <wp:extent cx="5334000" cy="890206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Ахмади Ахмад Фаисал</dc:creator>
  <dc:language>ru-RU</dc:language>
  <cp:keywords/>
  <dcterms:created xsi:type="dcterms:W3CDTF">2024-12-23T10:58:43Z</dcterms:created>
  <dcterms:modified xsi:type="dcterms:W3CDTF">2024-12-23T10:58:43Z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