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CONTOSO LTD.</w:t>
      </w:r>
    </w:p>
    <w:p>
      <w:pPr>
        <w:spacing w:after="600"/>
        <w:jc w:val="center"/>
      </w:pPr>
      <w:r>
        <w:rPr>
          <w:rFonts w:ascii="Arial" w:cs="Arial" w:eastAsia="Arial" w:hAnsi="Arial"/>
          <w:b/>
          <w:bCs/>
          <w:color w:val="1B3A5C"/>
          <w:sz w:val="56"/>
          <w:szCs w:val="56"/>
        </w:rPr>
        <w:t xml:space="preserve">Data Privacy Policy</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Document 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CPL-DPP-2025-003</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Version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3.1</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Classification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Confidential</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Effective 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 March 2026</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Last Reviewed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 March 2026</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Next 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15 July 2026</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Owner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Legal &amp; Compliance</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Approved By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Sarah Mitchell, Chief Privacy Officer</w:t>
            </w:r>
          </w:p>
        </w:tc>
      </w:tr>
    </w:tbl>
    <w:p>
      <w:r>
        <w:br w:type="page"/>
      </w:r>
    </w:p>
    <w:p>
      <w:pPr>
        <w:pStyle w:val="Heading1"/>
      </w:pPr>
      <w:r>
        <w:t xml:space="preserve">1. Purpose and Scope</w:t>
      </w:r>
    </w:p>
    <w:p>
      <w:pPr>
        <w:spacing w:after="160"/>
      </w:pPr>
      <w:r>
        <w:t xml:space="preserve">This Data Privacy Policy establishes Contoso Ltd.'s commitment to protecting personal data across all business operations. It defines the principles, responsibilities, and procedures that govern how Contoso collects, processes, stores, and shares personal data in compliance with applicable data protection regulations including the General Data Protection Regulation (GDPR), the California Consumer Privacy Act (CCPA), and other relevant jurisdictional requirements.</w:t>
      </w:r>
    </w:p>
    <w:p>
      <w:pPr>
        <w:spacing w:after="160"/>
      </w:pPr>
      <w:r>
        <w:t xml:space="preserve">This policy applies to all Contoso employees, contractors, vendors, and third-party partners who handle personal data on behalf of the organisation. It covers data processed across all Contoso systems, applications, and platforms, whether hosted on-premises or in cloud environments.</w:t>
      </w:r>
    </w:p>
    <w:p>
      <w:pPr>
        <w:pStyle w:val="Heading1"/>
      </w:pPr>
      <w:r>
        <w:t xml:space="preserve">2. Definitions</w:t>
      </w:r>
    </w:p>
    <w:p>
      <w:pPr>
        <w:spacing w:after="120"/>
      </w:pPr>
      <w:r>
        <w:rPr>
          <w:b/>
          <w:bCs/>
        </w:rPr>
        <w:t xml:space="preserve">Personal Data: </w:t>
      </w:r>
      <w:r>
        <w:t xml:space="preserve">Any information relating to an identified or identifiable natural person, including but not limited to names, email addresses, identification numbers, location data, and online identifiers.</w:t>
      </w:r>
    </w:p>
    <w:p>
      <w:pPr>
        <w:spacing w:after="120"/>
      </w:pPr>
      <w:r>
        <w:rPr>
          <w:b/>
          <w:bCs/>
        </w:rPr>
        <w:t xml:space="preserve">Data Subject: </w:t>
      </w:r>
      <w:r>
        <w:t xml:space="preserve">The individual to whom personal data relates.</w:t>
      </w:r>
    </w:p>
    <w:p>
      <w:pPr>
        <w:spacing w:after="120"/>
      </w:pPr>
      <w:r>
        <w:rPr>
          <w:b/>
          <w:bCs/>
        </w:rPr>
        <w:t xml:space="preserve">Data Controller: </w:t>
      </w:r>
      <w:r>
        <w:t xml:space="preserve">Contoso Ltd., which determines the purposes and means of processing personal data.</w:t>
      </w:r>
    </w:p>
    <w:p>
      <w:pPr>
        <w:spacing w:after="120"/>
      </w:pPr>
      <w:r>
        <w:rPr>
          <w:b/>
          <w:bCs/>
        </w:rPr>
        <w:t xml:space="preserve">Data Processor: </w:t>
      </w:r>
      <w:r>
        <w:t xml:space="preserve">Any third party that processes personal data on behalf of Contoso.</w:t>
      </w:r>
    </w:p>
    <w:p>
      <w:pPr>
        <w:spacing w:after="120"/>
      </w:pPr>
      <w:r>
        <w:rPr>
          <w:b/>
          <w:bCs/>
        </w:rPr>
        <w:t xml:space="preserve">Sensitive Personal Data: </w:t>
      </w:r>
      <w:r>
        <w:t xml:space="preserve">Data revealing racial or ethnic origin, political opinions, religious beliefs, trade union membership, genetic data, biometric data, health data, or data concerning sexual orientation.</w:t>
      </w:r>
    </w:p>
    <w:p>
      <w:pPr>
        <w:pStyle w:val="Heading1"/>
      </w:pPr>
      <w:r>
        <w:t xml:space="preserve">3. Data Collection and Processing</w:t>
      </w:r>
    </w:p>
    <w:p>
      <w:pPr>
        <w:pStyle w:val="Heading2"/>
      </w:pPr>
      <w:r>
        <w:t xml:space="preserve">3.1 Lawful Basis for Processing</w:t>
      </w:r>
    </w:p>
    <w:p>
      <w:pPr>
        <w:spacing w:after="160"/>
      </w:pPr>
      <w:r>
        <w:t xml:space="preserve">Contoso processes personal data only when there is a valid lawful basis. The following bases are recognised under this policy:</w:t>
      </w:r>
    </w:p>
    <w:p>
      <w:pPr>
        <w:pStyle w:val="ListParagraph"/>
        <w:numPr>
          <w:ilvl w:val="0"/>
          <w:numId w:val="2"/>
        </w:numPr>
      </w:pPr>
      <w:r>
        <w:t xml:space="preserve">Explicit consent from the data subject</w:t>
      </w:r>
    </w:p>
    <w:p>
      <w:pPr>
        <w:pStyle w:val="ListParagraph"/>
        <w:numPr>
          <w:ilvl w:val="0"/>
          <w:numId w:val="2"/>
        </w:numPr>
      </w:pPr>
      <w:r>
        <w:t xml:space="preserve">Performance of a contract with the data subject</w:t>
      </w:r>
    </w:p>
    <w:p>
      <w:pPr>
        <w:pStyle w:val="ListParagraph"/>
        <w:numPr>
          <w:ilvl w:val="0"/>
          <w:numId w:val="2"/>
        </w:numPr>
      </w:pPr>
      <w:r>
        <w:t xml:space="preserve">Compliance with a legal obligation</w:t>
      </w:r>
    </w:p>
    <w:p>
      <w:pPr>
        <w:pStyle w:val="ListParagraph"/>
        <w:numPr>
          <w:ilvl w:val="0"/>
          <w:numId w:val="2"/>
        </w:numPr>
      </w:pPr>
      <w:r>
        <w:t xml:space="preserve">Protection of vital interests of the data subject</w:t>
      </w:r>
    </w:p>
    <w:p>
      <w:pPr>
        <w:pStyle w:val="ListParagraph"/>
        <w:numPr>
          <w:ilvl w:val="0"/>
          <w:numId w:val="2"/>
        </w:numPr>
        <w:spacing w:after="160"/>
      </w:pPr>
      <w:r>
        <w:t xml:space="preserve">Legitimate interests pursued by Contoso, provided these are not overridden by the data subject's rights</w:t>
      </w:r>
    </w:p>
    <w:p>
      <w:pPr>
        <w:pStyle w:val="Heading2"/>
      </w:pPr>
      <w:r>
        <w:t xml:space="preserve">3.2 Data Minimisation</w:t>
      </w:r>
    </w:p>
    <w:p>
      <w:pPr>
        <w:spacing w:after="160"/>
      </w:pPr>
      <w:r>
        <w:t xml:space="preserve">All departments must ensure that only the minimum amount of personal data necessary for the stated purpose is collected. Data collected for one purpose must not be repurposed without obtaining a new lawful basis or consent from the data subject.</w:t>
      </w:r>
    </w:p>
    <w:p>
      <w:pPr>
        <w:pStyle w:val="Heading2"/>
      </w:pPr>
      <w:r>
        <w:t xml:space="preserve">3.3 Retention Periods</w:t>
      </w:r>
    </w:p>
    <w:p>
      <w:pPr>
        <w:spacing w:after="160"/>
      </w:pPr>
      <w:r>
        <w:t xml:space="preserve">Personal data must not be retained longer than necessary for its original purpose. Standard retention periods are defined in Appendix A. Departments requiring extended retention must submit a justification to the Data Protection Officer (DPO) for approval.</w:t>
      </w:r>
    </w:p>
    <w:p>
      <w:pPr>
        <w:pStyle w:val="Heading1"/>
      </w:pPr>
      <w:r>
        <w:t xml:space="preserve">4. Data Sharing and Third-Party Access</w:t>
      </w:r>
    </w:p>
    <w:p>
      <w:pPr>
        <w:pStyle w:val="Heading2"/>
      </w:pPr>
      <w:r>
        <w:t xml:space="preserve">4.1 Internal Data Sharing</w:t>
      </w:r>
    </w:p>
    <w:p>
      <w:pPr>
        <w:spacing w:after="160"/>
      </w:pPr>
      <w:r>
        <w:t xml:space="preserve">Personal data may be shared between Contoso departments only when there is a clear business justification and a valid lawful basis. Access to personal data must be granted on a need-to-know basis, and all internal data transfers must be logged in the Data Transfer Registry maintained by the Information Security team.</w:t>
      </w:r>
    </w:p>
    <w:p>
      <w:pPr>
        <w:pStyle w:val="Heading2"/>
      </w:pPr>
      <w:r>
        <w:t xml:space="preserve">4.2 Third-Party Data Sharing</w:t>
      </w:r>
    </w:p>
    <w:p>
      <w:pPr>
        <w:spacing w:after="160"/>
      </w:pPr>
      <w:r>
        <w:t xml:space="preserve">Sharing personal data with third parties is permitted only under the following conditions:</w:t>
      </w:r>
    </w:p>
    <w:p>
      <w:pPr>
        <w:pStyle w:val="ListParagraph"/>
        <w:numPr>
          <w:ilvl w:val="0"/>
          <w:numId w:val="2"/>
        </w:numPr>
      </w:pPr>
      <w:r>
        <w:rPr>
          <w:b/>
          <w:bCs/>
        </w:rPr>
        <w:t xml:space="preserve">Written consent: </w:t>
      </w:r>
      <w:r>
        <w:t xml:space="preserve">The data subject has provided explicit written consent for the specific data sharing arrangement, clearly identifying the recipient and the purpose of the transfer.</w:t>
      </w:r>
    </w:p>
    <w:p>
      <w:pPr>
        <w:pStyle w:val="ListParagraph"/>
        <w:numPr>
          <w:ilvl w:val="0"/>
          <w:numId w:val="2"/>
        </w:numPr>
      </w:pPr>
      <w:r>
        <w:rPr>
          <w:b/>
          <w:bCs/>
        </w:rPr>
        <w:t xml:space="preserve">Compliance review: </w:t>
      </w:r>
      <w:r>
        <w:t xml:space="preserve">The sharing arrangement has been reviewed and approved by the Compliance team prior to any data being transferred. This review must assess the recipient's data protection practices and confirm regulatory compliance.</w:t>
      </w:r>
    </w:p>
    <w:p>
      <w:pPr>
        <w:pStyle w:val="ListParagraph"/>
        <w:numPr>
          <w:ilvl w:val="0"/>
          <w:numId w:val="2"/>
        </w:numPr>
      </w:pPr>
      <w:r>
        <w:rPr>
          <w:b/>
          <w:bCs/>
        </w:rPr>
        <w:t xml:space="preserve">Contractual safeguards: </w:t>
      </w:r>
      <w:r>
        <w:t xml:space="preserve">A legally binding agreement is in place with the third party that includes data protection clauses, breach notification obligations, and restrictions on onward transfer.</w:t>
      </w:r>
    </w:p>
    <w:p>
      <w:pPr>
        <w:pStyle w:val="ListParagraph"/>
        <w:numPr>
          <w:ilvl w:val="0"/>
          <w:numId w:val="2"/>
        </w:numPr>
      </w:pPr>
      <w:r>
        <w:rPr>
          <w:b/>
          <w:bCs/>
        </w:rPr>
        <w:t xml:space="preserve">Security assessment: </w:t>
      </w:r>
      <w:r>
        <w:t xml:space="preserve">The third party has passed Contoso's vendor security assessment, confirming adequate technical and organisational measures are in place to protect the data.</w:t>
      </w:r>
    </w:p>
    <w:p>
      <w:pPr>
        <w:pStyle w:val="ListParagraph"/>
        <w:numPr>
          <w:ilvl w:val="0"/>
          <w:numId w:val="2"/>
        </w:numPr>
        <w:spacing w:after="160"/>
      </w:pPr>
      <w:r>
        <w:rPr>
          <w:b/>
          <w:bCs/>
        </w:rPr>
        <w:t xml:space="preserve">Data Processing Agreement (DPA): </w:t>
      </w:r>
      <w:r>
        <w:t xml:space="preserve">Effective 10 March 2026, all third-party processors must have a signed Data Processing Agreement (DPA) filed with the Legal department before any personal data transfer begins. The DPA must include the specific categories of data being processed, the duration of processing, the sub-processor approval process, and the obligations upon termination. Transfers initiated without a filed DPA will be blocked by the Data Transfer Registry system and escalated to the DPO.</w:t>
      </w:r>
    </w:p>
    <w:p>
      <w:pPr>
        <w:spacing w:after="160"/>
      </w:pPr>
      <w:r>
        <w:t xml:space="preserve">All third-party data sharing arrangements must be documented in the Third-Party Data Sharing Register and reviewed annually by the DPO. As of March 2026, the Register must also include the DPA reference number and filing date for each active third-party processor relationship.</w:t>
      </w:r>
    </w:p>
    <w:p>
      <w:pPr>
        <w:pStyle w:val="Heading2"/>
      </w:pPr>
      <w:r>
        <w:t xml:space="preserve">4.3 International Data Transfers</w:t>
      </w:r>
    </w:p>
    <w:p>
      <w:pPr>
        <w:spacing w:after="160"/>
      </w:pPr>
      <w:r>
        <w:t xml:space="preserve">Transfers of personal data outside the European Economic Area (EEA) or the United Kingdom are permitted only when an adequate level of protection is ensured. Acceptable transfer mechanisms include Standard Contractual Clauses (SCCs), Binding Corporate Rules (BCRs), or an adequacy decision by the relevant supervisory authority.</w:t>
      </w:r>
    </w:p>
    <w:p>
      <w:pPr>
        <w:pStyle w:val="Heading1"/>
      </w:pPr>
      <w:r>
        <w:t xml:space="preserve">5. Data Subject Rights</w:t>
      </w:r>
    </w:p>
    <w:p>
      <w:pPr>
        <w:spacing w:after="160"/>
      </w:pPr>
      <w:r>
        <w:t xml:space="preserve">Contoso recognises and supports the following rights of data subjects under applicable data protection laws:</w:t>
      </w:r>
    </w:p>
    <w:p>
      <w:pPr>
        <w:pStyle w:val="ListParagraph"/>
        <w:numPr>
          <w:ilvl w:val="0"/>
          <w:numId w:val="3"/>
        </w:numPr>
      </w:pPr>
      <w:r>
        <w:t xml:space="preserve">Right of access — to obtain a copy of their personal data</w:t>
      </w:r>
    </w:p>
    <w:p>
      <w:pPr>
        <w:pStyle w:val="ListParagraph"/>
        <w:numPr>
          <w:ilvl w:val="0"/>
          <w:numId w:val="3"/>
        </w:numPr>
      </w:pPr>
      <w:r>
        <w:t xml:space="preserve">Right to rectification — to correct inaccurate or incomplete data</w:t>
      </w:r>
    </w:p>
    <w:p>
      <w:pPr>
        <w:pStyle w:val="ListParagraph"/>
        <w:numPr>
          <w:ilvl w:val="0"/>
          <w:numId w:val="3"/>
        </w:numPr>
      </w:pPr>
      <w:r>
        <w:t xml:space="preserve">Right to erasure — to request deletion of their data where there is no compelling reason for continued processing</w:t>
      </w:r>
    </w:p>
    <w:p>
      <w:pPr>
        <w:pStyle w:val="ListParagraph"/>
        <w:numPr>
          <w:ilvl w:val="0"/>
          <w:numId w:val="3"/>
        </w:numPr>
      </w:pPr>
      <w:r>
        <w:t xml:space="preserve">Right to restrict processing — to limit how their data is used</w:t>
      </w:r>
    </w:p>
    <w:p>
      <w:pPr>
        <w:pStyle w:val="ListParagraph"/>
        <w:numPr>
          <w:ilvl w:val="0"/>
          <w:numId w:val="3"/>
        </w:numPr>
      </w:pPr>
      <w:r>
        <w:t xml:space="preserve">Right to data portability — to receive their data in a structured, commonly used format</w:t>
      </w:r>
    </w:p>
    <w:p>
      <w:pPr>
        <w:pStyle w:val="ListParagraph"/>
        <w:numPr>
          <w:ilvl w:val="0"/>
          <w:numId w:val="3"/>
        </w:numPr>
        <w:spacing w:after="160"/>
      </w:pPr>
      <w:r>
        <w:t xml:space="preserve">Right to object — to challenge processing based on legitimate interests</w:t>
      </w:r>
    </w:p>
    <w:p>
      <w:pPr>
        <w:spacing w:after="160"/>
      </w:pPr>
      <w:r>
        <w:t xml:space="preserve">All data subject requests must be directed to privacy@contoso.com and will be responded to within 30 calendar days of receipt.</w:t>
      </w:r>
    </w:p>
    <w:p>
      <w:pPr>
        <w:pStyle w:val="Heading1"/>
      </w:pPr>
      <w:r>
        <w:t xml:space="preserve">6. Data Breach Management</w:t>
      </w:r>
    </w:p>
    <w:p>
      <w:pPr>
        <w:spacing w:after="160"/>
      </w:pPr>
      <w:r>
        <w:t xml:space="preserve">In the event of a personal data breach, the following procedure applies:</w:t>
      </w:r>
    </w:p>
    <w:p>
      <w:pPr>
        <w:pStyle w:val="ListParagraph"/>
        <w:numPr>
          <w:ilvl w:val="0"/>
          <w:numId w:val="3"/>
        </w:numPr>
      </w:pPr>
      <w:r>
        <w:rPr>
          <w:b/>
          <w:bCs/>
        </w:rPr>
        <w:t xml:space="preserve">Immediate reporting: </w:t>
      </w:r>
      <w:r>
        <w:t xml:space="preserve">Any employee who becomes aware of a suspected data breach must report it to the Information Security team within 4 hours of discovery.</w:t>
      </w:r>
    </w:p>
    <w:p>
      <w:pPr>
        <w:pStyle w:val="ListParagraph"/>
        <w:numPr>
          <w:ilvl w:val="0"/>
          <w:numId w:val="3"/>
        </w:numPr>
      </w:pPr>
      <w:r>
        <w:rPr>
          <w:b/>
          <w:bCs/>
        </w:rPr>
        <w:t xml:space="preserve">Assessment: </w:t>
      </w:r>
      <w:r>
        <w:t xml:space="preserve">The Information Security team, in conjunction with the DPO, will assess the severity and scope of the breach within 24 hours.</w:t>
      </w:r>
    </w:p>
    <w:p>
      <w:pPr>
        <w:pStyle w:val="ListParagraph"/>
        <w:numPr>
          <w:ilvl w:val="0"/>
          <w:numId w:val="3"/>
        </w:numPr>
      </w:pPr>
      <w:r>
        <w:rPr>
          <w:b/>
          <w:bCs/>
        </w:rPr>
        <w:t xml:space="preserve">Regulatory notification: </w:t>
      </w:r>
      <w:r>
        <w:t xml:space="preserve">Where the breach is likely to result in a risk to individuals' rights and freedoms, the relevant supervisory authority will be notified within 72 hours of becoming aware of the breach.</w:t>
      </w:r>
    </w:p>
    <w:p>
      <w:pPr>
        <w:pStyle w:val="ListParagraph"/>
        <w:numPr>
          <w:ilvl w:val="0"/>
          <w:numId w:val="3"/>
        </w:numPr>
        <w:spacing w:after="160"/>
      </w:pPr>
      <w:r>
        <w:rPr>
          <w:b/>
          <w:bCs/>
        </w:rPr>
        <w:t xml:space="preserve">Data subject notification: </w:t>
      </w:r>
      <w:r>
        <w:t xml:space="preserve">Where the breach is likely to result in a high risk to affected individuals, they will be notified without undue delay.</w:t>
      </w:r>
    </w:p>
    <w:p>
      <w:pPr>
        <w:pStyle w:val="Heading1"/>
      </w:pPr>
      <w:r>
        <w:t xml:space="preserve">7. Roles and Responsibilities</w:t>
      </w:r>
    </w:p>
    <w:p>
      <w:pPr>
        <w:spacing w:after="120"/>
      </w:pPr>
      <w:r>
        <w:rPr>
          <w:b/>
          <w:bCs/>
        </w:rPr>
        <w:t xml:space="preserve">Chief Privacy Officer (CPO): </w:t>
      </w:r>
      <w:r>
        <w:t xml:space="preserve">Overall accountability for data privacy strategy and regulatory compliance across the organisation.</w:t>
      </w:r>
    </w:p>
    <w:p>
      <w:pPr>
        <w:spacing w:after="120"/>
      </w:pPr>
      <w:r>
        <w:rPr>
          <w:b/>
          <w:bCs/>
        </w:rPr>
        <w:t xml:space="preserve">Data Protection Officer (DPO): </w:t>
      </w:r>
      <w:r>
        <w:t xml:space="preserve">Monitors compliance with data protection laws and this policy, provides guidance to business units, and serves as the primary contact for supervisory authorities.</w:t>
      </w:r>
    </w:p>
    <w:p>
      <w:pPr>
        <w:spacing w:after="120"/>
      </w:pPr>
      <w:r>
        <w:rPr>
          <w:b/>
          <w:bCs/>
        </w:rPr>
        <w:t xml:space="preserve">Department Heads: </w:t>
      </w:r>
      <w:r>
        <w:t xml:space="preserve">Responsible for ensuring their teams comply with this policy and complete required data privacy training.</w:t>
      </w:r>
    </w:p>
    <w:p>
      <w:pPr>
        <w:spacing w:after="160"/>
      </w:pPr>
      <w:r>
        <w:rPr>
          <w:b/>
          <w:bCs/>
        </w:rPr>
        <w:t xml:space="preserve">All Employees: </w:t>
      </w:r>
      <w:r>
        <w:t xml:space="preserve">Must handle personal data in accordance with this policy and report any suspected breaches immediately.</w:t>
      </w:r>
    </w:p>
    <w:p>
      <w:pPr>
        <w:pStyle w:val="Heading1"/>
      </w:pPr>
      <w:r>
        <w:t xml:space="preserve">8. Training and Awareness</w:t>
      </w:r>
    </w:p>
    <w:p>
      <w:pPr>
        <w:spacing w:after="160"/>
      </w:pPr>
      <w:r>
        <w:t xml:space="preserve">All Contoso employees must complete mandatory data privacy training within 30 days of joining the organisation and annually thereafter. Additional role-specific training is required for employees in departments that handle sensitive personal data or manage third-party data sharing relationships. Training completion records are maintained by Human Resources and audited quarterly by the DPO.</w:t>
      </w:r>
    </w:p>
    <w:p>
      <w:pPr>
        <w:pStyle w:val="Heading1"/>
      </w:pPr>
      <w:r>
        <w:t xml:space="preserve">9. Policy Compliance and Enforcement</w:t>
      </w:r>
    </w:p>
    <w:p>
      <w:pPr>
        <w:spacing w:after="160"/>
      </w:pPr>
      <w:r>
        <w:t xml:space="preserve">Non-compliance with this policy may result in disciplinary action, up to and including termination of employment or contract. Contoso reserves the right to audit any department, system, or third-party arrangement to verify compliance with this policy. Audit findings will be reported to the CPO and, where required, to the Board of Directors.</w:t>
      </w:r>
    </w:p>
    <w:p>
      <w:pPr>
        <w:pStyle w:val="Heading1"/>
      </w:pPr>
      <w: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00"/>
        <w:gridCol w:w="39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15 Mar 2023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Legal Team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Initial policy creation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 Jun 2024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Sarah Mitchell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Major revision: GDPR alignment, added international transfer provisions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 Sep 2025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Sarah Mitchell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Updated third-party sharing requirements, added vendor security assessment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 Mar 2026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Sarah Mitchell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Added mandatory DPA filing requirement for all third-party processors (Section 4.2)</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Contoso Ltd.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2026-03-29T14:29:15.556Z</dcterms:created>
  <dcterms:modified xsi:type="dcterms:W3CDTF">2026-03-29T14:29:15.557Z</dcterms:modified>
</cp:coreProperties>
</file>

<file path=docProps/custom.xml><?xml version="1.0" encoding="utf-8"?>
<Properties xmlns="http://schemas.openxmlformats.org/officeDocument/2006/custom-properties" xmlns:vt="http://schemas.openxmlformats.org/officeDocument/2006/docPropsVTypes"/>
</file>