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ind w:firstLine="709"/>
        <w:jc w:val="left"/>
      </w:pPr>
      <w:r>
        <w:rPr>
          <w:rFonts w:ascii="Times New Roman" w:hAnsi="Times New Roman" w:eastAsia="Times New Roman"/>
          <w:b/>
          <w:i w:val="0"/>
          <w:sz w:val="28"/>
        </w:rPr>
        <w:t>Kriptografik himoyalash usullarining tasnifi</w:t>
      </w:r>
    </w:p>
    <w:p>
      <w:pPr>
        <w:ind w:firstLine="709"/>
        <w:jc w:val="both"/>
      </w:pPr>
      <w:r>
        <w:rPr>
          <w:rFonts w:ascii="Times New Roman" w:hAnsi="Times New Roman" w:eastAsia="Times New Roman"/>
          <w:b w:val="0"/>
          <w:i w:val="0"/>
          <w:sz w:val="28"/>
        </w:rPr>
        <w:t>Zamonaviy kriptografiyada axborotni himoyalash usullari kalitlardan foydalanish prinsipiga ko‘ra ikkita asosiy sinfga bo‘linadi: simmetrik (maxfiy kalitli) kriptografiya va asimmetrik (ochiq kalitli) kriptografiya. Bundan tashqari, ma’lumotlar yaxlitligini ta’minlovchi xesh funksiyalar mustaqil yo‘nalish sifatida ajratiladi. Ushbu uchta yo‘nalish birgalikda axborot xavfsizligining asosiy maqsadlari — maxfiylik (confidentiality), yaxlitlik (integrity), autentifikatsiya (authentication) va rad eta olmaslik (non-repudiation) ni ta’minlaydi [1, 2].</w:t>
      </w:r>
    </w:p>
    <w:p>
      <w:pPr>
        <w:spacing w:before="120" w:after="60"/>
        <w:ind w:firstLine="709"/>
        <w:jc w:val="left"/>
      </w:pPr>
      <w:r>
        <w:rPr>
          <w:rFonts w:ascii="Times New Roman" w:hAnsi="Times New Roman" w:eastAsia="Times New Roman"/>
          <w:b/>
          <w:i w:val="0"/>
          <w:sz w:val="28"/>
        </w:rPr>
        <w:t>Simmetrik (maxfiy kalitli) shifrlash usullari</w:t>
      </w:r>
    </w:p>
    <w:p>
      <w:pPr>
        <w:ind w:firstLine="709"/>
        <w:jc w:val="both"/>
      </w:pPr>
      <w:r>
        <w:rPr>
          <w:rFonts w:ascii="Times New Roman" w:hAnsi="Times New Roman" w:eastAsia="Times New Roman"/>
          <w:b w:val="0"/>
          <w:i w:val="0"/>
          <w:sz w:val="28"/>
        </w:rPr>
        <w:t>Simmetrik kriptografiyada shifrlash va deshifrlash uchun bitta umumiy maxfiy kalitdan foydalaniladi. Jo‘natuvchi va qabul qiluvchi oldindan bir xil kalitga ega bo‘lishlari shart, shuning uchun bu usulning asosiy muammosi — kalitni xavfsiz almashtirish (key distribution) hisoblanadi [1].</w:t>
      </w:r>
    </w:p>
    <w:p>
      <w:pPr>
        <w:ind w:firstLine="709"/>
        <w:jc w:val="both"/>
      </w:pPr>
      <w:r>
        <w:rPr>
          <w:rFonts w:ascii="Times New Roman" w:hAnsi="Times New Roman" w:eastAsia="Times New Roman"/>
          <w:b w:val="0"/>
          <w:i w:val="0"/>
          <w:sz w:val="28"/>
        </w:rPr>
        <w:t>Simmetrik shifrlar ikkita asosiy turga bo‘linadi:</w:t>
      </w:r>
    </w:p>
    <w:p>
      <w:pPr>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Blokli shifrlar (block ciphers): </w:t>
      </w:r>
      <w:r>
        <w:rPr>
          <w:rFonts w:ascii="Times New Roman" w:hAnsi="Times New Roman" w:eastAsia="Times New Roman"/>
          <w:b w:val="0"/>
          <w:i w:val="0"/>
          <w:sz w:val="28"/>
        </w:rPr>
        <w:t>ma’lumotni belgilangan o‘lchamdagi bloklarga (masalan, 64 yoki 128 bit) bo‘lib shifrlaydi. Eng mashhur misollar — DES (Data Encryption Standard, 1977-yil, 56-bitli kalit, hozirda eskirgan) va AES (Advanced Encryption Standard, FIPS 197, 2001-yil). AES 128-bitli bloklar bilan ishlaydi hamda 128, 192 yoki 256-bitli kalitlardan foydalanadi va substitution-permutation network (SPN) tuzilishiga asoslanadi [3, 4].</w:t>
      </w:r>
    </w:p>
    <w:p>
      <w:pPr>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Oqimli shifrlar (stream ciphers): </w:t>
      </w:r>
      <w:r>
        <w:rPr>
          <w:rFonts w:ascii="Times New Roman" w:hAnsi="Times New Roman" w:eastAsia="Times New Roman"/>
          <w:b w:val="0"/>
          <w:i w:val="0"/>
          <w:sz w:val="28"/>
        </w:rPr>
        <w:t>ma’lumotni bit yoki bayt darajasida, psevdotasodifiy kalit oqimi (keystream) bilan XOR amali orqali shifrlaydi. Misollar: RC4 (eskirgan) va ChaCha20 (zamonaviy, RFC 8439).</w:t>
      </w:r>
    </w:p>
    <w:p>
      <w:pPr>
        <w:ind w:firstLine="709"/>
        <w:jc w:val="both"/>
      </w:pPr>
      <w:r>
        <w:rPr>
          <w:rFonts w:ascii="Times New Roman" w:hAnsi="Times New Roman" w:eastAsia="Times New Roman"/>
          <w:b w:val="0"/>
          <w:i w:val="0"/>
          <w:sz w:val="28"/>
        </w:rPr>
        <w:t>Simmetrik shifrlashning afzalligi — yuqori tezlik va kam hisoblash resursi talab qilishi. Shu sababli katta hajmdagi ma’lumotlarni shifrlashda asosan simmetrik algoritmlar ishlatiladi. Kamchiligi — kalitni xavfsiz almashtirish muammosi va foydalanuvchilar soni ko‘paygan sayin kalitlar sonining keskin oshishi (n ta foydalanuvchi uchun n(n-1)/2 ta kalit) [1, 2].</w:t>
      </w:r>
    </w:p>
    <w:p>
      <w:pPr>
        <w:spacing w:before="120" w:after="60"/>
        <w:ind w:firstLine="709"/>
        <w:jc w:val="left"/>
      </w:pPr>
      <w:r>
        <w:rPr>
          <w:rFonts w:ascii="Times New Roman" w:hAnsi="Times New Roman" w:eastAsia="Times New Roman"/>
          <w:b/>
          <w:i w:val="0"/>
          <w:sz w:val="28"/>
        </w:rPr>
        <w:t>Asimmetrik (ochiq kalitli) kriptografiya</w:t>
      </w:r>
    </w:p>
    <w:p>
      <w:pPr>
        <w:ind w:firstLine="709"/>
        <w:jc w:val="both"/>
      </w:pPr>
      <w:r>
        <w:rPr>
          <w:rFonts w:ascii="Times New Roman" w:hAnsi="Times New Roman" w:eastAsia="Times New Roman"/>
          <w:b w:val="0"/>
          <w:i w:val="0"/>
          <w:sz w:val="28"/>
        </w:rPr>
        <w:t>Ochiq kalitli kriptografiya 1976-yilda Whitfield Diffie va Martin Hellman tomonidan taklif etilgan bo‘lib, simmetrik tizimning kalit almashtirish muammosini hal qiladi [5]. Bu yondashuvda har bir foydalanuvchi matematik jihatdan o‘zaro bog‘liq bo‘lgan ikkita kalitga ega bo‘ladi:</w:t>
      </w:r>
    </w:p>
    <w:p>
      <w:pPr>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Ochiq kalit (public key) — </w:t>
      </w:r>
      <w:r>
        <w:rPr>
          <w:rFonts w:ascii="Times New Roman" w:hAnsi="Times New Roman" w:eastAsia="Times New Roman"/>
          <w:b w:val="0"/>
          <w:i w:val="0"/>
          <w:sz w:val="28"/>
        </w:rPr>
        <w:t>hammaga oshkor qilinadi va xabarni shifrlash yoki imzoni tekshirish uchun ishlatiladi;</w:t>
      </w:r>
    </w:p>
    <w:p>
      <w:pPr>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Maxfiy kalit (private key) — </w:t>
      </w:r>
      <w:r>
        <w:rPr>
          <w:rFonts w:ascii="Times New Roman" w:hAnsi="Times New Roman" w:eastAsia="Times New Roman"/>
          <w:b w:val="0"/>
          <w:i w:val="0"/>
          <w:sz w:val="28"/>
        </w:rPr>
        <w:t>faqat egasida saqlanadi va deshifrlash yoki imzo qo‘yish uchun ishlatiladi.</w:t>
      </w:r>
    </w:p>
    <w:p>
      <w:pPr>
        <w:ind w:firstLine="709"/>
        <w:jc w:val="both"/>
      </w:pPr>
      <w:r>
        <w:rPr>
          <w:rFonts w:ascii="Times New Roman" w:hAnsi="Times New Roman" w:eastAsia="Times New Roman"/>
          <w:b w:val="0"/>
          <w:i w:val="0"/>
          <w:sz w:val="28"/>
        </w:rPr>
        <w:t>Ochiq kalit yordamida shifrlangan ma’lumotni faqat mos maxfiy kalit egasi ocha oladi. Bu tizimlarning xavfsizligi yechilishi qiyin bo‘lgan matematik masalalarga asoslanadi:</w:t>
      </w:r>
    </w:p>
    <w:p>
      <w:pPr>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RSA (Rivest–Shamir–Adleman, 1977): </w:t>
      </w:r>
      <w:r>
        <w:rPr>
          <w:rFonts w:ascii="Times New Roman" w:hAnsi="Times New Roman" w:eastAsia="Times New Roman"/>
          <w:b w:val="0"/>
          <w:i w:val="0"/>
          <w:sz w:val="28"/>
        </w:rPr>
        <w:t>katta sonlarni tub ko‘paytuvchilarga ajratish (integer factorization) masalasining murakkabligiga tayanadi; shifrlash va raqamli imzo uchun ishlatiladi (RFC 8017 / PKCS #1, FIPS 186-5) [6, 7].</w:t>
      </w:r>
    </w:p>
    <w:p>
      <w:pPr>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Diffie–Hellman kalit almashinuvi: </w:t>
      </w:r>
      <w:r>
        <w:rPr>
          <w:rFonts w:ascii="Times New Roman" w:hAnsi="Times New Roman" w:eastAsia="Times New Roman"/>
          <w:b w:val="0"/>
          <w:i w:val="0"/>
          <w:sz w:val="28"/>
        </w:rPr>
        <w:t>diskret logarifm masalasiga asoslanib, ishonchsiz kanal orqali umumiy maxfiy kalit hosil qilish imkonini beradi [5].</w:t>
      </w:r>
    </w:p>
    <w:p>
      <w:pPr>
        <w:ind w:left="709"/>
        <w:jc w:val="both"/>
      </w:pPr>
      <w:r>
        <w:rPr>
          <w:rFonts w:ascii="Times New Roman" w:hAnsi="Times New Roman" w:eastAsia="Times New Roman"/>
          <w:b w:val="0"/>
          <w:i w:val="0"/>
          <w:sz w:val="28"/>
        </w:rPr>
        <w:t xml:space="preserve">− </w:t>
      </w:r>
      <w:r>
        <w:rPr>
          <w:rFonts w:ascii="Times New Roman" w:hAnsi="Times New Roman" w:eastAsia="Times New Roman"/>
          <w:b/>
          <w:i w:val="0"/>
          <w:sz w:val="28"/>
        </w:rPr>
        <w:t xml:space="preserve">Elliptik egri chiziqlar kriptografiyasi (ECC): </w:t>
      </w:r>
      <w:r>
        <w:rPr>
          <w:rFonts w:ascii="Times New Roman" w:hAnsi="Times New Roman" w:eastAsia="Times New Roman"/>
          <w:b w:val="0"/>
          <w:i w:val="0"/>
          <w:sz w:val="28"/>
        </w:rPr>
        <w:t>elliptik egri chiziqlardagi diskret logarifm masalasiga asoslanadi. RSA bilan bir xil xavfsizlikni ancha kichik kalit uzunligida ta’minlaydi (256-bitli ECC ≈ 3072-bitli RSA), shu sababli resurslari cheklangan qurilmalar uchun samaralidir (NIST SP 800-186) [7, 8].</w:t>
      </w:r>
    </w:p>
    <w:p>
      <w:pPr>
        <w:ind w:firstLine="709"/>
        <w:jc w:val="both"/>
      </w:pPr>
      <w:r>
        <w:rPr>
          <w:rFonts w:ascii="Times New Roman" w:hAnsi="Times New Roman" w:eastAsia="Times New Roman"/>
          <w:b w:val="0"/>
          <w:i w:val="0"/>
          <w:sz w:val="28"/>
        </w:rPr>
        <w:t>Asimmetrik kriptografiyaning afzalligi — kalit almashtirish muammosini hal qilishi va raqamli imzo imkoniyatini berishi. Kamchiligi — simmetrik algoritmlarga nisbatan ancha sekin ishlashi. Amaliyotda ko‘pincha gibrid sxema qo‘llaniladi: katta ma’lumot simmetrik kalit (AES) bilan, simmetrik kalitning o‘zi esa qabul qiluvchining ochiq kaliti (RSA/ECC) bilan shifrlanadi [1, 2].</w:t>
      </w:r>
    </w:p>
    <w:p>
      <w:pPr>
        <w:spacing w:before="120" w:after="60"/>
        <w:ind w:firstLine="709"/>
        <w:jc w:val="left"/>
      </w:pPr>
      <w:r>
        <w:rPr>
          <w:rFonts w:ascii="Times New Roman" w:hAnsi="Times New Roman" w:eastAsia="Times New Roman"/>
          <w:b/>
          <w:i w:val="0"/>
          <w:sz w:val="28"/>
        </w:rPr>
        <w:t>Axborot butunligini ta’minlovchi kriptografik usullar</w:t>
      </w:r>
    </w:p>
    <w:p>
      <w:pPr>
        <w:ind w:firstLine="709"/>
        <w:jc w:val="both"/>
      </w:pPr>
      <w:r>
        <w:rPr>
          <w:rFonts w:ascii="Times New Roman" w:hAnsi="Times New Roman" w:eastAsia="Times New Roman"/>
          <w:b w:val="0"/>
          <w:i w:val="0"/>
          <w:sz w:val="28"/>
        </w:rPr>
        <w:t>Axborot butunligi (data integrity) deganda ma’lumot uzatish yoki saqlash jarayonida ruxsatsiz yoki tasodifiy o‘zgartirilmaganligiga ishonch hosil qilish tushuniladi. Kriptografiyada butunlikni ta’minlashning to‘rtta asosiy mexanizmi mavjud: kriptografik xesh funksiyalar, xabar autentifikatsiyasi kodlari (MAC), HMAC va elektron raqamli imzo (ERI). Bu mexanizmlar nafaqat ma’lumotning o‘zgartirilmaganligini, balki ba’zi hollarda uning manbasini (autentifikatsiya) va kelib chiqishini (rad eta olmaslik) ham tasdiqlaydi [1, 2].</w:t>
      </w:r>
    </w:p>
    <w:p>
      <w:pPr>
        <w:spacing w:before="120" w:after="60"/>
        <w:ind w:firstLine="709"/>
        <w:jc w:val="left"/>
      </w:pPr>
      <w:r>
        <w:rPr>
          <w:rFonts w:ascii="Times New Roman" w:hAnsi="Times New Roman" w:eastAsia="Times New Roman"/>
          <w:b/>
          <w:i w:val="0"/>
          <w:sz w:val="28"/>
        </w:rPr>
        <w:t>Kriptografik xesh funksiyalar yordamida butunlik</w:t>
      </w:r>
    </w:p>
    <w:p>
      <w:pPr>
        <w:ind w:firstLine="709"/>
        <w:jc w:val="both"/>
      </w:pPr>
      <w:r>
        <w:rPr>
          <w:rFonts w:ascii="Times New Roman" w:hAnsi="Times New Roman" w:eastAsia="Times New Roman"/>
          <w:b w:val="0"/>
          <w:i w:val="0"/>
          <w:sz w:val="28"/>
        </w:rPr>
        <w:t>Kriptografik xesh funksiya H ixtiyoriy uzunlikdagi xabarni belgilangan uzunlikdagi qiymatga (dayjest) aylantiradi: H: {0,1}* → {0,1}^n. Butunlikni tekshirish uchun xabar uzatishdan oldin va keyin uning xesh qiymati hisoblanadi; agar ikkala qiymat mos kelsa, ma’lumot o‘zgartirilmagan deb hisoblanadi. Bu mexanizmning ishonchliligi xesh funksiyaning preimage, ikkinchi preimage va to‘qnashuvga chidamlilik xususiyatlariga bog‘liq [1]. SHA-2 (FIPS 180-4) va SHA-3 (FIPS 202) bugungi kunda tavsiya etilgan standart xesh funksiyalardir [9, 10].</w:t>
      </w:r>
    </w:p>
    <w:p>
      <w:pPr>
        <w:ind w:firstLine="709"/>
        <w:jc w:val="both"/>
      </w:pPr>
      <w:r>
        <w:rPr>
          <w:rFonts w:ascii="Times New Roman" w:hAnsi="Times New Roman" w:eastAsia="Times New Roman"/>
          <w:b w:val="0"/>
          <w:i w:val="0"/>
          <w:sz w:val="28"/>
        </w:rPr>
        <w:t>Biroq, oddiy xesh funksiyaning o‘zi faqat tasodifiy xatolarni aniqlaydi: agar tajovuzkor ham xabarni, ham uning xesh qiymatini birga o‘zgartira olsa, buni aniqlab bo‘lmaydi. Shu sababli qasddan qilingan o‘zgartirishlardan himoyalanish uchun maxfiy kalitga asoslangan mexanizmlar (MAC, HMAC) yoki ochiq kalitli imzo (ERI) qo‘llaniladi [1, 2].</w:t>
      </w:r>
    </w:p>
    <w:p>
      <w:pPr>
        <w:spacing w:before="120" w:after="60"/>
        <w:ind w:firstLine="709"/>
        <w:jc w:val="left"/>
      </w:pPr>
      <w:r>
        <w:rPr>
          <w:rFonts w:ascii="Times New Roman" w:hAnsi="Times New Roman" w:eastAsia="Times New Roman"/>
          <w:b/>
          <w:i w:val="0"/>
          <w:sz w:val="28"/>
        </w:rPr>
        <w:t>Xabar autentifikatsiyasi kodi (MAC)</w:t>
      </w:r>
    </w:p>
    <w:p>
      <w:pPr>
        <w:ind w:firstLine="709"/>
        <w:jc w:val="both"/>
      </w:pPr>
      <w:r>
        <w:rPr>
          <w:rFonts w:ascii="Times New Roman" w:hAnsi="Times New Roman" w:eastAsia="Times New Roman"/>
          <w:b w:val="0"/>
          <w:i w:val="0"/>
          <w:sz w:val="28"/>
        </w:rPr>
        <w:t>Xabar autentifikatsiyasi kodi (Message Authentication Code, MAC) — bu xabar va maxfiy kalitdan hisoblanadigan qisqa teg bo‘lib, u bir vaqtning o‘zida ham butunlikni, ham manba autentifikatsiyasini ta’minlaydi. Jo‘natuvchi va qabul qiluvchi umumiy maxfiy kalitga ega bo‘ladi: jo‘natuvchi MAC = MAC(K, M) ni hisoblab xabar bilan birga yuboradi, qabul qiluvchi esa o‘zida qayta hisoblab, qiymatlar mos kelishini tekshiradi [1, 11].</w:t>
      </w:r>
    </w:p>
    <w:p>
      <w:pPr>
        <w:ind w:firstLine="709"/>
        <w:jc w:val="both"/>
      </w:pPr>
      <w:r>
        <w:rPr>
          <w:rFonts w:ascii="Times New Roman" w:hAnsi="Times New Roman" w:eastAsia="Times New Roman"/>
          <w:b w:val="0"/>
          <w:i w:val="0"/>
          <w:sz w:val="28"/>
        </w:rPr>
        <w:t>MAC ni qurishda xesh funksiyaga asoslangan usul (HMAC) yoki blokli shifrga asoslangan usul (CMAC — NIST SP 800-38B, CBC-MAC) qo‘llaniladi; ISO/IEC 9797 standarti blokli shifrga asoslangan MAC algoritmlarini belgilaydi [11]. MAC ning raqamli imzodan asosiy farqi shundaki, u simmetrik kalitdan foydalanadi va shu sababli rad eta olmaslik (non-repudiation) xususiyatini ta’minlamaydi [1].</w:t>
      </w:r>
    </w:p>
    <w:p>
      <w:pPr>
        <w:spacing w:before="120" w:after="60"/>
        <w:ind w:firstLine="709"/>
        <w:jc w:val="left"/>
      </w:pPr>
      <w:r>
        <w:rPr>
          <w:rFonts w:ascii="Times New Roman" w:hAnsi="Times New Roman" w:eastAsia="Times New Roman"/>
          <w:b/>
          <w:i w:val="0"/>
          <w:sz w:val="28"/>
        </w:rPr>
        <w:t>HMAC (Keyed-Hash Message Authentication Code)</w:t>
      </w:r>
    </w:p>
    <w:p>
      <w:pPr>
        <w:ind w:firstLine="709"/>
        <w:jc w:val="both"/>
      </w:pPr>
      <w:r>
        <w:rPr>
          <w:rFonts w:ascii="Times New Roman" w:hAnsi="Times New Roman" w:eastAsia="Times New Roman"/>
          <w:b w:val="0"/>
          <w:i w:val="0"/>
          <w:sz w:val="28"/>
        </w:rPr>
        <w:t>HMAC — bu kriptografik xesh funksiya va maxfiy kalit kombinatsiyasidan foydalanadigan MAC turi. U dastlab Bellare, Canetti va Krawczyk tomonidan taklif etilgan (RFC 2104, 1997) va keyinchalik NIST tomonidan FIPS 198-1 (2008) standarti sifatida qabul qilingan [12, 13]. HMAC quyidagi formula bo‘yicha hisoblanadi:</w:t>
      </w:r>
    </w:p>
    <w:p>
      <w:pPr>
        <w:spacing w:before="60" w:after="60"/>
        <w:jc w:val="center"/>
      </w:pPr>
      <w:r>
        <w:rPr>
          <w:rFonts w:ascii="Times New Roman" w:hAnsi="Times New Roman" w:eastAsia="Times New Roman"/>
          <w:b w:val="0"/>
          <w:i/>
          <w:sz w:val="28"/>
        </w:rPr>
        <w:t>HMAC(K, M) = H( (K ⊕ opad) ‖ H( (K ⊕ ipad) ‖ M ) )</w:t>
      </w:r>
    </w:p>
    <w:p>
      <w:pPr>
        <w:ind w:firstLine="709"/>
        <w:jc w:val="both"/>
      </w:pPr>
      <w:r>
        <w:rPr>
          <w:rFonts w:ascii="Times New Roman" w:hAnsi="Times New Roman" w:eastAsia="Times New Roman"/>
          <w:b w:val="0"/>
          <w:i w:val="0"/>
          <w:sz w:val="28"/>
        </w:rPr>
        <w:t>bu yerda H — xesh funksiya (masalan, SHA-256), K — maxfiy kalit, M — xabar, ipad va opad — oldindan belgilangan to‘ldiruvchi konstantalar, ‖ — konkatenatsiya, ⊕ — XOR amali. HMAC ning afzalliklari: ixtiyoriy iterativ xesh funksiya bilan ishlay olishi, uzunlik-kengaytma (length-extension) hujumlariga bardoshliligi va xavfsizligi matematik jihatdan isbotlanganligi [12]. HMAC bugungi kunda TLS, IPsec va JWT kabi ko‘plab protokollarda keng qo‘llaniladi.</w:t>
      </w:r>
    </w:p>
    <w:p>
      <w:pPr>
        <w:spacing w:before="120" w:after="60"/>
        <w:ind w:firstLine="709"/>
        <w:jc w:val="left"/>
      </w:pPr>
      <w:r>
        <w:rPr>
          <w:rFonts w:ascii="Times New Roman" w:hAnsi="Times New Roman" w:eastAsia="Times New Roman"/>
          <w:b/>
          <w:i w:val="0"/>
          <w:sz w:val="28"/>
        </w:rPr>
        <w:t>Elektron raqamli imzo (ERI)</w:t>
      </w:r>
    </w:p>
    <w:p>
      <w:pPr>
        <w:ind w:firstLine="709"/>
        <w:jc w:val="both"/>
      </w:pPr>
      <w:r>
        <w:rPr>
          <w:rFonts w:ascii="Times New Roman" w:hAnsi="Times New Roman" w:eastAsia="Times New Roman"/>
          <w:b w:val="0"/>
          <w:i w:val="0"/>
          <w:sz w:val="28"/>
        </w:rPr>
        <w:t>Elektron raqamli imzo (Digital Signature) — ochiq kalitli kriptografiyaga asoslangan mexanizm bo‘lib, u bir vaqtning o‘zida uchta xizmatni ta’minlaydi: butunlik, autentifikatsiya va rad eta olmaslik (non-repudiation) [7]. Imzo jarayoni quyidagicha amalga oshiriladi:</w:t>
      </w:r>
    </w:p>
    <w:p>
      <w:pPr>
        <w:ind w:firstLine="709"/>
        <w:jc w:val="both"/>
      </w:pPr>
      <w:r>
        <w:rPr>
          <w:rFonts w:ascii="Times New Roman" w:hAnsi="Times New Roman" w:eastAsia="Times New Roman"/>
          <w:b/>
          <w:i w:val="0"/>
          <w:sz w:val="28"/>
        </w:rPr>
        <w:t xml:space="preserve">1. </w:t>
      </w:r>
      <w:r>
        <w:rPr>
          <w:rFonts w:ascii="Times New Roman" w:hAnsi="Times New Roman" w:eastAsia="Times New Roman"/>
          <w:b w:val="0"/>
          <w:i w:val="0"/>
          <w:sz w:val="28"/>
        </w:rPr>
        <w:t>Jo‘natuvchi xabarning xesh qiymatini hisoblaydi: h = H(M).</w:t>
      </w:r>
    </w:p>
    <w:p>
      <w:pPr>
        <w:ind w:firstLine="709"/>
        <w:jc w:val="both"/>
      </w:pPr>
      <w:r>
        <w:rPr>
          <w:rFonts w:ascii="Times New Roman" w:hAnsi="Times New Roman" w:eastAsia="Times New Roman"/>
          <w:b/>
          <w:i w:val="0"/>
          <w:sz w:val="28"/>
        </w:rPr>
        <w:t xml:space="preserve">2. </w:t>
      </w:r>
      <w:r>
        <w:rPr>
          <w:rFonts w:ascii="Times New Roman" w:hAnsi="Times New Roman" w:eastAsia="Times New Roman"/>
          <w:b w:val="0"/>
          <w:i w:val="0"/>
          <w:sz w:val="28"/>
        </w:rPr>
        <w:t>Ushbu xesh qiymatini o‘zining maxfiy kaliti bilan imzolaydi: S = Sign(privKey, h).</w:t>
      </w:r>
    </w:p>
    <w:p>
      <w:pPr>
        <w:ind w:firstLine="709"/>
        <w:jc w:val="both"/>
      </w:pPr>
      <w:r>
        <w:rPr>
          <w:rFonts w:ascii="Times New Roman" w:hAnsi="Times New Roman" w:eastAsia="Times New Roman"/>
          <w:b/>
          <w:i w:val="0"/>
          <w:sz w:val="28"/>
        </w:rPr>
        <w:t xml:space="preserve">3. </w:t>
      </w:r>
      <w:r>
        <w:rPr>
          <w:rFonts w:ascii="Times New Roman" w:hAnsi="Times New Roman" w:eastAsia="Times New Roman"/>
          <w:b w:val="0"/>
          <w:i w:val="0"/>
          <w:sz w:val="28"/>
        </w:rPr>
        <w:t>Xabar M va imzo S birga uzatiladi.</w:t>
      </w:r>
    </w:p>
    <w:p>
      <w:pPr>
        <w:ind w:firstLine="709"/>
        <w:jc w:val="both"/>
      </w:pPr>
      <w:r>
        <w:rPr>
          <w:rFonts w:ascii="Times New Roman" w:hAnsi="Times New Roman" w:eastAsia="Times New Roman"/>
          <w:b/>
          <w:i w:val="0"/>
          <w:sz w:val="28"/>
        </w:rPr>
        <w:t xml:space="preserve">4. </w:t>
      </w:r>
      <w:r>
        <w:rPr>
          <w:rFonts w:ascii="Times New Roman" w:hAnsi="Times New Roman" w:eastAsia="Times New Roman"/>
          <w:b w:val="0"/>
          <w:i w:val="0"/>
          <w:sz w:val="28"/>
        </w:rPr>
        <w:t>Qabul qiluvchi jo‘natuvchining ochiq kaliti yordamida imzoni tekshiradi: xabardan qayta hisoblangan xesh qiymati imzodan tiklangan qiymatga mos kelsa, imzo haqiqiy hisoblanadi.</w:t>
      </w:r>
    </w:p>
    <w:p>
      <w:pPr>
        <w:ind w:firstLine="709"/>
        <w:jc w:val="both"/>
      </w:pPr>
      <w:r>
        <w:rPr>
          <w:rFonts w:ascii="Times New Roman" w:hAnsi="Times New Roman" w:eastAsia="Times New Roman"/>
          <w:b w:val="0"/>
          <w:i w:val="0"/>
          <w:sz w:val="28"/>
        </w:rPr>
        <w:t>ERI xeshlash bilan birgalikda ishlatilgani uchun butun xabarni emas, balki uning kichik, doimiy o‘lchamdagi dayjestini imzolash kifoya qiladi — bu samaradorlikni oshiradi [1, 7]. Raqamli imzoning MAC dan asosiy ustunligi — rad eta olmaslik xususiyati: imzo faqat maxfiy kalit egasi tomonidan yaratilishi mumkin bo‘lgani uchun, jo‘natuvchi keyinchalik imzodan voz kecha olmaydi. NIST FIPS 186-5 (2023) standarti uchta raqamli imzo algoritmini belgilaydi: RSA, ECDSA va EdDSA (masalan, Ed25519) [7].</w:t>
      </w:r>
    </w:p>
    <w:p>
      <w:pPr>
        <w:spacing w:before="120" w:after="60"/>
        <w:ind w:firstLine="709"/>
        <w:jc w:val="left"/>
      </w:pPr>
      <w:r>
        <w:rPr>
          <w:rFonts w:ascii="Times New Roman" w:hAnsi="Times New Roman" w:eastAsia="Times New Roman"/>
          <w:b/>
          <w:i w:val="0"/>
          <w:sz w:val="28"/>
        </w:rPr>
        <w:t>Usullarning qiyosiy tahlili</w:t>
      </w:r>
    </w:p>
    <w:p>
      <w:pPr>
        <w:ind w:firstLine="709"/>
        <w:jc w:val="both"/>
      </w:pPr>
      <w:r>
        <w:rPr>
          <w:rFonts w:ascii="Times New Roman" w:hAnsi="Times New Roman" w:eastAsia="Times New Roman"/>
          <w:b w:val="0"/>
          <w:i w:val="0"/>
          <w:sz w:val="28"/>
        </w:rPr>
        <w:t>Quyidagi jadvalda butunlikni ta’minlovchi uchta kriptografik mexanizm qiyoslangan: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jc w:val="center"/>
            </w:pPr>
            <w:r/>
            <w:r>
              <w:rPr>
                <w:rFonts w:ascii="Times New Roman" w:hAnsi="Times New Roman" w:eastAsia="Times New Roman"/>
                <w:b/>
                <w:i w:val="0"/>
                <w:sz w:val="24"/>
              </w:rPr>
              <w:t>Mexanizm</w:t>
            </w:r>
          </w:p>
        </w:tc>
        <w:tc>
          <w:tcPr>
            <w:tcW w:type="dxa" w:w="1938"/>
          </w:tcPr>
          <w:p>
            <w:pPr>
              <w:spacing w:line="240" w:lineRule="auto"/>
              <w:jc w:val="center"/>
            </w:pPr>
            <w:r/>
            <w:r>
              <w:rPr>
                <w:rFonts w:ascii="Times New Roman" w:hAnsi="Times New Roman" w:eastAsia="Times New Roman"/>
                <w:b/>
                <w:i w:val="0"/>
                <w:sz w:val="24"/>
              </w:rPr>
              <w:t>Kalit turi</w:t>
            </w:r>
          </w:p>
        </w:tc>
        <w:tc>
          <w:tcPr>
            <w:tcW w:type="dxa" w:w="1938"/>
          </w:tcPr>
          <w:p>
            <w:pPr>
              <w:spacing w:line="240" w:lineRule="auto"/>
              <w:jc w:val="center"/>
            </w:pPr>
            <w:r/>
            <w:r>
              <w:rPr>
                <w:rFonts w:ascii="Times New Roman" w:hAnsi="Times New Roman" w:eastAsia="Times New Roman"/>
                <w:b/>
                <w:i w:val="0"/>
                <w:sz w:val="24"/>
              </w:rPr>
              <w:t>Butunlik</w:t>
            </w:r>
          </w:p>
        </w:tc>
        <w:tc>
          <w:tcPr>
            <w:tcW w:type="dxa" w:w="1938"/>
          </w:tcPr>
          <w:p>
            <w:pPr>
              <w:spacing w:line="240" w:lineRule="auto"/>
              <w:jc w:val="center"/>
            </w:pPr>
            <w:r/>
            <w:r>
              <w:rPr>
                <w:rFonts w:ascii="Times New Roman" w:hAnsi="Times New Roman" w:eastAsia="Times New Roman"/>
                <w:b/>
                <w:i w:val="0"/>
                <w:sz w:val="24"/>
              </w:rPr>
              <w:t>Autentifikatsiya</w:t>
            </w:r>
          </w:p>
        </w:tc>
        <w:tc>
          <w:tcPr>
            <w:tcW w:type="dxa" w:w="1938"/>
          </w:tcPr>
          <w:p>
            <w:pPr>
              <w:spacing w:line="240" w:lineRule="auto"/>
              <w:jc w:val="center"/>
            </w:pPr>
            <w:r/>
            <w:r>
              <w:rPr>
                <w:rFonts w:ascii="Times New Roman" w:hAnsi="Times New Roman" w:eastAsia="Times New Roman"/>
                <w:b/>
                <w:i w:val="0"/>
                <w:sz w:val="24"/>
              </w:rPr>
              <w:t>Rad eta olmaslik</w:t>
            </w:r>
          </w:p>
        </w:tc>
      </w:tr>
      <w:tr>
        <w:tc>
          <w:tcPr>
            <w:tcW w:type="dxa" w:w="1938"/>
          </w:tcPr>
          <w:p>
            <w:pPr>
              <w:spacing w:line="240" w:lineRule="auto"/>
              <w:jc w:val="center"/>
            </w:pPr>
            <w:r/>
            <w:r>
              <w:rPr>
                <w:rFonts w:ascii="Times New Roman" w:hAnsi="Times New Roman" w:eastAsia="Times New Roman"/>
                <w:b w:val="0"/>
                <w:i w:val="0"/>
                <w:sz w:val="24"/>
              </w:rPr>
              <w:t>Xesh funksiya</w:t>
            </w:r>
          </w:p>
        </w:tc>
        <w:tc>
          <w:tcPr>
            <w:tcW w:type="dxa" w:w="1938"/>
          </w:tcPr>
          <w:p>
            <w:pPr>
              <w:spacing w:line="240" w:lineRule="auto"/>
              <w:jc w:val="center"/>
            </w:pPr>
            <w:r/>
            <w:r>
              <w:rPr>
                <w:rFonts w:ascii="Times New Roman" w:hAnsi="Times New Roman" w:eastAsia="Times New Roman"/>
                <w:b w:val="0"/>
                <w:i w:val="0"/>
                <w:sz w:val="24"/>
              </w:rPr>
              <w:t>Kalitsiz</w:t>
            </w:r>
          </w:p>
        </w:tc>
        <w:tc>
          <w:tcPr>
            <w:tcW w:type="dxa" w:w="1938"/>
          </w:tcPr>
          <w:p>
            <w:pPr>
              <w:spacing w:line="240" w:lineRule="auto"/>
              <w:jc w:val="center"/>
            </w:pPr>
            <w:r/>
            <w:r>
              <w:rPr>
                <w:rFonts w:ascii="Times New Roman" w:hAnsi="Times New Roman" w:eastAsia="Times New Roman"/>
                <w:b w:val="0"/>
                <w:i w:val="0"/>
                <w:sz w:val="24"/>
              </w:rPr>
              <w:t>Faqat tasodifiy xatolar</w:t>
            </w:r>
          </w:p>
        </w:tc>
        <w:tc>
          <w:tcPr>
            <w:tcW w:type="dxa" w:w="1938"/>
          </w:tcPr>
          <w:p>
            <w:pPr>
              <w:spacing w:line="240" w:lineRule="auto"/>
              <w:jc w:val="center"/>
            </w:pPr>
            <w:r/>
            <w:r>
              <w:rPr>
                <w:rFonts w:ascii="Times New Roman" w:hAnsi="Times New Roman" w:eastAsia="Times New Roman"/>
                <w:b w:val="0"/>
                <w:i w:val="0"/>
                <w:sz w:val="24"/>
              </w:rPr>
              <w:t>Yo‘q</w:t>
            </w:r>
          </w:p>
        </w:tc>
        <w:tc>
          <w:tcPr>
            <w:tcW w:type="dxa" w:w="1938"/>
          </w:tcPr>
          <w:p>
            <w:pPr>
              <w:spacing w:line="240" w:lineRule="auto"/>
              <w:jc w:val="center"/>
            </w:pPr>
            <w:r/>
            <w:r>
              <w:rPr>
                <w:rFonts w:ascii="Times New Roman" w:hAnsi="Times New Roman" w:eastAsia="Times New Roman"/>
                <w:b w:val="0"/>
                <w:i w:val="0"/>
                <w:sz w:val="24"/>
              </w:rPr>
              <w:t>Yo‘q</w:t>
            </w:r>
          </w:p>
        </w:tc>
      </w:tr>
      <w:tr>
        <w:tc>
          <w:tcPr>
            <w:tcW w:type="dxa" w:w="1938"/>
          </w:tcPr>
          <w:p>
            <w:pPr>
              <w:spacing w:line="240" w:lineRule="auto"/>
              <w:jc w:val="center"/>
            </w:pPr>
            <w:r/>
            <w:r>
              <w:rPr>
                <w:rFonts w:ascii="Times New Roman" w:hAnsi="Times New Roman" w:eastAsia="Times New Roman"/>
                <w:b w:val="0"/>
                <w:i w:val="0"/>
                <w:sz w:val="24"/>
              </w:rPr>
              <w:t>MAC / HMAC</w:t>
            </w:r>
          </w:p>
        </w:tc>
        <w:tc>
          <w:tcPr>
            <w:tcW w:type="dxa" w:w="1938"/>
          </w:tcPr>
          <w:p>
            <w:pPr>
              <w:spacing w:line="240" w:lineRule="auto"/>
              <w:jc w:val="center"/>
            </w:pPr>
            <w:r/>
            <w:r>
              <w:rPr>
                <w:rFonts w:ascii="Times New Roman" w:hAnsi="Times New Roman" w:eastAsia="Times New Roman"/>
                <w:b w:val="0"/>
                <w:i w:val="0"/>
                <w:sz w:val="24"/>
              </w:rPr>
              <w:t>Simmetrik (umumiy)</w:t>
            </w:r>
          </w:p>
        </w:tc>
        <w:tc>
          <w:tcPr>
            <w:tcW w:type="dxa" w:w="1938"/>
          </w:tcPr>
          <w:p>
            <w:pPr>
              <w:spacing w:line="240" w:lineRule="auto"/>
              <w:jc w:val="center"/>
            </w:pPr>
            <w:r/>
            <w:r>
              <w:rPr>
                <w:rFonts w:ascii="Times New Roman" w:hAnsi="Times New Roman" w:eastAsia="Times New Roman"/>
                <w:b w:val="0"/>
                <w:i w:val="0"/>
                <w:sz w:val="24"/>
              </w:rPr>
              <w:t>Ha</w:t>
            </w:r>
          </w:p>
        </w:tc>
        <w:tc>
          <w:tcPr>
            <w:tcW w:type="dxa" w:w="1938"/>
          </w:tcPr>
          <w:p>
            <w:pPr>
              <w:spacing w:line="240" w:lineRule="auto"/>
              <w:jc w:val="center"/>
            </w:pPr>
            <w:r/>
            <w:r>
              <w:rPr>
                <w:rFonts w:ascii="Times New Roman" w:hAnsi="Times New Roman" w:eastAsia="Times New Roman"/>
                <w:b w:val="0"/>
                <w:i w:val="0"/>
                <w:sz w:val="24"/>
              </w:rPr>
              <w:t>Ha</w:t>
            </w:r>
          </w:p>
        </w:tc>
        <w:tc>
          <w:tcPr>
            <w:tcW w:type="dxa" w:w="1938"/>
          </w:tcPr>
          <w:p>
            <w:pPr>
              <w:spacing w:line="240" w:lineRule="auto"/>
              <w:jc w:val="center"/>
            </w:pPr>
            <w:r/>
            <w:r>
              <w:rPr>
                <w:rFonts w:ascii="Times New Roman" w:hAnsi="Times New Roman" w:eastAsia="Times New Roman"/>
                <w:b w:val="0"/>
                <w:i w:val="0"/>
                <w:sz w:val="24"/>
              </w:rPr>
              <w:t>Yo‘q</w:t>
            </w:r>
          </w:p>
        </w:tc>
      </w:tr>
      <w:tr>
        <w:tc>
          <w:tcPr>
            <w:tcW w:type="dxa" w:w="1938"/>
          </w:tcPr>
          <w:p>
            <w:pPr>
              <w:spacing w:line="240" w:lineRule="auto"/>
              <w:jc w:val="center"/>
            </w:pPr>
            <w:r/>
            <w:r>
              <w:rPr>
                <w:rFonts w:ascii="Times New Roman" w:hAnsi="Times New Roman" w:eastAsia="Times New Roman"/>
                <w:b w:val="0"/>
                <w:i w:val="0"/>
                <w:sz w:val="24"/>
              </w:rPr>
              <w:t>Raqamli imzo (ERI)</w:t>
            </w:r>
          </w:p>
        </w:tc>
        <w:tc>
          <w:tcPr>
            <w:tcW w:type="dxa" w:w="1938"/>
          </w:tcPr>
          <w:p>
            <w:pPr>
              <w:spacing w:line="240" w:lineRule="auto"/>
              <w:jc w:val="center"/>
            </w:pPr>
            <w:r/>
            <w:r>
              <w:rPr>
                <w:rFonts w:ascii="Times New Roman" w:hAnsi="Times New Roman" w:eastAsia="Times New Roman"/>
                <w:b w:val="0"/>
                <w:i w:val="0"/>
                <w:sz w:val="24"/>
              </w:rPr>
              <w:t>Asimmetrik</w:t>
            </w:r>
          </w:p>
        </w:tc>
        <w:tc>
          <w:tcPr>
            <w:tcW w:type="dxa" w:w="1938"/>
          </w:tcPr>
          <w:p>
            <w:pPr>
              <w:spacing w:line="240" w:lineRule="auto"/>
              <w:jc w:val="center"/>
            </w:pPr>
            <w:r/>
            <w:r>
              <w:rPr>
                <w:rFonts w:ascii="Times New Roman" w:hAnsi="Times New Roman" w:eastAsia="Times New Roman"/>
                <w:b w:val="0"/>
                <w:i w:val="0"/>
                <w:sz w:val="24"/>
              </w:rPr>
              <w:t>Ha</w:t>
            </w:r>
          </w:p>
        </w:tc>
        <w:tc>
          <w:tcPr>
            <w:tcW w:type="dxa" w:w="1938"/>
          </w:tcPr>
          <w:p>
            <w:pPr>
              <w:spacing w:line="240" w:lineRule="auto"/>
              <w:jc w:val="center"/>
            </w:pPr>
            <w:r/>
            <w:r>
              <w:rPr>
                <w:rFonts w:ascii="Times New Roman" w:hAnsi="Times New Roman" w:eastAsia="Times New Roman"/>
                <w:b w:val="0"/>
                <w:i w:val="0"/>
                <w:sz w:val="24"/>
              </w:rPr>
              <w:t>Ha</w:t>
            </w:r>
          </w:p>
        </w:tc>
        <w:tc>
          <w:tcPr>
            <w:tcW w:type="dxa" w:w="1938"/>
          </w:tcPr>
          <w:p>
            <w:pPr>
              <w:spacing w:line="240" w:lineRule="auto"/>
              <w:jc w:val="center"/>
            </w:pPr>
            <w:r/>
            <w:r>
              <w:rPr>
                <w:rFonts w:ascii="Times New Roman" w:hAnsi="Times New Roman" w:eastAsia="Times New Roman"/>
                <w:b w:val="0"/>
                <w:i w:val="0"/>
                <w:sz w:val="24"/>
              </w:rPr>
              <w:t>Ha</w:t>
            </w:r>
          </w:p>
        </w:tc>
      </w:tr>
    </w:tbl>
    <w:p/>
    <w:p>
      <w:pPr>
        <w:ind w:firstLine="709"/>
        <w:jc w:val="both"/>
      </w:pPr>
      <w:r>
        <w:rPr>
          <w:rFonts w:ascii="Times New Roman" w:hAnsi="Times New Roman" w:eastAsia="Times New Roman"/>
          <w:b w:val="0"/>
          <w:i w:val="0"/>
          <w:sz w:val="28"/>
        </w:rPr>
        <w:t>Jadvaldan ko‘rinib turibdiki, mexanizm tanlash xavfsizlik talablariga bog‘liq: faqat tasodifiy buzilishlarni aniqlash uchun xesh kifoya; ishonchli tomonlar o‘rtasida tezkor autentifikatsiya uchun HMAC mos; huquqiy ahamiyatga ega, rad etib bo‘lmaydigan tasdiqlash zarur bo‘lganda esa raqamli imzo qo‘llaniladi [1, 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