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Highlights</w:t>
      </w:r>
    </w:p>
    <w:p>
      <w:pPr>
        <w:pStyle w:val="ListBullet"/>
      </w:pPr>
      <w:r>
        <w:t>DR grading models ranked external images well but misplaced their grade cut-points</w:t>
      </w:r>
    </w:p>
    <w:p>
      <w:pPr>
        <w:pStyle w:val="ListBullet"/>
      </w:pPr>
      <w:r>
        <w:t>The same models over-graded one population and under-graded another</w:t>
      </w:r>
    </w:p>
    <w:p>
      <w:pPr>
        <w:pStyle w:val="ListBullet"/>
      </w:pPr>
      <w:r>
        <w:t>A transferred threshold's error took its sign from the development labels</w:t>
      </w:r>
    </w:p>
    <w:p>
      <w:pPr>
        <w:pStyle w:val="ListBullet"/>
      </w:pPr>
      <w:r>
        <w:t>Refitting cut-points without retraining helped only where ranking survived</w:t>
      </w:r>
    </w:p>
    <w:p>
      <w:pPr>
        <w:pStyle w:val="ListBullet"/>
      </w:pPr>
      <w:r>
        <w:t>Threshold risk depends on referable cases labelled: ~120 give about 10% risk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