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DR grading models ranked external images well but misplaced their grade cut-points</w:t>
      </w:r>
    </w:p>
    <w:p>
      <w:pPr>
        <w:pStyle w:val="ListBullet"/>
      </w:pPr>
      <w:r>
        <w:t>The same models over-graded one population and under-graded another</w:t>
      </w:r>
    </w:p>
    <w:p>
      <w:pPr>
        <w:pStyle w:val="ListBullet"/>
      </w:pPr>
      <w:r>
        <w:t>Refitting cut-points without retraining helped only where ranking survived</w:t>
      </w:r>
    </w:p>
    <w:p>
      <w:pPr>
        <w:pStyle w:val="ListBullet"/>
      </w:pPr>
      <w:r>
        <w:t>Training seeds alone produced spurious per-grade differences between models</w:t>
      </w:r>
    </w:p>
    <w:p>
      <w:pPr>
        <w:pStyle w:val="ListBullet"/>
      </w:pPr>
      <w:r>
        <w:t>About 200 local labels set a referral threshold with under 20% risk of harm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