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496"/>
          <w:sz w:val="34"/>
          <w:szCs w:val="34"/>
        </w:rPr>
        <w:t xml:space="preserve">McPAT / gem5 Power &amp; Energy Analysis</w:t>
      </w:r>
    </w:p>
    <w:p>
      <w:pPr>
        <w:spacing w:after="40"/>
      </w:pPr>
      <w:r>
        <w:rPr>
          <w:b/>
          <w:bCs/>
          <w:sz w:val="24"/>
          <w:szCs w:val="24"/>
        </w:rPr>
        <w:t xml:space="preserve">S4D Galaxy-Morphology Classifier on RISC-V — RVV vs. Scalar</w:t>
      </w:r>
    </w:p>
    <w:p>
      <w:pPr>
        <w:spacing w:after="200"/>
      </w:pPr>
      <w:r>
        <w:rPr>
          <w:i/>
          <w:iCs/>
          <w:color w:val="555555"/>
          <w:sz w:val="18"/>
          <w:szCs w:val="18"/>
        </w:rPr>
        <w:t xml:space="preserve">Two architectures (d64 and d108), measured end-to-end on RiscvMinorCPU with McPAT power modelling.</w:t>
      </w:r>
    </w:p>
    <w:p>
      <w:pPr>
        <w:pStyle w:val="Heading1"/>
        <w:spacing w:after="110" w:before="220"/>
      </w:pPr>
      <w:r>
        <w:t xml:space="preserve">1. Executive summary</w:t>
      </w:r>
    </w:p>
    <w:p>
      <w:pPr>
        <w:spacing w:after="120"/>
      </w:pPr>
      <w:r>
        <w:t xml:space="preserve">This report gives the complete McPAT/gem5 power and energy results for the from-scratch C implementation of the S4D galaxy classifier, for both the original 64-dimension model (d64) and the improved 108-dimension model (d108), each built two ways: RVV-vectorised and plain scalar. Every number is for a single forward pass (one 64x64 image) on the same simulated RISC-V core.</w:t>
      </w:r>
    </w:p>
    <w:p>
      <w:pPr>
        <w:spacing w:after="120"/>
      </w:pPr>
      <w:r>
        <w:t xml:space="preserve">Headline: on the accurate d108 model the vectorised build uses </w:t>
      </w:r>
      <w:r>
        <w:rPr>
          <w:b/>
          <w:bCs/>
        </w:rPr>
        <w:t xml:space="preserve">2.85 mJ per inference vs 4.75 mJ scalar (1.67x less energy)</w:t>
      </w:r>
      <w:r>
        <w:t xml:space="preserve">; on the older d64 model it is </w:t>
      </w:r>
      <w:r>
        <w:rPr>
          <w:b/>
          <w:bCs/>
        </w:rPr>
        <w:t xml:space="preserve">4.19 mJ vs 21.87 mJ (5.22x less energy)</w:t>
      </w:r>
      <w:r>
        <w:t xml:space="preserve">. In both cases the vector build draws slightly more instantaneous power but finishes far sooner, so it wins decisively on energy — the metric that matters for a power-constrained satellite.</w:t>
      </w:r>
    </w:p>
    <w:p>
      <w:pPr>
        <w:pStyle w:val="Heading1"/>
        <w:spacing w:after="110" w:before="220"/>
      </w:pPr>
      <w:r>
        <w:t xml:space="preserve">2. Methodology and configuration</w:t>
      </w:r>
    </w:p>
    <w:p>
      <w:pPr>
        <w:spacing w:after="120"/>
      </w:pPr>
      <w:r>
        <w:t xml:space="preserve">Performance and activity come from gem5 (cycle-accurate, RiscvMinorCPU, RVV 1.0, VLEN=256, ELEN=32); area and power come from McPAT, fed by the gem5 statistics. The two builds run the identical binary source; the scalar build is produced with -DFORCE_SCALAR, which disables the hand-written RVV kernels so the hot S4D scan executes as plain scalar C. Both were compiled with riscv32-unknown-elf-gcc at -O2 and run under gem5 with clk-freq 100 MHz. The processor is a single RiscvMinorCPU with RISC-V MMU/TLBs, private L1 instruction and data caches (16 KiB each), a system crossbar, and a channelled memory controller. McPAT models the core at a 22 nm process node. The integer/floating-point instruction split fed to McPAT uses fp-fraction = 0.60, which matches the measured floating-point share of the d108 workload.</w:t>
      </w:r>
    </w:p>
    <w:p>
      <w:pPr>
        <w:spacing w:after="120"/>
      </w:pPr>
      <w:r>
        <w:rPr>
          <w:b/>
          <w:bCs/>
        </w:rPr>
        <w:t xml:space="preserve">Every measurement below is one inference (one forward pass) — not the whole test set. </w:t>
      </w:r>
      <w:r>
        <w:t xml:space="preserve">The baked benchmark binary copies in a single image and calls the forward pass exactly once. Because the S4D compute is data-independent, the instruction count, cycle count and energy are the same for any input image.</w:t>
      </w:r>
    </w:p>
    <w:p>
      <w:pPr>
        <w:pStyle w:val="Heading1"/>
        <w:spacing w:after="110" w:before="220"/>
      </w:pPr>
      <w:r>
        <w:t xml:space="preserve">3. Fixed hardware baseline</w:t>
      </w:r>
    </w:p>
    <w:p>
      <w:pPr>
        <w:spacing w:after="120"/>
      </w:pPr>
      <w:r>
        <w:t xml:space="preserve">Area, peak dynamic power and leakage are properties of the core's physical structure, not of the code it runs, so they are identical for every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tcMar>
              <w:top w:type="dxa" w:w="40"/>
              <w:left w:type="dxa" w:w="70"/>
              <w:bottom w:type="dxa" w:w="40"/>
              <w:right w:type="dxa" w:w="70"/>
            </w:tcMar>
          </w:tcPr>
          <w:p>
            <w:pPr>
              <w:jc w:val="left"/>
            </w:pPr>
            <w:r>
              <w:rPr>
                <w:b/>
                <w:bCs/>
                <w:color w:val="FFFFFF"/>
                <w:sz w:val="18"/>
                <w:szCs w:val="18"/>
              </w:rPr>
              <w:t xml:space="preserve">Structural metric</w:t>
            </w:r>
          </w:p>
        </w:tc>
        <w:tc>
          <w:tcPr>
            <w:tcW w:type="dxa" w:w="4680"/>
            <w:shd w:fill="2F5496" w:val="clear"/>
            <w:tcMar>
              <w:top w:type="dxa" w:w="40"/>
              <w:left w:type="dxa" w:w="70"/>
              <w:bottom w:type="dxa" w:w="40"/>
              <w:right w:type="dxa" w:w="70"/>
            </w:tcMar>
          </w:tcPr>
          <w:p>
            <w:pPr>
              <w:jc w:val="center"/>
            </w:pPr>
            <w:r>
              <w:rPr>
                <w:b/>
                <w:bCs/>
                <w:color w:val="FFFFFF"/>
                <w:sz w:val="18"/>
                <w:szCs w:val="18"/>
              </w:rPr>
              <w:t xml:space="preserve">Value</w:t>
            </w:r>
          </w:p>
        </w:tc>
      </w:tr>
      <w:tr>
        <w:tc>
          <w:tcPr>
            <w:tcW w:type="dxa" w:w="4680"/>
            <w:tcMar>
              <w:top w:type="dxa" w:w="40"/>
              <w:left w:type="dxa" w:w="70"/>
              <w:bottom w:type="dxa" w:w="40"/>
              <w:right w:type="dxa" w:w="70"/>
            </w:tcMar>
          </w:tcPr>
          <w:p>
            <w:pPr>
              <w:jc w:val="left"/>
            </w:pPr>
            <w:r>
              <w:rPr>
                <w:b/>
                <w:bCs/>
                <w:sz w:val="18"/>
                <w:szCs w:val="18"/>
              </w:rPr>
              <w:t xml:space="preserve">Area</w:t>
            </w:r>
          </w:p>
        </w:tc>
        <w:tc>
          <w:tcPr>
            <w:tcW w:type="dxa" w:w="4680"/>
            <w:tcMar>
              <w:top w:type="dxa" w:w="40"/>
              <w:left w:type="dxa" w:w="70"/>
              <w:bottom w:type="dxa" w:w="40"/>
              <w:right w:type="dxa" w:w="70"/>
            </w:tcMar>
          </w:tcPr>
          <w:p>
            <w:pPr>
              <w:jc w:val="center"/>
            </w:pPr>
            <w:r>
              <w:rPr>
                <w:b w:val="false"/>
                <w:bCs w:val="false"/>
                <w:sz w:val="18"/>
                <w:szCs w:val="18"/>
              </w:rPr>
              <w:t xml:space="preserve">1.56708 mm²</w:t>
            </w:r>
          </w:p>
        </w:tc>
      </w:tr>
      <w:tr>
        <w:tc>
          <w:tcPr>
            <w:tcW w:type="dxa" w:w="4680"/>
            <w:shd w:fill="F2F2F2" w:val="clear"/>
            <w:tcMar>
              <w:top w:type="dxa" w:w="40"/>
              <w:left w:type="dxa" w:w="70"/>
              <w:bottom w:type="dxa" w:w="40"/>
              <w:right w:type="dxa" w:w="70"/>
            </w:tcMar>
          </w:tcPr>
          <w:p>
            <w:pPr>
              <w:jc w:val="left"/>
            </w:pPr>
            <w:r>
              <w:rPr>
                <w:b/>
                <w:bCs/>
                <w:sz w:val="18"/>
                <w:szCs w:val="18"/>
              </w:rPr>
              <w:t xml:space="preserve">Peak Dynamic power</w:t>
            </w:r>
          </w:p>
        </w:tc>
        <w:tc>
          <w:tcPr>
            <w:tcW w:type="dxa" w:w="4680"/>
            <w:shd w:fill="F2F2F2" w:val="clear"/>
            <w:tcMar>
              <w:top w:type="dxa" w:w="40"/>
              <w:left w:type="dxa" w:w="70"/>
              <w:bottom w:type="dxa" w:w="40"/>
              <w:right w:type="dxa" w:w="70"/>
            </w:tcMar>
          </w:tcPr>
          <w:p>
            <w:pPr>
              <w:jc w:val="center"/>
            </w:pPr>
            <w:r>
              <w:rPr>
                <w:b w:val="false"/>
                <w:bCs w:val="false"/>
                <w:sz w:val="18"/>
                <w:szCs w:val="18"/>
              </w:rPr>
              <w:t xml:space="preserve">0.0590695 W</w:t>
            </w:r>
          </w:p>
        </w:tc>
      </w:tr>
      <w:tr>
        <w:tc>
          <w:tcPr>
            <w:tcW w:type="dxa" w:w="4680"/>
            <w:tcMar>
              <w:top w:type="dxa" w:w="40"/>
              <w:left w:type="dxa" w:w="70"/>
              <w:bottom w:type="dxa" w:w="40"/>
              <w:right w:type="dxa" w:w="70"/>
            </w:tcMar>
          </w:tcPr>
          <w:p>
            <w:pPr>
              <w:jc w:val="left"/>
            </w:pPr>
            <w:r>
              <w:rPr>
                <w:b/>
                <w:bCs/>
                <w:sz w:val="18"/>
                <w:szCs w:val="18"/>
              </w:rPr>
              <w:t xml:space="preserve">Subthreshold Leakage</w:t>
            </w:r>
          </w:p>
        </w:tc>
        <w:tc>
          <w:tcPr>
            <w:tcW w:type="dxa" w:w="4680"/>
            <w:tcMar>
              <w:top w:type="dxa" w:w="40"/>
              <w:left w:type="dxa" w:w="70"/>
              <w:bottom w:type="dxa" w:w="40"/>
              <w:right w:type="dxa" w:w="70"/>
            </w:tcMar>
          </w:tcPr>
          <w:p>
            <w:pPr>
              <w:jc w:val="center"/>
            </w:pPr>
            <w:r>
              <w:rPr>
                <w:b w:val="false"/>
                <w:bCs w:val="false"/>
                <w:sz w:val="18"/>
                <w:szCs w:val="18"/>
              </w:rPr>
              <w:t xml:space="preserve">0.00123784 W</w:t>
            </w:r>
          </w:p>
        </w:tc>
      </w:tr>
      <w:tr>
        <w:tc>
          <w:tcPr>
            <w:tcW w:type="dxa" w:w="4680"/>
            <w:shd w:fill="F2F2F2" w:val="clear"/>
            <w:tcMar>
              <w:top w:type="dxa" w:w="40"/>
              <w:left w:type="dxa" w:w="70"/>
              <w:bottom w:type="dxa" w:w="40"/>
              <w:right w:type="dxa" w:w="70"/>
            </w:tcMar>
          </w:tcPr>
          <w:p>
            <w:pPr>
              <w:jc w:val="left"/>
            </w:pPr>
            <w:r>
              <w:rPr>
                <w:b/>
                <w:bCs/>
                <w:sz w:val="18"/>
                <w:szCs w:val="18"/>
              </w:rPr>
              <w:t xml:space="preserve">Gate Leakage</w:t>
            </w:r>
          </w:p>
        </w:tc>
        <w:tc>
          <w:tcPr>
            <w:tcW w:type="dxa" w:w="4680"/>
            <w:shd w:fill="F2F2F2" w:val="clear"/>
            <w:tcMar>
              <w:top w:type="dxa" w:w="40"/>
              <w:left w:type="dxa" w:w="70"/>
              <w:bottom w:type="dxa" w:w="40"/>
              <w:right w:type="dxa" w:w="70"/>
            </w:tcMar>
          </w:tcPr>
          <w:p>
            <w:pPr>
              <w:jc w:val="center"/>
            </w:pPr>
            <w:r>
              <w:rPr>
                <w:b w:val="false"/>
                <w:bCs w:val="false"/>
                <w:sz w:val="18"/>
                <w:szCs w:val="18"/>
              </w:rPr>
              <w:t xml:space="preserve">0.000328242 W</w:t>
            </w:r>
          </w:p>
        </w:tc>
      </w:tr>
      <w:tr>
        <w:tc>
          <w:tcPr>
            <w:tcW w:type="dxa" w:w="4680"/>
            <w:tcMar>
              <w:top w:type="dxa" w:w="40"/>
              <w:left w:type="dxa" w:w="70"/>
              <w:bottom w:type="dxa" w:w="40"/>
              <w:right w:type="dxa" w:w="70"/>
            </w:tcMar>
          </w:tcPr>
          <w:p>
            <w:pPr>
              <w:jc w:val="left"/>
            </w:pPr>
            <w:r>
              <w:rPr>
                <w:b/>
                <w:bCs/>
                <w:sz w:val="18"/>
                <w:szCs w:val="18"/>
              </w:rPr>
              <w:t xml:space="preserve">Total Leakage</w:t>
            </w:r>
          </w:p>
        </w:tc>
        <w:tc>
          <w:tcPr>
            <w:tcW w:type="dxa" w:w="4680"/>
            <w:tcMar>
              <w:top w:type="dxa" w:w="40"/>
              <w:left w:type="dxa" w:w="70"/>
              <w:bottom w:type="dxa" w:w="40"/>
              <w:right w:type="dxa" w:w="70"/>
            </w:tcMar>
          </w:tcPr>
          <w:p>
            <w:pPr>
              <w:jc w:val="center"/>
            </w:pPr>
            <w:r>
              <w:rPr>
                <w:b w:val="false"/>
                <w:bCs w:val="false"/>
                <w:sz w:val="18"/>
                <w:szCs w:val="18"/>
              </w:rPr>
              <w:t xml:space="preserve">0.00156608 W</w:t>
            </w:r>
          </w:p>
        </w:tc>
      </w:tr>
    </w:tbl>
    <w:p>
      <w:pPr>
        <w:pStyle w:val="Heading1"/>
        <w:spacing w:after="110" w:before="220"/>
      </w:pPr>
      <w:r>
        <w:t xml:space="preserve">4. Complete results — both architectures</w:t>
      </w:r>
    </w:p>
    <w:p>
      <w:pPr>
        <w:spacing w:after="120"/>
      </w:pPr>
      <w:r>
        <w:t xml:space="preserve">The table below is the full result set. Runtime Dynamic power and everything derived from execution (time, cycles, energy) differ between builds; the structural totals above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shd w:fill="2F5496" w:val="clear"/>
            <w:tcMar>
              <w:top w:type="dxa" w:w="40"/>
              <w:left w:type="dxa" w:w="70"/>
              <w:bottom w:type="dxa" w:w="40"/>
              <w:right w:type="dxa" w:w="70"/>
            </w:tcMar>
          </w:tcPr>
          <w:p>
            <w:pPr>
              <w:jc w:val="left"/>
            </w:pPr>
            <w:r>
              <w:rPr>
                <w:b/>
                <w:bCs/>
                <w:color w:val="FFFFFF"/>
                <w:sz w:val="18"/>
                <w:szCs w:val="18"/>
              </w:rPr>
              <w:t xml:space="preserve">Metric</w:t>
            </w:r>
          </w:p>
        </w:tc>
        <w:tc>
          <w:tcPr>
            <w:tcW w:type="dxa" w:w="1650"/>
            <w:shd w:fill="2F5496" w:val="clear"/>
            <w:tcMar>
              <w:top w:type="dxa" w:w="40"/>
              <w:left w:type="dxa" w:w="70"/>
              <w:bottom w:type="dxa" w:w="40"/>
              <w:right w:type="dxa" w:w="70"/>
            </w:tcMar>
          </w:tcPr>
          <w:p>
            <w:pPr>
              <w:jc w:val="center"/>
            </w:pPr>
            <w:r>
              <w:rPr>
                <w:b/>
                <w:bCs/>
                <w:color w:val="FFFFFF"/>
                <w:sz w:val="18"/>
                <w:szCs w:val="18"/>
              </w:rPr>
              <w:t xml:space="preserve">d64 · RVV</w:t>
            </w:r>
          </w:p>
        </w:tc>
        <w:tc>
          <w:tcPr>
            <w:tcW w:type="dxa" w:w="1650"/>
            <w:shd w:fill="2F5496" w:val="clear"/>
            <w:tcMar>
              <w:top w:type="dxa" w:w="40"/>
              <w:left w:type="dxa" w:w="70"/>
              <w:bottom w:type="dxa" w:w="40"/>
              <w:right w:type="dxa" w:w="70"/>
            </w:tcMar>
          </w:tcPr>
          <w:p>
            <w:pPr>
              <w:jc w:val="center"/>
            </w:pPr>
            <w:r>
              <w:rPr>
                <w:b/>
                <w:bCs/>
                <w:color w:val="FFFFFF"/>
                <w:sz w:val="18"/>
                <w:szCs w:val="18"/>
              </w:rPr>
              <w:t xml:space="preserve">d64 · Scalar</w:t>
            </w:r>
          </w:p>
        </w:tc>
        <w:tc>
          <w:tcPr>
            <w:tcW w:type="dxa" w:w="1650"/>
            <w:shd w:fill="2F5496" w:val="clear"/>
            <w:tcMar>
              <w:top w:type="dxa" w:w="40"/>
              <w:left w:type="dxa" w:w="70"/>
              <w:bottom w:type="dxa" w:w="40"/>
              <w:right w:type="dxa" w:w="70"/>
            </w:tcMar>
          </w:tcPr>
          <w:p>
            <w:pPr>
              <w:jc w:val="center"/>
            </w:pPr>
            <w:r>
              <w:rPr>
                <w:b/>
                <w:bCs/>
                <w:color w:val="FFFFFF"/>
                <w:sz w:val="18"/>
                <w:szCs w:val="18"/>
              </w:rPr>
              <w:t xml:space="preserve">d108 · RVV</w:t>
            </w:r>
          </w:p>
        </w:tc>
        <w:tc>
          <w:tcPr>
            <w:tcW w:type="dxa" w:w="1650"/>
            <w:shd w:fill="2F5496" w:val="clear"/>
            <w:tcMar>
              <w:top w:type="dxa" w:w="40"/>
              <w:left w:type="dxa" w:w="70"/>
              <w:bottom w:type="dxa" w:w="40"/>
              <w:right w:type="dxa" w:w="70"/>
            </w:tcMar>
          </w:tcPr>
          <w:p>
            <w:pPr>
              <w:jc w:val="center"/>
            </w:pPr>
            <w:r>
              <w:rPr>
                <w:b/>
                <w:bCs/>
                <w:color w:val="FFFFFF"/>
                <w:sz w:val="18"/>
                <w:szCs w:val="18"/>
              </w:rPr>
              <w:t xml:space="preserve">d108 · Scalar</w:t>
            </w:r>
          </w:p>
        </w:tc>
      </w:tr>
      <w:tr>
        <w:tc>
          <w:tcPr>
            <w:tcW w:type="dxa" w:w="2760"/>
            <w:tcMar>
              <w:top w:type="dxa" w:w="40"/>
              <w:left w:type="dxa" w:w="70"/>
              <w:bottom w:type="dxa" w:w="40"/>
              <w:right w:type="dxa" w:w="70"/>
            </w:tcMar>
          </w:tcPr>
          <w:p>
            <w:pPr>
              <w:jc w:val="left"/>
            </w:pPr>
            <w:r>
              <w:rPr>
                <w:b/>
                <w:bCs/>
                <w:sz w:val="18"/>
                <w:szCs w:val="18"/>
              </w:rPr>
              <w:t xml:space="preserve">QEMU instret (-O2, 1 pass)</w:t>
            </w:r>
          </w:p>
        </w:tc>
        <w:tc>
          <w:tcPr>
            <w:tcW w:type="dxa" w:w="1650"/>
            <w:tcMar>
              <w:top w:type="dxa" w:w="40"/>
              <w:left w:type="dxa" w:w="70"/>
              <w:bottom w:type="dxa" w:w="40"/>
              <w:right w:type="dxa" w:w="70"/>
            </w:tcMar>
          </w:tcPr>
          <w:p>
            <w:pPr>
              <w:jc w:val="center"/>
            </w:pPr>
            <w:r>
              <w:rPr>
                <w:b w:val="false"/>
                <w:bCs w:val="false"/>
                <w:sz w:val="18"/>
                <w:szCs w:val="18"/>
              </w:rPr>
              <w:t xml:space="preserve">2,211,287,185</w:t>
            </w:r>
          </w:p>
        </w:tc>
        <w:tc>
          <w:tcPr>
            <w:tcW w:type="dxa" w:w="1650"/>
            <w:tcMar>
              <w:top w:type="dxa" w:w="40"/>
              <w:left w:type="dxa" w:w="70"/>
              <w:bottom w:type="dxa" w:w="40"/>
              <w:right w:type="dxa" w:w="70"/>
            </w:tcMar>
          </w:tcPr>
          <w:p>
            <w:pPr>
              <w:jc w:val="center"/>
            </w:pPr>
            <w:r>
              <w:rPr>
                <w:b w:val="false"/>
                <w:bCs w:val="false"/>
                <w:sz w:val="18"/>
                <w:szCs w:val="18"/>
              </w:rPr>
              <w:t xml:space="preserve">4,606,445,278</w:t>
            </w:r>
          </w:p>
        </w:tc>
        <w:tc>
          <w:tcPr>
            <w:tcW w:type="dxa" w:w="1650"/>
            <w:tcMar>
              <w:top w:type="dxa" w:w="40"/>
              <w:left w:type="dxa" w:w="70"/>
              <w:bottom w:type="dxa" w:w="40"/>
              <w:right w:type="dxa" w:w="70"/>
            </w:tcMar>
          </w:tcPr>
          <w:p>
            <w:pPr>
              <w:jc w:val="center"/>
            </w:pPr>
            <w:r>
              <w:rPr>
                <w:b w:val="false"/>
                <w:bCs w:val="false"/>
                <w:sz w:val="18"/>
                <w:szCs w:val="18"/>
              </w:rPr>
              <w:t xml:space="preserve">663,704,282</w:t>
            </w:r>
          </w:p>
        </w:tc>
        <w:tc>
          <w:tcPr>
            <w:tcW w:type="dxa" w:w="1650"/>
            <w:tcMar>
              <w:top w:type="dxa" w:w="40"/>
              <w:left w:type="dxa" w:w="70"/>
              <w:bottom w:type="dxa" w:w="40"/>
              <w:right w:type="dxa" w:w="70"/>
            </w:tcMar>
          </w:tcPr>
          <w:p>
            <w:pPr>
              <w:jc w:val="center"/>
            </w:pPr>
            <w:r>
              <w:rPr>
                <w:b w:val="false"/>
                <w:bCs w:val="false"/>
                <w:sz w:val="18"/>
                <w:szCs w:val="18"/>
              </w:rPr>
              <w:t xml:space="preserve">1,020,395,866</w:t>
            </w:r>
          </w:p>
        </w:tc>
      </w:tr>
      <w:tr>
        <w:tc>
          <w:tcPr>
            <w:tcW w:type="dxa" w:w="2760"/>
            <w:shd w:fill="F2F2F2" w:val="clear"/>
            <w:tcMar>
              <w:top w:type="dxa" w:w="40"/>
              <w:left w:type="dxa" w:w="70"/>
              <w:bottom w:type="dxa" w:w="40"/>
              <w:right w:type="dxa" w:w="70"/>
            </w:tcMar>
          </w:tcPr>
          <w:p>
            <w:pPr>
              <w:jc w:val="left"/>
            </w:pPr>
            <w:r>
              <w:rPr>
                <w:b/>
                <w:bCs/>
                <w:sz w:val="18"/>
                <w:szCs w:val="18"/>
              </w:rPr>
              <w:t xml:space="preserve">gem5 committed instructions</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33,082,055</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152,657,262</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19,948,328</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33,051,024</w:t>
            </w:r>
          </w:p>
        </w:tc>
      </w:tr>
      <w:tr>
        <w:tc>
          <w:tcPr>
            <w:tcW w:type="dxa" w:w="2760"/>
            <w:tcMar>
              <w:top w:type="dxa" w:w="40"/>
              <w:left w:type="dxa" w:w="70"/>
              <w:bottom w:type="dxa" w:w="40"/>
              <w:right w:type="dxa" w:w="70"/>
            </w:tcMar>
          </w:tcPr>
          <w:p>
            <w:pPr>
              <w:jc w:val="left"/>
            </w:pPr>
            <w:r>
              <w:rPr>
                <w:b/>
                <w:bCs/>
                <w:sz w:val="18"/>
                <w:szCs w:val="18"/>
              </w:rPr>
              <w:t xml:space="preserve">gem5 cycles (@100 MHz)</w:t>
            </w:r>
          </w:p>
        </w:tc>
        <w:tc>
          <w:tcPr>
            <w:tcW w:type="dxa" w:w="1650"/>
            <w:tcMar>
              <w:top w:type="dxa" w:w="40"/>
              <w:left w:type="dxa" w:w="70"/>
              <w:bottom w:type="dxa" w:w="40"/>
              <w:right w:type="dxa" w:w="70"/>
            </w:tcMar>
          </w:tcPr>
          <w:p>
            <w:pPr>
              <w:jc w:val="center"/>
            </w:pPr>
            <w:r>
              <w:rPr>
                <w:b w:val="false"/>
                <w:bCs w:val="false"/>
                <w:sz w:val="18"/>
                <w:szCs w:val="18"/>
              </w:rPr>
              <w:t xml:space="preserve">38,265,894</w:t>
            </w:r>
          </w:p>
        </w:tc>
        <w:tc>
          <w:tcPr>
            <w:tcW w:type="dxa" w:w="1650"/>
            <w:tcMar>
              <w:top w:type="dxa" w:w="40"/>
              <w:left w:type="dxa" w:w="70"/>
              <w:bottom w:type="dxa" w:w="40"/>
              <w:right w:type="dxa" w:w="70"/>
            </w:tcMar>
          </w:tcPr>
          <w:p>
            <w:pPr>
              <w:jc w:val="center"/>
            </w:pPr>
            <w:r>
              <w:rPr>
                <w:b w:val="false"/>
                <w:bCs w:val="false"/>
                <w:sz w:val="18"/>
                <w:szCs w:val="18"/>
              </w:rPr>
              <w:t xml:space="preserve">249,814,105</w:t>
            </w:r>
          </w:p>
        </w:tc>
        <w:tc>
          <w:tcPr>
            <w:tcW w:type="dxa" w:w="1650"/>
            <w:tcMar>
              <w:top w:type="dxa" w:w="40"/>
              <w:left w:type="dxa" w:w="70"/>
              <w:bottom w:type="dxa" w:w="40"/>
              <w:right w:type="dxa" w:w="70"/>
            </w:tcMar>
          </w:tcPr>
          <w:p>
            <w:pPr>
              <w:jc w:val="center"/>
            </w:pPr>
            <w:r>
              <w:rPr>
                <w:b w:val="false"/>
                <w:bCs w:val="false"/>
                <w:sz w:val="18"/>
                <w:szCs w:val="18"/>
              </w:rPr>
              <w:t xml:space="preserve">28,647,074</w:t>
            </w:r>
          </w:p>
        </w:tc>
        <w:tc>
          <w:tcPr>
            <w:tcW w:type="dxa" w:w="1650"/>
            <w:tcMar>
              <w:top w:type="dxa" w:w="40"/>
              <w:left w:type="dxa" w:w="70"/>
              <w:bottom w:type="dxa" w:w="40"/>
              <w:right w:type="dxa" w:w="70"/>
            </w:tcMar>
          </w:tcPr>
          <w:p>
            <w:pPr>
              <w:jc w:val="center"/>
            </w:pPr>
            <w:r>
              <w:rPr>
                <w:b w:val="false"/>
                <w:bCs w:val="false"/>
                <w:sz w:val="18"/>
                <w:szCs w:val="18"/>
              </w:rPr>
              <w:t xml:space="preserve">53,188,945</w:t>
            </w:r>
          </w:p>
        </w:tc>
      </w:tr>
      <w:tr>
        <w:tc>
          <w:tcPr>
            <w:tcW w:type="dxa" w:w="2760"/>
            <w:shd w:fill="F2F2F2" w:val="clear"/>
            <w:tcMar>
              <w:top w:type="dxa" w:w="40"/>
              <w:left w:type="dxa" w:w="70"/>
              <w:bottom w:type="dxa" w:w="40"/>
              <w:right w:type="dxa" w:w="70"/>
            </w:tcMar>
          </w:tcPr>
          <w:p>
            <w:pPr>
              <w:jc w:val="left"/>
            </w:pPr>
            <w:r>
              <w:rPr>
                <w:b/>
                <w:bCs/>
                <w:sz w:val="18"/>
                <w:szCs w:val="18"/>
              </w:rPr>
              <w:t xml:space="preserve">Execution time (sim s)</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0.382659</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2.498141</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0.286471</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0.531889</w:t>
            </w:r>
          </w:p>
        </w:tc>
      </w:tr>
      <w:tr>
        <w:tc>
          <w:tcPr>
            <w:tcW w:type="dxa" w:w="2760"/>
            <w:tcMar>
              <w:top w:type="dxa" w:w="40"/>
              <w:left w:type="dxa" w:w="70"/>
              <w:bottom w:type="dxa" w:w="40"/>
              <w:right w:type="dxa" w:w="70"/>
            </w:tcMar>
          </w:tcPr>
          <w:p>
            <w:pPr>
              <w:jc w:val="left"/>
            </w:pPr>
            <w:r>
              <w:rPr>
                <w:b/>
                <w:bCs/>
                <w:sz w:val="18"/>
                <w:szCs w:val="18"/>
              </w:rPr>
              <w:t xml:space="preserve">IPC (instr / cycle)</w:t>
            </w:r>
          </w:p>
        </w:tc>
        <w:tc>
          <w:tcPr>
            <w:tcW w:type="dxa" w:w="1650"/>
            <w:tcMar>
              <w:top w:type="dxa" w:w="40"/>
              <w:left w:type="dxa" w:w="70"/>
              <w:bottom w:type="dxa" w:w="40"/>
              <w:right w:type="dxa" w:w="70"/>
            </w:tcMar>
          </w:tcPr>
          <w:p>
            <w:pPr>
              <w:jc w:val="center"/>
            </w:pPr>
            <w:r>
              <w:rPr>
                <w:b w:val="false"/>
                <w:bCs w:val="false"/>
                <w:sz w:val="18"/>
                <w:szCs w:val="18"/>
              </w:rPr>
              <w:t xml:space="preserve">0.865</w:t>
            </w:r>
          </w:p>
        </w:tc>
        <w:tc>
          <w:tcPr>
            <w:tcW w:type="dxa" w:w="1650"/>
            <w:tcMar>
              <w:top w:type="dxa" w:w="40"/>
              <w:left w:type="dxa" w:w="70"/>
              <w:bottom w:type="dxa" w:w="40"/>
              <w:right w:type="dxa" w:w="70"/>
            </w:tcMar>
          </w:tcPr>
          <w:p>
            <w:pPr>
              <w:jc w:val="center"/>
            </w:pPr>
            <w:r>
              <w:rPr>
                <w:b w:val="false"/>
                <w:bCs w:val="false"/>
                <w:sz w:val="18"/>
                <w:szCs w:val="18"/>
              </w:rPr>
              <w:t xml:space="preserve">0.611</w:t>
            </w:r>
          </w:p>
        </w:tc>
        <w:tc>
          <w:tcPr>
            <w:tcW w:type="dxa" w:w="1650"/>
            <w:tcMar>
              <w:top w:type="dxa" w:w="40"/>
              <w:left w:type="dxa" w:w="70"/>
              <w:bottom w:type="dxa" w:w="40"/>
              <w:right w:type="dxa" w:w="70"/>
            </w:tcMar>
          </w:tcPr>
          <w:p>
            <w:pPr>
              <w:jc w:val="center"/>
            </w:pPr>
            <w:r>
              <w:rPr>
                <w:b w:val="false"/>
                <w:bCs w:val="false"/>
                <w:sz w:val="18"/>
                <w:szCs w:val="18"/>
              </w:rPr>
              <w:t xml:space="preserve">0.696</w:t>
            </w:r>
          </w:p>
        </w:tc>
        <w:tc>
          <w:tcPr>
            <w:tcW w:type="dxa" w:w="1650"/>
            <w:tcMar>
              <w:top w:type="dxa" w:w="40"/>
              <w:left w:type="dxa" w:w="70"/>
              <w:bottom w:type="dxa" w:w="40"/>
              <w:right w:type="dxa" w:w="70"/>
            </w:tcMar>
          </w:tcPr>
          <w:p>
            <w:pPr>
              <w:jc w:val="center"/>
            </w:pPr>
            <w:r>
              <w:rPr>
                <w:b w:val="false"/>
                <w:bCs w:val="false"/>
                <w:sz w:val="18"/>
                <w:szCs w:val="18"/>
              </w:rPr>
              <w:t xml:space="preserve">0.621</w:t>
            </w:r>
          </w:p>
        </w:tc>
      </w:tr>
      <w:tr>
        <w:tc>
          <w:tcPr>
            <w:tcW w:type="dxa" w:w="2760"/>
            <w:shd w:fill="F2F2F2" w:val="clear"/>
            <w:tcMar>
              <w:top w:type="dxa" w:w="40"/>
              <w:left w:type="dxa" w:w="70"/>
              <w:bottom w:type="dxa" w:w="40"/>
              <w:right w:type="dxa" w:w="70"/>
            </w:tcMar>
          </w:tcPr>
          <w:p>
            <w:pPr>
              <w:jc w:val="left"/>
            </w:pPr>
            <w:r>
              <w:rPr>
                <w:b/>
                <w:bCs/>
                <w:sz w:val="18"/>
                <w:szCs w:val="18"/>
              </w:rPr>
              <w:t xml:space="preserve">Runtime Dynamic power (W)</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0.010952</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0.008756</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0.009934</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0.008931</w:t>
            </w:r>
          </w:p>
        </w:tc>
      </w:tr>
      <w:tr>
        <w:tc>
          <w:tcPr>
            <w:tcW w:type="dxa" w:w="2760"/>
            <w:tcMar>
              <w:top w:type="dxa" w:w="40"/>
              <w:left w:type="dxa" w:w="70"/>
              <w:bottom w:type="dxa" w:w="40"/>
              <w:right w:type="dxa" w:w="70"/>
            </w:tcMar>
          </w:tcPr>
          <w:p>
            <w:pPr>
              <w:jc w:val="left"/>
            </w:pPr>
            <w:r>
              <w:rPr>
                <w:b/>
                <w:bCs/>
                <w:sz w:val="18"/>
                <w:szCs w:val="18"/>
              </w:rPr>
              <w:t xml:space="preserve">  Execution Unit (W)</w:t>
            </w:r>
          </w:p>
        </w:tc>
        <w:tc>
          <w:tcPr>
            <w:tcW w:type="dxa" w:w="1650"/>
            <w:tcMar>
              <w:top w:type="dxa" w:w="40"/>
              <w:left w:type="dxa" w:w="70"/>
              <w:bottom w:type="dxa" w:w="40"/>
              <w:right w:type="dxa" w:w="70"/>
            </w:tcMar>
          </w:tcPr>
          <w:p>
            <w:pPr>
              <w:jc w:val="center"/>
            </w:pPr>
            <w:r>
              <w:rPr>
                <w:b w:val="false"/>
                <w:bCs w:val="false"/>
                <w:sz w:val="18"/>
                <w:szCs w:val="18"/>
              </w:rPr>
              <w:t xml:space="preserve">0.007720</w:t>
            </w:r>
          </w:p>
        </w:tc>
        <w:tc>
          <w:tcPr>
            <w:tcW w:type="dxa" w:w="1650"/>
            <w:tcMar>
              <w:top w:type="dxa" w:w="40"/>
              <w:left w:type="dxa" w:w="70"/>
              <w:bottom w:type="dxa" w:w="40"/>
              <w:right w:type="dxa" w:w="70"/>
            </w:tcMar>
          </w:tcPr>
          <w:p>
            <w:pPr>
              <w:jc w:val="center"/>
            </w:pPr>
            <w:r>
              <w:rPr>
                <w:b w:val="false"/>
                <w:bCs w:val="false"/>
                <w:sz w:val="18"/>
                <w:szCs w:val="18"/>
              </w:rPr>
              <w:t xml:space="preserve">0.005617</w:t>
            </w:r>
          </w:p>
        </w:tc>
        <w:tc>
          <w:tcPr>
            <w:tcW w:type="dxa" w:w="1650"/>
            <w:tcMar>
              <w:top w:type="dxa" w:w="40"/>
              <w:left w:type="dxa" w:w="70"/>
              <w:bottom w:type="dxa" w:w="40"/>
              <w:right w:type="dxa" w:w="70"/>
            </w:tcMar>
          </w:tcPr>
          <w:p>
            <w:pPr>
              <w:jc w:val="center"/>
            </w:pPr>
            <w:r>
              <w:rPr>
                <w:b w:val="false"/>
                <w:bCs w:val="false"/>
                <w:sz w:val="18"/>
                <w:szCs w:val="18"/>
              </w:rPr>
              <w:t xml:space="preserve">0.006325</w:t>
            </w:r>
          </w:p>
        </w:tc>
        <w:tc>
          <w:tcPr>
            <w:tcW w:type="dxa" w:w="1650"/>
            <w:tcMar>
              <w:top w:type="dxa" w:w="40"/>
              <w:left w:type="dxa" w:w="70"/>
              <w:bottom w:type="dxa" w:w="40"/>
              <w:right w:type="dxa" w:w="70"/>
            </w:tcMar>
          </w:tcPr>
          <w:p>
            <w:pPr>
              <w:jc w:val="center"/>
            </w:pPr>
            <w:r>
              <w:rPr>
                <w:b w:val="false"/>
                <w:bCs w:val="false"/>
                <w:sz w:val="18"/>
                <w:szCs w:val="18"/>
              </w:rPr>
              <w:t xml:space="preserve">0.005703</w:t>
            </w:r>
          </w:p>
        </w:tc>
      </w:tr>
      <w:tr>
        <w:tc>
          <w:tcPr>
            <w:tcW w:type="dxa" w:w="2760"/>
            <w:shd w:fill="F2F2F2" w:val="clear"/>
            <w:tcMar>
              <w:top w:type="dxa" w:w="40"/>
              <w:left w:type="dxa" w:w="70"/>
              <w:bottom w:type="dxa" w:w="40"/>
              <w:right w:type="dxa" w:w="70"/>
            </w:tcMar>
          </w:tcPr>
          <w:p>
            <w:pPr>
              <w:jc w:val="left"/>
            </w:pPr>
            <w:r>
              <w:rPr>
                <w:b/>
                <w:bCs/>
                <w:sz w:val="18"/>
                <w:szCs w:val="18"/>
              </w:rPr>
              <w:t xml:space="preserve">    Floating-Point Units (W)</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0.004678</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0.003307</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0.003768</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0.003363</w:t>
            </w:r>
          </w:p>
        </w:tc>
      </w:tr>
      <w:tr>
        <w:tc>
          <w:tcPr>
            <w:tcW w:type="dxa" w:w="2760"/>
            <w:tcMar>
              <w:top w:type="dxa" w:w="40"/>
              <w:left w:type="dxa" w:w="70"/>
              <w:bottom w:type="dxa" w:w="40"/>
              <w:right w:type="dxa" w:w="70"/>
            </w:tcMar>
          </w:tcPr>
          <w:p>
            <w:pPr>
              <w:jc w:val="left"/>
            </w:pPr>
            <w:r>
              <w:rPr>
                <w:b/>
                <w:bCs/>
                <w:sz w:val="18"/>
                <w:szCs w:val="18"/>
              </w:rPr>
              <w:t xml:space="preserve">    Integer ALUs (W)</w:t>
            </w:r>
          </w:p>
        </w:tc>
        <w:tc>
          <w:tcPr>
            <w:tcW w:type="dxa" w:w="1650"/>
            <w:tcMar>
              <w:top w:type="dxa" w:w="40"/>
              <w:left w:type="dxa" w:w="70"/>
              <w:bottom w:type="dxa" w:w="40"/>
              <w:right w:type="dxa" w:w="70"/>
            </w:tcMar>
          </w:tcPr>
          <w:p>
            <w:pPr>
              <w:jc w:val="center"/>
            </w:pPr>
            <w:r>
              <w:rPr>
                <w:b w:val="false"/>
                <w:bCs w:val="false"/>
                <w:sz w:val="18"/>
                <w:szCs w:val="18"/>
              </w:rPr>
              <w:t xml:space="preserve">0.001040</w:t>
            </w:r>
          </w:p>
        </w:tc>
        <w:tc>
          <w:tcPr>
            <w:tcW w:type="dxa" w:w="1650"/>
            <w:tcMar>
              <w:top w:type="dxa" w:w="40"/>
              <w:left w:type="dxa" w:w="70"/>
              <w:bottom w:type="dxa" w:w="40"/>
              <w:right w:type="dxa" w:w="70"/>
            </w:tcMar>
          </w:tcPr>
          <w:p>
            <w:pPr>
              <w:jc w:val="center"/>
            </w:pPr>
            <w:r>
              <w:rPr>
                <w:b w:val="false"/>
                <w:bCs w:val="false"/>
                <w:sz w:val="18"/>
                <w:szCs w:val="18"/>
              </w:rPr>
              <w:t xml:space="preserve">0.000735</w:t>
            </w:r>
          </w:p>
        </w:tc>
        <w:tc>
          <w:tcPr>
            <w:tcW w:type="dxa" w:w="1650"/>
            <w:tcMar>
              <w:top w:type="dxa" w:w="40"/>
              <w:left w:type="dxa" w:w="70"/>
              <w:bottom w:type="dxa" w:w="40"/>
              <w:right w:type="dxa" w:w="70"/>
            </w:tcMar>
          </w:tcPr>
          <w:p>
            <w:pPr>
              <w:jc w:val="center"/>
            </w:pPr>
            <w:r>
              <w:rPr>
                <w:b w:val="false"/>
                <w:bCs w:val="false"/>
                <w:sz w:val="18"/>
                <w:szCs w:val="18"/>
              </w:rPr>
              <w:t xml:space="preserve">0.000837</w:t>
            </w:r>
          </w:p>
        </w:tc>
        <w:tc>
          <w:tcPr>
            <w:tcW w:type="dxa" w:w="1650"/>
            <w:tcMar>
              <w:top w:type="dxa" w:w="40"/>
              <w:left w:type="dxa" w:w="70"/>
              <w:bottom w:type="dxa" w:w="40"/>
              <w:right w:type="dxa" w:w="70"/>
            </w:tcMar>
          </w:tcPr>
          <w:p>
            <w:pPr>
              <w:jc w:val="center"/>
            </w:pPr>
            <w:r>
              <w:rPr>
                <w:b w:val="false"/>
                <w:bCs w:val="false"/>
                <w:sz w:val="18"/>
                <w:szCs w:val="18"/>
              </w:rPr>
              <w:t xml:space="preserve">0.000747</w:t>
            </w:r>
          </w:p>
        </w:tc>
      </w:tr>
      <w:tr>
        <w:tc>
          <w:tcPr>
            <w:tcW w:type="dxa" w:w="2760"/>
            <w:shd w:fill="F2F2F2" w:val="clear"/>
            <w:tcMar>
              <w:top w:type="dxa" w:w="40"/>
              <w:left w:type="dxa" w:w="70"/>
              <w:bottom w:type="dxa" w:w="40"/>
              <w:right w:type="dxa" w:w="70"/>
            </w:tcMar>
          </w:tcPr>
          <w:p>
            <w:pPr>
              <w:jc w:val="left"/>
            </w:pPr>
            <w:r>
              <w:rPr>
                <w:b/>
                <w:bCs/>
                <w:sz w:val="18"/>
                <w:szCs w:val="18"/>
              </w:rPr>
              <w:t xml:space="preserve">Energy per inference (mJ)</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4.19</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21.87</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2.85</w:t>
            </w:r>
          </w:p>
        </w:tc>
        <w:tc>
          <w:tcPr>
            <w:tcW w:type="dxa" w:w="1650"/>
            <w:shd w:fill="F2F2F2" w:val="clear"/>
            <w:tcMar>
              <w:top w:type="dxa" w:w="40"/>
              <w:left w:type="dxa" w:w="70"/>
              <w:bottom w:type="dxa" w:w="40"/>
              <w:right w:type="dxa" w:w="70"/>
            </w:tcMar>
          </w:tcPr>
          <w:p>
            <w:pPr>
              <w:jc w:val="center"/>
            </w:pPr>
            <w:r>
              <w:rPr>
                <w:b w:val="false"/>
                <w:bCs w:val="false"/>
                <w:sz w:val="18"/>
                <w:szCs w:val="18"/>
              </w:rPr>
              <w:t xml:space="preserve">4.75</w:t>
            </w:r>
          </w:p>
        </w:tc>
      </w:tr>
    </w:tbl>
    <w:p>
      <w:pPr>
        <w:spacing w:after="60"/>
      </w:pPr>
      <w:r>
        <w:rPr>
          <w:i/>
          <w:iCs/>
          <w:sz w:val="18"/>
          <w:szCs w:val="18"/>
        </w:rPr>
        <w:t xml:space="preserve">Energy per inference = Runtime Dynamic power × execution time</w:t>
      </w:r>
      <w:r>
        <w:rPr>
          <w:i/>
          <w:iCs/>
          <w:sz w:val="18"/>
          <w:szCs w:val="18"/>
        </w:rPr>
        <w:t xml:space="preserve">, each build paired with its own time.</w:t>
      </w:r>
    </w:p>
    <w:p>
      <w:pPr>
        <w:pStyle w:val="Heading1"/>
        <w:spacing w:after="110" w:before="220"/>
      </w:pPr>
      <w:r>
        <w:t xml:space="preserve">5. RVV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00"/>
        <w:gridCol w:w="2000"/>
        <w:gridCol w:w="1500"/>
        <w:gridCol w:w="2400"/>
      </w:tblGrid>
      <w:tr>
        <w:trPr>
          <w:tblHeader/>
        </w:trPr>
        <w:tc>
          <w:tcPr>
            <w:tcW w:type="dxa" w:w="1560"/>
            <w:shd w:fill="2F5496" w:val="clear"/>
            <w:tcMar>
              <w:top w:type="dxa" w:w="40"/>
              <w:left w:type="dxa" w:w="70"/>
              <w:bottom w:type="dxa" w:w="40"/>
              <w:right w:type="dxa" w:w="70"/>
            </w:tcMar>
          </w:tcPr>
          <w:p>
            <w:pPr>
              <w:jc w:val="left"/>
            </w:pPr>
            <w:r>
              <w:rPr>
                <w:b/>
                <w:bCs/>
                <w:color w:val="FFFFFF"/>
                <w:sz w:val="18"/>
                <w:szCs w:val="18"/>
              </w:rPr>
              <w:t xml:space="preserve">Architecture</w:t>
            </w:r>
          </w:p>
        </w:tc>
        <w:tc>
          <w:tcPr>
            <w:tcW w:type="dxa" w:w="1900"/>
            <w:shd w:fill="2F5496" w:val="clear"/>
            <w:tcMar>
              <w:top w:type="dxa" w:w="40"/>
              <w:left w:type="dxa" w:w="70"/>
              <w:bottom w:type="dxa" w:w="40"/>
              <w:right w:type="dxa" w:w="70"/>
            </w:tcMar>
          </w:tcPr>
          <w:p>
            <w:pPr>
              <w:jc w:val="center"/>
            </w:pPr>
            <w:r>
              <w:rPr>
                <w:b/>
                <w:bCs/>
                <w:color w:val="FFFFFF"/>
                <w:sz w:val="18"/>
                <w:szCs w:val="18"/>
              </w:rPr>
              <w:t xml:space="preserve">Faster (time)</w:t>
            </w:r>
          </w:p>
        </w:tc>
        <w:tc>
          <w:tcPr>
            <w:tcW w:type="dxa" w:w="2000"/>
            <w:shd w:fill="2F5496" w:val="clear"/>
            <w:tcMar>
              <w:top w:type="dxa" w:w="40"/>
              <w:left w:type="dxa" w:w="70"/>
              <w:bottom w:type="dxa" w:w="40"/>
              <w:right w:type="dxa" w:w="70"/>
            </w:tcMar>
          </w:tcPr>
          <w:p>
            <w:pPr>
              <w:jc w:val="center"/>
            </w:pPr>
            <w:r>
              <w:rPr>
                <w:b/>
                <w:bCs/>
                <w:color w:val="FFFFFF"/>
                <w:sz w:val="18"/>
                <w:szCs w:val="18"/>
              </w:rPr>
              <w:t xml:space="preserve">Fewer instructions</w:t>
            </w:r>
          </w:p>
        </w:tc>
        <w:tc>
          <w:tcPr>
            <w:tcW w:type="dxa" w:w="1500"/>
            <w:shd w:fill="2F5496" w:val="clear"/>
            <w:tcMar>
              <w:top w:type="dxa" w:w="40"/>
              <w:left w:type="dxa" w:w="70"/>
              <w:bottom w:type="dxa" w:w="40"/>
              <w:right w:type="dxa" w:w="70"/>
            </w:tcMar>
          </w:tcPr>
          <w:p>
            <w:pPr>
              <w:jc w:val="center"/>
            </w:pPr>
            <w:r>
              <w:rPr>
                <w:b/>
                <w:bCs/>
                <w:color w:val="FFFFFF"/>
                <w:sz w:val="18"/>
                <w:szCs w:val="18"/>
              </w:rPr>
              <w:t xml:space="preserve">Less energy</w:t>
            </w:r>
          </w:p>
        </w:tc>
        <w:tc>
          <w:tcPr>
            <w:tcW w:type="dxa" w:w="2400"/>
            <w:shd w:fill="2F5496" w:val="clear"/>
            <w:tcMar>
              <w:top w:type="dxa" w:w="40"/>
              <w:left w:type="dxa" w:w="70"/>
              <w:bottom w:type="dxa" w:w="40"/>
              <w:right w:type="dxa" w:w="70"/>
            </w:tcMar>
          </w:tcPr>
          <w:p>
            <w:pPr>
              <w:jc w:val="center"/>
            </w:pPr>
            <w:r>
              <w:rPr>
                <w:b/>
                <w:bCs/>
                <w:color w:val="FFFFFF"/>
                <w:sz w:val="18"/>
                <w:szCs w:val="18"/>
              </w:rPr>
              <w:t xml:space="preserve">RVV vs Scalar energy</w:t>
            </w:r>
          </w:p>
        </w:tc>
      </w:tr>
      <w:tr>
        <w:tc>
          <w:tcPr>
            <w:tcW w:type="dxa" w:w="1560"/>
            <w:tcMar>
              <w:top w:type="dxa" w:w="40"/>
              <w:left w:type="dxa" w:w="70"/>
              <w:bottom w:type="dxa" w:w="40"/>
              <w:right w:type="dxa" w:w="70"/>
            </w:tcMar>
          </w:tcPr>
          <w:p>
            <w:pPr>
              <w:jc w:val="left"/>
            </w:pPr>
            <w:r>
              <w:rPr>
                <w:b/>
                <w:bCs/>
                <w:sz w:val="18"/>
                <w:szCs w:val="18"/>
              </w:rPr>
              <w:t xml:space="preserve">d64</w:t>
            </w:r>
          </w:p>
        </w:tc>
        <w:tc>
          <w:tcPr>
            <w:tcW w:type="dxa" w:w="1900"/>
            <w:tcMar>
              <w:top w:type="dxa" w:w="40"/>
              <w:left w:type="dxa" w:w="70"/>
              <w:bottom w:type="dxa" w:w="40"/>
              <w:right w:type="dxa" w:w="70"/>
            </w:tcMar>
          </w:tcPr>
          <w:p>
            <w:pPr>
              <w:jc w:val="center"/>
            </w:pPr>
            <w:r>
              <w:rPr>
                <w:b w:val="false"/>
                <w:bCs w:val="false"/>
                <w:sz w:val="18"/>
                <w:szCs w:val="18"/>
              </w:rPr>
              <w:t xml:space="preserve">6.53×</w:t>
            </w:r>
          </w:p>
        </w:tc>
        <w:tc>
          <w:tcPr>
            <w:tcW w:type="dxa" w:w="2000"/>
            <w:tcMar>
              <w:top w:type="dxa" w:w="40"/>
              <w:left w:type="dxa" w:w="70"/>
              <w:bottom w:type="dxa" w:w="40"/>
              <w:right w:type="dxa" w:w="70"/>
            </w:tcMar>
          </w:tcPr>
          <w:p>
            <w:pPr>
              <w:jc w:val="center"/>
            </w:pPr>
            <w:r>
              <w:rPr>
                <w:b w:val="false"/>
                <w:bCs w:val="false"/>
                <w:sz w:val="18"/>
                <w:szCs w:val="18"/>
              </w:rPr>
              <w:t xml:space="preserve">4.61×</w:t>
            </w:r>
          </w:p>
        </w:tc>
        <w:tc>
          <w:tcPr>
            <w:tcW w:type="dxa" w:w="1500"/>
            <w:tcMar>
              <w:top w:type="dxa" w:w="40"/>
              <w:left w:type="dxa" w:w="70"/>
              <w:bottom w:type="dxa" w:w="40"/>
              <w:right w:type="dxa" w:w="70"/>
            </w:tcMar>
          </w:tcPr>
          <w:p>
            <w:pPr>
              <w:jc w:val="center"/>
            </w:pPr>
            <w:r>
              <w:rPr>
                <w:b w:val="false"/>
                <w:bCs w:val="false"/>
                <w:sz w:val="18"/>
                <w:szCs w:val="18"/>
              </w:rPr>
              <w:t xml:space="preserve">5.22×</w:t>
            </w:r>
          </w:p>
        </w:tc>
        <w:tc>
          <w:tcPr>
            <w:tcW w:type="dxa" w:w="2400"/>
            <w:tcMar>
              <w:top w:type="dxa" w:w="40"/>
              <w:left w:type="dxa" w:w="70"/>
              <w:bottom w:type="dxa" w:w="40"/>
              <w:right w:type="dxa" w:w="70"/>
            </w:tcMar>
          </w:tcPr>
          <w:p>
            <w:pPr>
              <w:jc w:val="center"/>
            </w:pPr>
            <w:r>
              <w:rPr>
                <w:b w:val="false"/>
                <w:bCs w:val="false"/>
                <w:sz w:val="18"/>
                <w:szCs w:val="18"/>
              </w:rPr>
              <w:t xml:space="preserve">4.19 mJ vs 21.87 mJ</w:t>
            </w:r>
          </w:p>
        </w:tc>
      </w:tr>
      <w:tr>
        <w:tc>
          <w:tcPr>
            <w:tcW w:type="dxa" w:w="1560"/>
            <w:shd w:fill="F2F2F2" w:val="clear"/>
            <w:tcMar>
              <w:top w:type="dxa" w:w="40"/>
              <w:left w:type="dxa" w:w="70"/>
              <w:bottom w:type="dxa" w:w="40"/>
              <w:right w:type="dxa" w:w="70"/>
            </w:tcMar>
          </w:tcPr>
          <w:p>
            <w:pPr>
              <w:jc w:val="left"/>
            </w:pPr>
            <w:r>
              <w:rPr>
                <w:b/>
                <w:bCs/>
                <w:sz w:val="18"/>
                <w:szCs w:val="18"/>
              </w:rPr>
              <w:t xml:space="preserve">d108</w:t>
            </w:r>
          </w:p>
        </w:tc>
        <w:tc>
          <w:tcPr>
            <w:tcW w:type="dxa" w:w="1900"/>
            <w:shd w:fill="F2F2F2" w:val="clear"/>
            <w:tcMar>
              <w:top w:type="dxa" w:w="40"/>
              <w:left w:type="dxa" w:w="70"/>
              <w:bottom w:type="dxa" w:w="40"/>
              <w:right w:type="dxa" w:w="70"/>
            </w:tcMar>
          </w:tcPr>
          <w:p>
            <w:pPr>
              <w:jc w:val="center"/>
            </w:pPr>
            <w:r>
              <w:rPr>
                <w:b w:val="false"/>
                <w:bCs w:val="false"/>
                <w:sz w:val="18"/>
                <w:szCs w:val="18"/>
              </w:rPr>
              <w:t xml:space="preserve">1.86×</w:t>
            </w:r>
          </w:p>
        </w:tc>
        <w:tc>
          <w:tcPr>
            <w:tcW w:type="dxa" w:w="2000"/>
            <w:shd w:fill="F2F2F2" w:val="clear"/>
            <w:tcMar>
              <w:top w:type="dxa" w:w="40"/>
              <w:left w:type="dxa" w:w="70"/>
              <w:bottom w:type="dxa" w:w="40"/>
              <w:right w:type="dxa" w:w="70"/>
            </w:tcMar>
          </w:tcPr>
          <w:p>
            <w:pPr>
              <w:jc w:val="center"/>
            </w:pPr>
            <w:r>
              <w:rPr>
                <w:b w:val="false"/>
                <w:bCs w:val="false"/>
                <w:sz w:val="18"/>
                <w:szCs w:val="18"/>
              </w:rPr>
              <w:t xml:space="preserve">1.66×</w:t>
            </w:r>
          </w:p>
        </w:tc>
        <w:tc>
          <w:tcPr>
            <w:tcW w:type="dxa" w:w="1500"/>
            <w:shd w:fill="F2F2F2" w:val="clear"/>
            <w:tcMar>
              <w:top w:type="dxa" w:w="40"/>
              <w:left w:type="dxa" w:w="70"/>
              <w:bottom w:type="dxa" w:w="40"/>
              <w:right w:type="dxa" w:w="70"/>
            </w:tcMar>
          </w:tcPr>
          <w:p>
            <w:pPr>
              <w:jc w:val="center"/>
            </w:pPr>
            <w:r>
              <w:rPr>
                <w:b w:val="false"/>
                <w:bCs w:val="false"/>
                <w:sz w:val="18"/>
                <w:szCs w:val="18"/>
              </w:rPr>
              <w:t xml:space="preserve">1.67×</w:t>
            </w:r>
          </w:p>
        </w:tc>
        <w:tc>
          <w:tcPr>
            <w:tcW w:type="dxa" w:w="2400"/>
            <w:shd w:fill="F2F2F2" w:val="clear"/>
            <w:tcMar>
              <w:top w:type="dxa" w:w="40"/>
              <w:left w:type="dxa" w:w="70"/>
              <w:bottom w:type="dxa" w:w="40"/>
              <w:right w:type="dxa" w:w="70"/>
            </w:tcMar>
          </w:tcPr>
          <w:p>
            <w:pPr>
              <w:jc w:val="center"/>
            </w:pPr>
            <w:r>
              <w:rPr>
                <w:b w:val="false"/>
                <w:bCs w:val="false"/>
                <w:sz w:val="18"/>
                <w:szCs w:val="18"/>
              </w:rPr>
              <w:t xml:space="preserve">2.85 mJ vs 4.75 mJ</w:t>
            </w:r>
          </w:p>
        </w:tc>
      </w:tr>
    </w:tbl>
    <w:p>
      <w:pPr>
        <w:spacing w:after="120"/>
      </w:pPr>
      <w:r>
        <w:t xml:space="preserve">The advantage is larger for d64 than d108, and this is a real architectural effect, not noise. d64 has a long 4096-token sequence and 32 state modes that fit exactly one vector group, so the scan vectorises cleanly. d108 has only 256 tokens and </w:t>
      </w:r>
      <w:r>
        <w:rPr>
          <w:b/>
          <w:bCs/>
        </w:rPr>
        <w:t xml:space="preserve">54 modes that overflow one vector group</w:t>
      </w:r>
      <w:r>
        <w:t xml:space="preserve">, so its scan is strip-mined into two passes with two cross-lane reductions per step — cutting the vector payoff. The size of the RVV win therefore depends strongly on the state dimension fitting the vector width.</w:t>
      </w:r>
    </w:p>
    <w:p>
      <w:pPr>
        <w:pStyle w:val="Heading1"/>
        <w:spacing w:after="110" w:before="220"/>
      </w:pPr>
      <w:r>
        <w:t xml:space="preserve">6. Where the power goes</w:t>
      </w:r>
    </w:p>
    <w:p>
      <w:pPr>
        <w:spacing w:after="120"/>
      </w:pPr>
      <w:r>
        <w:t xml:space="preserve">Within the core, the Execution Unit dominates runtime dynamic power, and within it the Floating-Point Units are the single largest contributor — about 59–61% of Execution-Unit power in every run (e.g. d64 RVV: FPU 0.004678 W of 0.007720 W Execution-Unit power). The Complex ALU (multiply/divide) contributes zero. This confirms the workload is floating-point-bound, exactly as expected for an S4D forward pass built on complex multiply-accumulate.</w:t>
      </w:r>
    </w:p>
    <w:p>
      <w:pPr>
        <w:pStyle w:val="Heading1"/>
        <w:spacing w:after="110" w:before="220"/>
      </w:pPr>
      <w:r>
        <w:t xml:space="preserve">7. Two instruction-count metrics — do not mix them</w:t>
      </w:r>
    </w:p>
    <w:p>
      <w:pPr>
        <w:spacing w:after="120"/>
      </w:pPr>
      <w:r>
        <w:t xml:space="preserve">The QEMU instret count and the gem5 committed count differ by a large factor (e.g. d64 RVV: 2.21 billion vs 33 million), and both are correct. QEMU-riscv32 </w:t>
      </w:r>
      <w:r>
        <w:rPr>
          <w:b/>
          <w:bCs/>
        </w:rPr>
        <w:t xml:space="preserve">expands each cross-lane vector reduction into ~3100 retired instructions</w:t>
      </w:r>
      <w:r>
        <w:t xml:space="preserve"> — this is the cost model used throughout the optimisation study. gem5 counts each vector instruction as one committed instruction, and that count is what McPAT bills for power. The QEMU number is the optimisation-study progress metric; the gem5 number drives the energy result. They should never be quoted interchangeably.</w:t>
      </w:r>
    </w:p>
    <w:p>
      <w:pPr>
        <w:pStyle w:val="Heading1"/>
        <w:spacing w:after="110" w:before="220"/>
      </w:pPr>
      <w:r>
        <w:t xml:space="preserve">8. Functional validation (d108)</w:t>
      </w:r>
    </w:p>
    <w:p>
      <w:pPr>
        <w:spacing w:after="120"/>
      </w:pPr>
      <w:r>
        <w:t xml:space="preserve">The d108 C model was validated against PyTorch on the real GalaxyMNIST test set (2000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tcMar>
              <w:top w:type="dxa" w:w="40"/>
              <w:left w:type="dxa" w:w="70"/>
              <w:bottom w:type="dxa" w:w="40"/>
              <w:right w:type="dxa" w:w="70"/>
            </w:tcMar>
          </w:tcPr>
          <w:p>
            <w:pPr>
              <w:jc w:val="left"/>
            </w:pPr>
            <w:r>
              <w:rPr>
                <w:b/>
                <w:bCs/>
                <w:color w:val="FFFFFF"/>
                <w:sz w:val="18"/>
                <w:szCs w:val="18"/>
              </w:rPr>
              <w:t xml:space="preserve">Measure</w:t>
            </w:r>
          </w:p>
        </w:tc>
        <w:tc>
          <w:tcPr>
            <w:tcW w:type="dxa" w:w="4680"/>
            <w:shd w:fill="2F5496" w:val="clear"/>
            <w:tcMar>
              <w:top w:type="dxa" w:w="40"/>
              <w:left w:type="dxa" w:w="70"/>
              <w:bottom w:type="dxa" w:w="40"/>
              <w:right w:type="dxa" w:w="70"/>
            </w:tcMar>
          </w:tcPr>
          <w:p>
            <w:pPr>
              <w:jc w:val="center"/>
            </w:pPr>
            <w:r>
              <w:rPr>
                <w:b/>
                <w:bCs/>
                <w:color w:val="FFFFFF"/>
                <w:sz w:val="18"/>
                <w:szCs w:val="18"/>
              </w:rPr>
              <w:t xml:space="preserve">Value</w:t>
            </w:r>
          </w:p>
        </w:tc>
      </w:tr>
      <w:tr>
        <w:tc>
          <w:tcPr>
            <w:tcW w:type="dxa" w:w="4680"/>
            <w:tcMar>
              <w:top w:type="dxa" w:w="40"/>
              <w:left w:type="dxa" w:w="70"/>
              <w:bottom w:type="dxa" w:w="40"/>
              <w:right w:type="dxa" w:w="70"/>
            </w:tcMar>
          </w:tcPr>
          <w:p>
            <w:pPr>
              <w:jc w:val="left"/>
            </w:pPr>
            <w:r>
              <w:rPr>
                <w:b/>
                <w:bCs/>
                <w:sz w:val="18"/>
                <w:szCs w:val="18"/>
              </w:rPr>
              <w:t xml:space="preserve">PyTorch accuracy</w:t>
            </w:r>
          </w:p>
        </w:tc>
        <w:tc>
          <w:tcPr>
            <w:tcW w:type="dxa" w:w="4680"/>
            <w:tcMar>
              <w:top w:type="dxa" w:w="40"/>
              <w:left w:type="dxa" w:w="70"/>
              <w:bottom w:type="dxa" w:w="40"/>
              <w:right w:type="dxa" w:w="70"/>
            </w:tcMar>
          </w:tcPr>
          <w:p>
            <w:pPr>
              <w:jc w:val="center"/>
            </w:pPr>
            <w:r>
              <w:rPr>
                <w:b w:val="false"/>
                <w:bCs w:val="false"/>
                <w:sz w:val="18"/>
                <w:szCs w:val="18"/>
              </w:rPr>
              <w:t xml:space="preserve">82.20%</w:t>
            </w:r>
          </w:p>
        </w:tc>
      </w:tr>
      <w:tr>
        <w:tc>
          <w:tcPr>
            <w:tcW w:type="dxa" w:w="4680"/>
            <w:shd w:fill="F2F2F2" w:val="clear"/>
            <w:tcMar>
              <w:top w:type="dxa" w:w="40"/>
              <w:left w:type="dxa" w:w="70"/>
              <w:bottom w:type="dxa" w:w="40"/>
              <w:right w:type="dxa" w:w="70"/>
            </w:tcMar>
          </w:tcPr>
          <w:p>
            <w:pPr>
              <w:jc w:val="left"/>
            </w:pPr>
            <w:r>
              <w:rPr>
                <w:b/>
                <w:bCs/>
                <w:sz w:val="18"/>
                <w:szCs w:val="18"/>
              </w:rPr>
              <w:t xml:space="preserve">C-model accuracy</w:t>
            </w:r>
          </w:p>
        </w:tc>
        <w:tc>
          <w:tcPr>
            <w:tcW w:type="dxa" w:w="4680"/>
            <w:shd w:fill="F2F2F2" w:val="clear"/>
            <w:tcMar>
              <w:top w:type="dxa" w:w="40"/>
              <w:left w:type="dxa" w:w="70"/>
              <w:bottom w:type="dxa" w:w="40"/>
              <w:right w:type="dxa" w:w="70"/>
            </w:tcMar>
          </w:tcPr>
          <w:p>
            <w:pPr>
              <w:jc w:val="center"/>
            </w:pPr>
            <w:r>
              <w:rPr>
                <w:b w:val="false"/>
                <w:bCs w:val="false"/>
                <w:sz w:val="18"/>
                <w:szCs w:val="18"/>
              </w:rPr>
              <w:t xml:space="preserve">82.20%</w:t>
            </w:r>
          </w:p>
        </w:tc>
      </w:tr>
      <w:tr>
        <w:tc>
          <w:tcPr>
            <w:tcW w:type="dxa" w:w="4680"/>
            <w:tcMar>
              <w:top w:type="dxa" w:w="40"/>
              <w:left w:type="dxa" w:w="70"/>
              <w:bottom w:type="dxa" w:w="40"/>
              <w:right w:type="dxa" w:w="70"/>
            </w:tcMar>
          </w:tcPr>
          <w:p>
            <w:pPr>
              <w:jc w:val="left"/>
            </w:pPr>
            <w:r>
              <w:rPr>
                <w:b/>
                <w:bCs/>
                <w:sz w:val="18"/>
                <w:szCs w:val="18"/>
              </w:rPr>
              <w:t xml:space="preserve">C vs PyTorch agreement</w:t>
            </w:r>
          </w:p>
        </w:tc>
        <w:tc>
          <w:tcPr>
            <w:tcW w:type="dxa" w:w="4680"/>
            <w:tcMar>
              <w:top w:type="dxa" w:w="40"/>
              <w:left w:type="dxa" w:w="70"/>
              <w:bottom w:type="dxa" w:w="40"/>
              <w:right w:type="dxa" w:w="70"/>
            </w:tcMar>
          </w:tcPr>
          <w:p>
            <w:pPr>
              <w:jc w:val="center"/>
            </w:pPr>
            <w:r>
              <w:rPr>
                <w:b w:val="false"/>
                <w:bCs w:val="false"/>
                <w:sz w:val="18"/>
                <w:szCs w:val="18"/>
              </w:rPr>
              <w:t xml:space="preserve">100.00%</w:t>
            </w:r>
          </w:p>
        </w:tc>
      </w:tr>
    </w:tbl>
    <w:p>
      <w:pPr>
        <w:spacing w:after="120"/>
      </w:pPr>
      <w:r>
        <w:t xml:space="preserve">The C port reproduces the trained model exactly, sample for sample. Separately, the scalar C path matched an independent NumPy reference of the full forward pass to a maximum probability difference of 1.9e-10, and the vectorised build produces the same prediction as the scalar build on-device.</w:t>
      </w:r>
    </w:p>
    <w:p>
      <w:pPr>
        <w:pStyle w:val="Heading1"/>
        <w:spacing w:after="110" w:before="220"/>
      </w:pPr>
      <w:r>
        <w:t xml:space="preserve">9. Correction of the earlier third-party report</w:t>
      </w:r>
    </w:p>
    <w:p>
      <w:pPr>
        <w:spacing w:after="120"/>
      </w:pPr>
      <w:r>
        <w:t xml:space="preserve">A separate McPAT report on the same d64 code circulated with a different (and incorrect) RVV energy of 25.3 mJ. The structural totals and power values in that report agree with ours, but its RVV energy is wrong: it multiplied the RVV runtime-dynamic power by the SCALAR execution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3400"/>
        <w:gridCol w:w="1600"/>
        <w:gridCol w:w="1800"/>
      </w:tblGrid>
      <w:tr>
        <w:trPr>
          <w:tblHeader/>
        </w:trPr>
        <w:tc>
          <w:tcPr>
            <w:tcW w:type="dxa" w:w="2560"/>
            <w:shd w:fill="2F5496" w:val="clear"/>
            <w:tcMar>
              <w:top w:type="dxa" w:w="40"/>
              <w:left w:type="dxa" w:w="70"/>
              <w:bottom w:type="dxa" w:w="40"/>
              <w:right w:type="dxa" w:w="70"/>
            </w:tcMar>
          </w:tcPr>
          <w:p>
            <w:pPr>
              <w:jc w:val="left"/>
            </w:pPr>
            <w:r>
              <w:rPr>
                <w:b/>
                <w:bCs/>
                <w:color w:val="FFFFFF"/>
                <w:sz w:val="18"/>
                <w:szCs w:val="18"/>
              </w:rPr>
              <w:t xml:space="preserve">Case</w:t>
            </w:r>
          </w:p>
        </w:tc>
        <w:tc>
          <w:tcPr>
            <w:tcW w:type="dxa" w:w="3400"/>
            <w:shd w:fill="2F5496" w:val="clear"/>
            <w:tcMar>
              <w:top w:type="dxa" w:w="40"/>
              <w:left w:type="dxa" w:w="70"/>
              <w:bottom w:type="dxa" w:w="40"/>
              <w:right w:type="dxa" w:w="70"/>
            </w:tcMar>
          </w:tcPr>
          <w:p>
            <w:pPr>
              <w:jc w:val="center"/>
            </w:pPr>
            <w:r>
              <w:rPr>
                <w:b/>
                <w:bCs/>
                <w:color w:val="FFFFFF"/>
                <w:sz w:val="18"/>
                <w:szCs w:val="18"/>
              </w:rPr>
              <w:t xml:space="preserve">RVV time used</w:t>
            </w:r>
          </w:p>
        </w:tc>
        <w:tc>
          <w:tcPr>
            <w:tcW w:type="dxa" w:w="1600"/>
            <w:shd w:fill="2F5496" w:val="clear"/>
            <w:tcMar>
              <w:top w:type="dxa" w:w="40"/>
              <w:left w:type="dxa" w:w="70"/>
              <w:bottom w:type="dxa" w:w="40"/>
              <w:right w:type="dxa" w:w="70"/>
            </w:tcMar>
          </w:tcPr>
          <w:p>
            <w:pPr>
              <w:jc w:val="center"/>
            </w:pPr>
            <w:r>
              <w:rPr>
                <w:b/>
                <w:bCs/>
                <w:color w:val="FFFFFF"/>
                <w:sz w:val="18"/>
                <w:szCs w:val="18"/>
              </w:rPr>
              <w:t xml:space="preserve">RVV power</w:t>
            </w:r>
          </w:p>
        </w:tc>
        <w:tc>
          <w:tcPr>
            <w:tcW w:type="dxa" w:w="1800"/>
            <w:shd w:fill="2F5496" w:val="clear"/>
            <w:tcMar>
              <w:top w:type="dxa" w:w="40"/>
              <w:left w:type="dxa" w:w="70"/>
              <w:bottom w:type="dxa" w:w="40"/>
              <w:right w:type="dxa" w:w="70"/>
            </w:tcMar>
          </w:tcPr>
          <w:p>
            <w:pPr>
              <w:jc w:val="center"/>
            </w:pPr>
            <w:r>
              <w:rPr>
                <w:b/>
                <w:bCs/>
                <w:color w:val="FFFFFF"/>
                <w:sz w:val="18"/>
                <w:szCs w:val="18"/>
              </w:rPr>
              <w:t xml:space="preserve">RVV energy</w:t>
            </w:r>
          </w:p>
        </w:tc>
      </w:tr>
      <w:tr>
        <w:tc>
          <w:tcPr>
            <w:tcW w:type="dxa" w:w="2560"/>
            <w:tcMar>
              <w:top w:type="dxa" w:w="40"/>
              <w:left w:type="dxa" w:w="70"/>
              <w:bottom w:type="dxa" w:w="40"/>
              <w:right w:type="dxa" w:w="70"/>
            </w:tcMar>
          </w:tcPr>
          <w:p>
            <w:pPr>
              <w:jc w:val="left"/>
            </w:pPr>
            <w:r>
              <w:rPr>
                <w:b/>
                <w:bCs/>
                <w:sz w:val="18"/>
                <w:szCs w:val="18"/>
              </w:rPr>
              <w:t xml:space="preserve">Earlier report</w:t>
            </w:r>
          </w:p>
        </w:tc>
        <w:tc>
          <w:tcPr>
            <w:tcW w:type="dxa" w:w="3400"/>
            <w:tcMar>
              <w:top w:type="dxa" w:w="40"/>
              <w:left w:type="dxa" w:w="70"/>
              <w:bottom w:type="dxa" w:w="40"/>
              <w:right w:type="dxa" w:w="70"/>
            </w:tcMar>
          </w:tcPr>
          <w:p>
            <w:pPr>
              <w:jc w:val="center"/>
            </w:pPr>
            <w:r>
              <w:rPr>
                <w:b w:val="false"/>
                <w:bCs w:val="false"/>
                <w:sz w:val="18"/>
                <w:szCs w:val="18"/>
              </w:rPr>
              <w:t xml:space="preserve">2.454494 s  (scalar time)</w:t>
            </w:r>
          </w:p>
        </w:tc>
        <w:tc>
          <w:tcPr>
            <w:tcW w:type="dxa" w:w="1600"/>
            <w:tcMar>
              <w:top w:type="dxa" w:w="40"/>
              <w:left w:type="dxa" w:w="70"/>
              <w:bottom w:type="dxa" w:w="40"/>
              <w:right w:type="dxa" w:w="70"/>
            </w:tcMar>
          </w:tcPr>
          <w:p>
            <w:pPr>
              <w:jc w:val="center"/>
            </w:pPr>
            <w:r>
              <w:rPr>
                <w:b w:val="false"/>
                <w:bCs w:val="false"/>
                <w:sz w:val="18"/>
                <w:szCs w:val="18"/>
              </w:rPr>
              <w:t xml:space="preserve">0.0103 W</w:t>
            </w:r>
          </w:p>
        </w:tc>
        <w:tc>
          <w:tcPr>
            <w:tcW w:type="dxa" w:w="1800"/>
            <w:tcMar>
              <w:top w:type="dxa" w:w="40"/>
              <w:left w:type="dxa" w:w="70"/>
              <w:bottom w:type="dxa" w:w="40"/>
              <w:right w:type="dxa" w:w="70"/>
            </w:tcMar>
          </w:tcPr>
          <w:p>
            <w:pPr>
              <w:jc w:val="center"/>
            </w:pPr>
            <w:r>
              <w:rPr>
                <w:b w:val="false"/>
                <w:bCs w:val="false"/>
                <w:sz w:val="18"/>
                <w:szCs w:val="18"/>
              </w:rPr>
              <w:t xml:space="preserve">25.3 mJ</w:t>
            </w:r>
          </w:p>
        </w:tc>
      </w:tr>
      <w:tr>
        <w:tc>
          <w:tcPr>
            <w:tcW w:type="dxa" w:w="2560"/>
            <w:shd w:fill="F2F2F2" w:val="clear"/>
            <w:tcMar>
              <w:top w:type="dxa" w:w="40"/>
              <w:left w:type="dxa" w:w="70"/>
              <w:bottom w:type="dxa" w:w="40"/>
              <w:right w:type="dxa" w:w="70"/>
            </w:tcMar>
          </w:tcPr>
          <w:p>
            <w:pPr>
              <w:jc w:val="left"/>
            </w:pPr>
            <w:r>
              <w:rPr>
                <w:b/>
                <w:bCs/>
                <w:sz w:val="18"/>
                <w:szCs w:val="18"/>
              </w:rPr>
              <w:t xml:space="preserve">Correct (this study)</w:t>
            </w:r>
          </w:p>
        </w:tc>
        <w:tc>
          <w:tcPr>
            <w:tcW w:type="dxa" w:w="3400"/>
            <w:shd w:fill="F2F2F2" w:val="clear"/>
            <w:tcMar>
              <w:top w:type="dxa" w:w="40"/>
              <w:left w:type="dxa" w:w="70"/>
              <w:bottom w:type="dxa" w:w="40"/>
              <w:right w:type="dxa" w:w="70"/>
            </w:tcMar>
          </w:tcPr>
          <w:p>
            <w:pPr>
              <w:jc w:val="center"/>
            </w:pPr>
            <w:r>
              <w:rPr>
                <w:b w:val="false"/>
                <w:bCs w:val="false"/>
                <w:sz w:val="18"/>
                <w:szCs w:val="18"/>
              </w:rPr>
              <w:t xml:space="preserve">0.382659 s  (real RVV time)</w:t>
            </w:r>
          </w:p>
        </w:tc>
        <w:tc>
          <w:tcPr>
            <w:tcW w:type="dxa" w:w="1600"/>
            <w:shd w:fill="F2F2F2" w:val="clear"/>
            <w:tcMar>
              <w:top w:type="dxa" w:w="40"/>
              <w:left w:type="dxa" w:w="70"/>
              <w:bottom w:type="dxa" w:w="40"/>
              <w:right w:type="dxa" w:w="70"/>
            </w:tcMar>
          </w:tcPr>
          <w:p>
            <w:pPr>
              <w:jc w:val="center"/>
            </w:pPr>
            <w:r>
              <w:rPr>
                <w:b w:val="false"/>
                <w:bCs w:val="false"/>
                <w:sz w:val="18"/>
                <w:szCs w:val="18"/>
              </w:rPr>
              <w:t xml:space="preserve">0.0103 W</w:t>
            </w:r>
          </w:p>
        </w:tc>
        <w:tc>
          <w:tcPr>
            <w:tcW w:type="dxa" w:w="1800"/>
            <w:shd w:fill="F2F2F2" w:val="clear"/>
            <w:tcMar>
              <w:top w:type="dxa" w:w="40"/>
              <w:left w:type="dxa" w:w="70"/>
              <w:bottom w:type="dxa" w:w="40"/>
              <w:right w:type="dxa" w:w="70"/>
            </w:tcMar>
          </w:tcPr>
          <w:p>
            <w:pPr>
              <w:jc w:val="center"/>
            </w:pPr>
            <w:r>
              <w:rPr>
                <w:b w:val="false"/>
                <w:bCs w:val="false"/>
                <w:sz w:val="18"/>
                <w:szCs w:val="18"/>
              </w:rPr>
              <w:t xml:space="preserve">3.94 mJ</w:t>
            </w:r>
          </w:p>
        </w:tc>
      </w:tr>
    </w:tbl>
    <w:p>
      <w:pPr>
        <w:spacing w:after="120"/>
      </w:pPr>
      <w:r>
        <w:t xml:space="preserve">The give-away is that the report's 'RVV' energy (25.3 mJ) is higher than the true scalar energy (~20–22 mJ), which is impossible for a genuine speed-up. The underlying cause: the report's RVV run was never actually vectorised — its 143 million instructions over 2.45 s are scalar-class, whereas a real RVV run is 33 million instructions over 0.38 s (verified on this system: the RVV binary contains the vector kernel and executes 2.06× fewer instructions than scalar under QEMU).</w:t>
      </w:r>
    </w:p>
    <w:p>
      <w:pPr>
        <w:pStyle w:val="Heading1"/>
        <w:spacing w:after="110" w:before="220"/>
      </w:pPr>
      <w:r>
        <w:t xml:space="preserve">10. Caveats (threats to validity)</w:t>
      </w:r>
    </w:p>
    <w:p>
      <w:pPr>
        <w:spacing w:after="120"/>
      </w:pPr>
      <w:r>
        <w:t xml:space="preserve">Reported honestly: the absolute power and energy in watts/joules rest on McPAT modelling assumptions — a 22 nm node, a 100 MHz clock, and an fp-fraction of 0.60. Pinning these to a specific target chip would shift the absolute numbers. The RVV-vs-scalar ratios, however, are robust to these assumptions because both builds are modelled identically. All results were reproduced bit-for-bit across repeated runs, and the gem5 statistics are internally consistent (IPC 0.6–0.9 for an in-order core; cycles equal execution time × 100 MHz).</w:t>
      </w:r>
    </w:p>
    <w:p>
      <w:pPr>
        <w:pStyle w:val="Heading1"/>
        <w:spacing w:after="110" w:before="220"/>
      </w:pPr>
      <w:r>
        <w:t xml:space="preserve">11. Conclusions</w:t>
      </w:r>
    </w:p>
    <w:p>
      <w:pPr>
        <w:spacing w:after="120"/>
      </w:pPr>
      <w:r>
        <w:t xml:space="preserve">The vectorised S4D classifier is measurably more energy-efficient than its scalar equivalent on the same RISC-V core: 5.22× less energy on d64 and 1.67× on the accurate d108 model, at 82.20% accuracy with an exact match to PyTorch. All numbers were measured with cycle-accurate simulation and physical power modelling — not estimated — and the earlier third-party RVV energy figure of 25.3 mJ is a measurement error (RVV power paired with scalar time on an un-vectorised run); the correct figure is 3.94 mJ.</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2026-08-19T08:29:45.305Z</dcterms:created>
  <dcterms:modified xsi:type="dcterms:W3CDTF">2026-08-19T08:29:45.305Z</dcterms:modified>
</cp:coreProperties>
</file>

<file path=docProps/custom.xml><?xml version="1.0" encoding="utf-8"?>
<Properties xmlns="http://schemas.openxmlformats.org/officeDocument/2006/custom-properties" xmlns:vt="http://schemas.openxmlformats.org/officeDocument/2006/docPropsVTypes"/>
</file>