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rFonts w:ascii="Calibri" w:cs="Calibri" w:eastAsia="Calibri" w:hAnsi="Calibri"/>
          <w:b/>
          <w:bCs/>
          <w:color w:val="1F6F6B"/>
          <w:spacing w:val="60"/>
          <w:sz w:val="20"/>
          <w:szCs w:val="20"/>
        </w:rPr>
        <w:t xml:space="preserve">FORMFIX AI</w:t>
      </w:r>
    </w:p>
    <w:p>
      <w:pPr>
        <w:spacing w:after="0" w:before="120"/>
      </w:pPr>
      <w:r>
        <w:rPr>
          <w:rFonts w:ascii="Calibri" w:cs="Calibri" w:eastAsia="Calibri" w:hAnsi="Calibri"/>
          <w:b/>
          <w:bCs/>
          <w:color w:val="133C3A"/>
          <w:sz w:val="56"/>
          <w:szCs w:val="56"/>
        </w:rPr>
        <w:t xml:space="preserve">Research Provenance</w:t>
      </w:r>
    </w:p>
    <w:p>
      <w:pPr>
        <w:spacing w:after="240" w:before="40"/>
      </w:pPr>
      <w:r>
        <w:rPr>
          <w:rFonts w:ascii="Calibri" w:cs="Calibri" w:eastAsia="Calibri" w:hAnsi="Calibri"/>
          <w:b/>
          <w:bCs/>
          <w:color w:val="133C3A"/>
          <w:sz w:val="56"/>
          <w:szCs w:val="56"/>
        </w:rPr>
        <w:t xml:space="preserve">and Report Material</w:t>
      </w:r>
    </w:p>
    <w:p>
      <w:pPr>
        <w:pBdr>
          <w:top w:val="single" w:color="1F6F6B" w:sz="10" w:space="12"/>
        </w:pBdr>
        <w:spacing w:after="300" w:before="0"/>
      </w:pPr>
      <w:r>
        <w:rPr>
          <w:rFonts w:ascii="Calibri" w:cs="Calibri" w:eastAsia="Calibri" w:hAnsi="Calibri"/>
          <w:color w:val="5A6472"/>
          <w:sz w:val="24"/>
          <w:szCs w:val="24"/>
        </w:rPr>
        <w:t xml:space="preserve">What was taken from the eight reviewed papers, what was extended, and what is original — with drafted sections for the dissertation.</w:t>
      </w:r>
    </w:p>
    <w:p>
      <w:pPr>
        <w:spacing w:after="40" w:before="0" w:line="276"/>
      </w:pPr>
      <w:r>
        <w:rPr>
          <w:rFonts w:ascii="Calibri" w:cs="Calibri" w:eastAsia="Calibri" w:hAnsi="Calibri"/>
          <w:color w:val="5A6472"/>
          <w:sz w:val="21"/>
          <w:szCs w:val="21"/>
        </w:rPr>
        <w:t xml:space="preserve">MSc Computer Science · University of the Arts London</w:t>
      </w:r>
    </w:p>
    <w:p>
      <w:pPr>
        <w:spacing w:after="600" w:before="0" w:line="276"/>
      </w:pPr>
      <w:r>
        <w:rPr>
          <w:rFonts w:ascii="Calibri" w:cs="Calibri" w:eastAsia="Calibri" w:hAnsi="Calibri"/>
          <w:color w:val="5A6472"/>
          <w:sz w:val="21"/>
          <w:szCs w:val="21"/>
        </w:rPr>
        <w:t xml:space="preserve">Companion to the FormFix AI codebase</w:t>
      </w:r>
    </w:p>
    <w:p>
      <w:r>
        <w:br w:type="page"/>
      </w:r>
    </w:p>
    <w:p>
      <w:pPr>
        <w:pStyle w:val="Heading2"/>
        <w:spacing w:after="120" w:before="300"/>
      </w:pPr>
      <w:r>
        <w:rPr>
          <w:rFonts w:ascii="Calibri" w:cs="Calibri" w:eastAsia="Calibri" w:hAnsi="Calibri"/>
          <w:b/>
          <w:bCs/>
          <w:color w:val="133C3A"/>
          <w:sz w:val="24"/>
          <w:szCs w:val="24"/>
        </w:rPr>
        <w:t xml:space="preserve">Contents</w:t>
      </w:r>
    </w:p>
    <w:p>
      <w:pPr>
        <w:spacing w:after="200" w:before="0" w:line="276"/>
      </w:pPr>
      <w:r>
        <w:rPr>
          <w:rFonts w:ascii="Calibri" w:cs="Calibri" w:eastAsia="Calibri" w:hAnsi="Calibri"/>
          <w:i/>
          <w:iCs/>
          <w:color w:val="5A6472"/>
          <w:sz w:val="18"/>
          <w:szCs w:val="18"/>
        </w:rPr>
        <w:t xml:space="preserve">Right-click and choose “Update field” in Word to populate this.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1F6F6B" w:sz="8" w:space="6"/>
        </w:pBdr>
        <w:spacing w:after="180" w:before="400"/>
      </w:pPr>
      <w:r>
        <w:rPr>
          <w:rFonts w:ascii="Calibri" w:cs="Calibri" w:eastAsia="Calibri" w:hAnsi="Calibri"/>
          <w:b/>
          <w:bCs/>
          <w:color w:val="1F6F6B"/>
          <w:sz w:val="30"/>
          <w:szCs w:val="30"/>
        </w:rPr>
        <w:t xml:space="preserve">1. How to use this document</w:t>
      </w:r>
    </w:p>
    <w:p>
      <w:pPr>
        <w:spacing w:after="120" w:before="0" w:line="276"/>
      </w:pPr>
      <w:r>
        <w:rPr>
          <w:rFonts w:ascii="Calibri" w:cs="Calibri" w:eastAsia="Calibri" w:hAnsi="Calibri"/>
          <w:color w:val="1A1A1A"/>
          <w:sz w:val="21"/>
          <w:szCs w:val="21"/>
        </w:rPr>
        <w:t xml:space="preserve">This document exists so you can say, precisely and in writing, which parts of FormFix AI came from published work and which are your own. It is written for you, not for the examiner — but Part 6 is drafted so it can be lifted into the dissertation more or less as it stands, with the citations already attached.</w:t>
      </w:r>
    </w:p>
    <w:p>
      <w:pPr>
        <w:spacing w:after="120" w:before="0" w:line="276"/>
      </w:pPr>
      <w:r>
        <w:rPr>
          <w:rFonts w:ascii="Calibri" w:cs="Calibri" w:eastAsia="Calibri" w:hAnsi="Calibri"/>
          <w:color w:val="1A1A1A"/>
          <w:sz w:val="21"/>
          <w:szCs w:val="21"/>
        </w:rPr>
        <w:t xml:space="preserve">Three things are worth saying plainly before the tables.</w:t>
      </w:r>
    </w:p>
    <w:p>
      <w:pPr>
        <w:pStyle w:val="ListParagraph"/>
        <w:numPr>
          <w:ilvl w:val="0"/>
          <w:numId w:val="2"/>
        </w:numPr>
        <w:spacing w:after="90" w:line="276"/>
      </w:pPr>
      <w:r>
        <w:rPr>
          <w:rFonts w:ascii="Calibri" w:cs="Calibri" w:eastAsia="Calibri" w:hAnsi="Calibri"/>
          <w:sz w:val="21"/>
          <w:szCs w:val="21"/>
        </w:rPr>
        <w:t xml:space="preserve">Nothing was copied. No code, no figure and no sentence from any of the eight papers has been reproduced in FormFix. What was taken is measurements, criteria and reasoning — the things papers exist to supply.</w:t>
      </w:r>
    </w:p>
    <w:p>
      <w:pPr>
        <w:pStyle w:val="ListParagraph"/>
        <w:numPr>
          <w:ilvl w:val="0"/>
          <w:numId w:val="2"/>
        </w:numPr>
        <w:spacing w:after="90" w:line="276"/>
      </w:pPr>
      <w:r>
        <w:rPr>
          <w:rFonts w:ascii="Calibri" w:cs="Calibri" w:eastAsia="Calibri" w:hAnsi="Calibri"/>
          <w:sz w:val="21"/>
          <w:szCs w:val="21"/>
        </w:rPr>
        <w:t xml:space="preserve">Several of your existing design decisions turned out to match published protocols you had not read. That is convergent validity, and it is a stronger result than borrowing would have been. It is labelled CONVERGENT wherever it occurs, and you should describe it that way rather than implying the papers informed those choices after the fact.</w:t>
      </w:r>
    </w:p>
    <w:p>
      <w:pPr>
        <w:pStyle w:val="ListParagraph"/>
        <w:numPr>
          <w:ilvl w:val="0"/>
          <w:numId w:val="2"/>
        </w:numPr>
        <w:spacing w:after="90" w:line="276"/>
      </w:pPr>
      <w:r>
        <w:rPr>
          <w:rFonts w:ascii="Calibri" w:cs="Calibri" w:eastAsia="Calibri" w:hAnsi="Calibri"/>
          <w:sz w:val="21"/>
          <w:szCs w:val="21"/>
        </w:rPr>
        <w:t xml:space="preserve">The genuinely new contribution is narrow and defensible: feeding published measurement error back into the decision rule. Part 5 sets out why no reviewed paper does this, and what happened when FormFix did.</w:t>
      </w:r>
    </w:p>
    <w:p>
      <w:pPr>
        <w:spacing w:after="120"/>
      </w:pPr>
    </w:p>
    <w:p>
      <w:pPr>
        <w:spacing w:after="120" w:before="0" w:line="276"/>
      </w:pPr>
      <w:r>
        <w:rPr>
          <w:rFonts w:ascii="Calibri" w:cs="Calibri" w:eastAsia="Calibri" w:hAnsi="Calibri"/>
          <w:b/>
          <w:bCs/>
          <w:color w:val="1A1A1A"/>
          <w:sz w:val="21"/>
          <w:szCs w:val="21"/>
        </w:rPr>
        <w:t xml:space="preserve">A note on the file numbering. </w:t>
      </w:r>
      <w:r>
        <w:rPr>
          <w:rFonts w:ascii="Calibri" w:cs="Calibri" w:eastAsia="Calibri" w:hAnsi="Calibri"/>
          <w:color w:val="1A1A1A"/>
          <w:sz w:val="21"/>
          <w:szCs w:val="21"/>
        </w:rPr>
        <w:t xml:space="preserve">Eight papers were supplied, numbered 1, 2, 4, 5, 6, 7, 8 and 9. There is no paper 3. If a ninth paper was meant to be included, it did not arrive, and nothing in this document depends on it.</w:t>
      </w:r>
    </w:p>
    <w:p>
      <w:pPr>
        <w:pStyle w:val="Heading1"/>
        <w:pBdr>
          <w:bottom w:val="single" w:color="1F6F6B" w:sz="8" w:space="6"/>
        </w:pBdr>
        <w:spacing w:after="180" w:before="400"/>
      </w:pPr>
      <w:r>
        <w:rPr>
          <w:rFonts w:ascii="Calibri" w:cs="Calibri" w:eastAsia="Calibri" w:hAnsi="Calibri"/>
          <w:b/>
          <w:bCs/>
          <w:color w:val="1F6F6B"/>
          <w:sz w:val="30"/>
          <w:szCs w:val="30"/>
        </w:rPr>
        <w:t xml:space="preserve">2. The eight papers</w:t>
      </w:r>
    </w:p>
    <w:p>
      <w:pPr>
        <w:spacing w:after="120" w:before="0" w:line="276"/>
      </w:pPr>
      <w:r>
        <w:rPr>
          <w:rFonts w:ascii="Calibri" w:cs="Calibri" w:eastAsia="Calibri" w:hAnsi="Calibri"/>
          <w:color w:val="1A1A1A"/>
          <w:sz w:val="21"/>
          <w:szCs w:val="21"/>
        </w:rPr>
        <w:t xml:space="preserve">Full references, in the numbering of the supplied files. These are formatted for a Harvard-style reference list; adjust to your department's house style.</w:t>
      </w:r>
    </w:p>
    <w:p>
      <w:pPr>
        <w:spacing w:after="80"/>
      </w:pPr>
    </w:p>
    <w:tbl>
      <w:tblPr>
        <w:tblW w:type="dxa" w:w="10080"/>
        <w:tblBorders>
          <w:top w:val="single" w:color="D8DEE4" w:sz="4"/>
          <w:left w:val="single" w:color="D8DEE4" w:sz="4"/>
          <w:bottom w:val="single" w:color="D8DEE4" w:sz="4"/>
          <w:right w:val="single" w:color="D8DEE4" w:sz="4"/>
          <w:insideH w:val="single" w:color="D8DEE4" w:sz="2"/>
          <w:insideV w:val="single" w:color="D8DEE4" w:sz="2"/>
        </w:tblBorders>
      </w:tblPr>
      <w:tblGrid>
        <w:gridCol w:w="560"/>
        <w:gridCol w:w="5960"/>
        <w:gridCol w:w="3560"/>
      </w:tblGrid>
      <w:tr>
        <w:trPr>
          <w:tblHeader/>
        </w:trPr>
        <w:tc>
          <w:tcPr>
            <w:tcW w:type="dxa" w:w="560"/>
            <w:shd w:fill="EDF3F2" w:color="auto" w:val="clear"/>
            <w:tcMar>
              <w:top w:type="dxa" w:w="90"/>
              <w:left w:type="dxa" w:w="120"/>
              <w:bottom w:type="dxa" w:w="90"/>
              <w:right w:type="dxa" w:w="120"/>
            </w:tcMar>
            <w:vAlign w:val="top"/>
          </w:tcPr>
          <w:p>
            <w:pPr>
              <w:spacing w:after="40" w:line="264"/>
            </w:pPr>
            <w:r>
              <w:rPr>
                <w:rFonts w:ascii="Calibri" w:cs="Calibri" w:eastAsia="Calibri" w:hAnsi="Calibri"/>
                <w:b/>
                <w:bCs/>
                <w:color w:val="133C3A"/>
                <w:sz w:val="18"/>
                <w:szCs w:val="18"/>
              </w:rPr>
              <w:t xml:space="preserve">#</w:t>
            </w:r>
          </w:p>
        </w:tc>
        <w:tc>
          <w:tcPr>
            <w:tcW w:type="dxa" w:w="5960"/>
            <w:shd w:fill="EDF3F2" w:color="auto" w:val="clear"/>
            <w:tcMar>
              <w:top w:type="dxa" w:w="90"/>
              <w:left w:type="dxa" w:w="120"/>
              <w:bottom w:type="dxa" w:w="90"/>
              <w:right w:type="dxa" w:w="120"/>
            </w:tcMar>
            <w:vAlign w:val="top"/>
          </w:tcPr>
          <w:p>
            <w:pPr>
              <w:spacing w:after="40" w:line="264"/>
            </w:pPr>
            <w:r>
              <w:rPr>
                <w:rFonts w:ascii="Calibri" w:cs="Calibri" w:eastAsia="Calibri" w:hAnsi="Calibri"/>
                <w:b/>
                <w:bCs/>
                <w:color w:val="133C3A"/>
                <w:sz w:val="18"/>
                <w:szCs w:val="18"/>
              </w:rPr>
              <w:t xml:space="preserve">Reference</w:t>
            </w:r>
          </w:p>
        </w:tc>
        <w:tc>
          <w:tcPr>
            <w:tcW w:type="dxa" w:w="3560"/>
            <w:shd w:fill="EDF3F2" w:color="auto" w:val="clear"/>
            <w:tcMar>
              <w:top w:type="dxa" w:w="90"/>
              <w:left w:type="dxa" w:w="120"/>
              <w:bottom w:type="dxa" w:w="90"/>
              <w:right w:type="dxa" w:w="120"/>
            </w:tcMar>
            <w:vAlign w:val="top"/>
          </w:tcPr>
          <w:p>
            <w:pPr>
              <w:spacing w:after="40" w:line="264"/>
            </w:pPr>
            <w:r>
              <w:rPr>
                <w:rFonts w:ascii="Calibri" w:cs="Calibri" w:eastAsia="Calibri" w:hAnsi="Calibri"/>
                <w:b/>
                <w:bCs/>
                <w:color w:val="133C3A"/>
                <w:sz w:val="18"/>
                <w:szCs w:val="18"/>
              </w:rPr>
              <w:t xml:space="preserve">What it contributes</w:t>
            </w:r>
          </w:p>
        </w:tc>
      </w:tr>
      <w:tr>
        <w:tc>
          <w:tcPr>
            <w:tcW w:type="dxa" w:w="560"/>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1</w:t>
            </w:r>
          </w:p>
        </w:tc>
        <w:tc>
          <w:tcPr>
            <w:tcW w:type="dxa" w:w="5960"/>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Kotte, H., Kravčík, M. and Duong-Trung, N. (2023) ‘Real-Time Posture Correction in Gym Exercises: A Computer Vision-Based Approach for Performance Analysis, Error Classification and Feedback’, MILeS’23: 3rd International Workshop on Multimodal Immersive Learning Systems, ECTEL 2023, Aveiro, Portugal, 4–8 September. CEUR Workshop Proceedings.</w:t>
            </w:r>
          </w:p>
        </w:tc>
        <w:tc>
          <w:tcPr>
            <w:tcW w:type="dxa" w:w="3560"/>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YOLOv7-pose gym posture feedback. Ideal joint-angle ranges treated as hyper-parameters a fitness expert configures.</w:t>
            </w:r>
          </w:p>
        </w:tc>
      </w:tr>
      <w:tr>
        <w:tc>
          <w:tcPr>
            <w:tcW w:type="dxa" w:w="560"/>
            <w:shd w:fill="F7F9FA" w:color="auto" w:val="clear"/>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2</w:t>
            </w:r>
          </w:p>
        </w:tc>
        <w:tc>
          <w:tcPr>
            <w:tcW w:type="dxa" w:w="5960"/>
            <w:shd w:fill="F7F9FA" w:color="auto" w:val="clear"/>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Mercadal-Baudart, C., Liu, C.-J., Farrell, G., Boyne, M., González Escribano, J., Smolic, A. and Simms, C. (2024) ‘Exercise quantification from single camera view markerless 3D pose estimation’, Heliyon, 10(6), e27596. doi:10.1016/j.heliyon.2024.e27596</w:t>
            </w:r>
          </w:p>
        </w:tc>
        <w:tc>
          <w:tcPr>
            <w:tcW w:type="dxa" w:w="3560"/>
            <w:shd w:fill="F7F9FA" w:color="auto" w:val="clear"/>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Defines the joint-angle metrics sports physiotherapists actually use, computes them from a single-camera 3D pose model, and validates against VICON motion capture.</w:t>
            </w:r>
          </w:p>
        </w:tc>
      </w:tr>
      <w:tr>
        <w:tc>
          <w:tcPr>
            <w:tcW w:type="dxa" w:w="560"/>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4</w:t>
            </w:r>
          </w:p>
        </w:tc>
        <w:tc>
          <w:tcPr>
            <w:tcW w:type="dxa" w:w="5960"/>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Chae, H.J., Kim, J.-B., Park, G., O’Sullivan, D.M., Seo, J. and Park, J.-J. (2023) ‘An Artificial Intelligence Exercise Coaching Mobile App: Development and Randomized Controlled Trial to Verify Its Effectiveness in Posture Correction’, Interactive Journal of Medical Research, 12, e37604. doi:10.2196/37604</w:t>
            </w:r>
          </w:p>
        </w:tc>
        <w:tc>
          <w:tcPr>
            <w:tcW w:type="dxa" w:w="3560"/>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CNN+LSTM squat classifier (85% test accuracy) plus a two-week randomised controlled trial of the resulting mobile app.</w:t>
            </w:r>
          </w:p>
        </w:tc>
      </w:tr>
      <w:tr>
        <w:tc>
          <w:tcPr>
            <w:tcW w:type="dxa" w:w="560"/>
            <w:shd w:fill="F7F9FA" w:color="auto" w:val="clear"/>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5</w:t>
            </w:r>
          </w:p>
        </w:tc>
        <w:tc>
          <w:tcPr>
            <w:tcW w:type="dxa" w:w="5960"/>
            <w:shd w:fill="F7F9FA" w:color="auto" w:val="clear"/>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Simoes, W., Reis, L., Araujo, C. and Maia Jr., J. (2024) ‘Accuracy Assessment of 2D Pose Estimation with MediaPipe for Physiotherapy Exercises’, Procedia Computer Science, 251, pp. 446–453. doi:10.1016/j.procs.2024.11.132</w:t>
            </w:r>
          </w:p>
        </w:tc>
        <w:tc>
          <w:tcPr>
            <w:tcW w:type="dxa" w:w="3560"/>
            <w:shd w:fill="F7F9FA" w:color="auto" w:val="clear"/>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MediaPipe plus a Naïve Bayes classifier for physiotherapy poses, with a user-configurable angular tolerance.</w:t>
            </w:r>
          </w:p>
        </w:tc>
      </w:tr>
      <w:tr>
        <w:tc>
          <w:tcPr>
            <w:tcW w:type="dxa" w:w="560"/>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6</w:t>
            </w:r>
          </w:p>
        </w:tc>
        <w:tc>
          <w:tcPr>
            <w:tcW w:type="dxa" w:w="5960"/>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Rao, P., Asha, C.S. and Raghavendra Rao, P. (2025) ‘Real-Time Posture Correction of Squat Exercise: A Deep Learning Approach for Performance Analysis and Error Correction’, IEEE Access, 13, pp. 39557–39571. doi:10.1109/ACCESS.2025.3545207</w:t>
            </w:r>
          </w:p>
        </w:tc>
        <w:tc>
          <w:tcPr>
            <w:tcW w:type="dxa" w:w="3560"/>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Stereo-camera squat classification into seven fault types (Bi-CGRU, 96.1%) and regression-based posture correction. Quotes published squat joint-angle ranges from Kotiuk et al. (2022).</w:t>
            </w:r>
          </w:p>
        </w:tc>
      </w:tr>
      <w:tr>
        <w:tc>
          <w:tcPr>
            <w:tcW w:type="dxa" w:w="560"/>
            <w:shd w:fill="F7F9FA" w:color="auto" w:val="clear"/>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7</w:t>
            </w:r>
          </w:p>
        </w:tc>
        <w:tc>
          <w:tcPr>
            <w:tcW w:type="dxa" w:w="5960"/>
            <w:shd w:fill="F7F9FA" w:color="auto" w:val="clear"/>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Dill, S., Rösch, A., Rohr, M., Güney, G., De Witte, L., Schwartz, E. and Hoog Antink, C. (2023) ‘Accuracy Evaluation of 3D Pose Estimation with MediaPipe Pose for Physical Exercises’, Current Directions in Biomedical Engineering, 9(1), pp. 563–566. doi:10.1515/cdbme-2023-1141</w:t>
            </w:r>
          </w:p>
        </w:tc>
        <w:tc>
          <w:tcPr>
            <w:tcW w:type="dxa" w:w="3560"/>
            <w:shd w:fill="F7F9FA" w:color="auto" w:val="clear"/>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Measures MediaPipe Pose against an Xsens motion-capture system. Reports joint-angle RMSE and body-width instability by camera angle and exercise.</w:t>
            </w:r>
          </w:p>
        </w:tc>
      </w:tr>
      <w:tr>
        <w:tc>
          <w:tcPr>
            <w:tcW w:type="dxa" w:w="560"/>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8</w:t>
            </w:r>
          </w:p>
        </w:tc>
        <w:tc>
          <w:tcPr>
            <w:tcW w:type="dxa" w:w="5960"/>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Dill, S., Ahmadi, A., Grimmer, M., Haufe, D., Rohr, M., Zhao, Y., Sharbafi, M. and Hoog Antink, C. (2024) ‘Accuracy Evaluation of 3D Pose Reconstruction Algorithms Through Stereo Camera Information Fusion for Physical Exercises with MediaPipe Pose’, Sensors, 24(23), 7772. doi:10.3390/s24237772</w:t>
            </w:r>
          </w:p>
        </w:tc>
        <w:tc>
          <w:tcPr>
            <w:tcW w:type="dxa" w:w="3560"/>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810 squat repetitions from nine subjects, MediaPipe against Qualisys motion capture. Reports per-limb knee-angle RMSE, a filter comparison, and an explicit definition of a correct squat.</w:t>
            </w:r>
          </w:p>
        </w:tc>
      </w:tr>
      <w:tr>
        <w:tc>
          <w:tcPr>
            <w:tcW w:type="dxa" w:w="560"/>
            <w:shd w:fill="F7F9FA" w:color="auto" w:val="clear"/>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9</w:t>
            </w:r>
          </w:p>
        </w:tc>
        <w:tc>
          <w:tcPr>
            <w:tcW w:type="dxa" w:w="5960"/>
            <w:shd w:fill="F7F9FA" w:color="auto" w:val="clear"/>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Yadav, S.K., Agarwal, A., Kumar, A., Tiwari, K., Pandey, H.M. and Akbar, S.A. (2022) ‘YogNet: A two-stream network for realtime multiperson yoga action recognition and posture correction’, Knowledge-Based Systems, 250, 109097. doi:10.1016/j.knosys.2022.109097</w:t>
            </w:r>
          </w:p>
        </w:tc>
        <w:tc>
          <w:tcPr>
            <w:tcW w:type="dxa" w:w="3560"/>
            <w:shd w:fill="F7F9FA" w:color="auto" w:val="clear"/>
            <w:tcMar>
              <w:top w:type="dxa" w:w="90"/>
              <w:left w:type="dxa" w:w="120"/>
              <w:bottom w:type="dxa" w:w="90"/>
              <w:right w:type="dxa" w:w="120"/>
            </w:tcMar>
            <w:vAlign w:val="top"/>
          </w:tcPr>
          <w:p>
            <w:pPr>
              <w:spacing w:after="40" w:line="264"/>
            </w:pPr>
            <w:r>
              <w:rPr>
                <w:rFonts w:ascii="Calibri" w:cs="Calibri" w:eastAsia="Calibri" w:hAnsi="Calibri"/>
                <w:color w:val="1A1A1A"/>
                <w:sz w:val="18"/>
                <w:szCs w:val="18"/>
              </w:rPr>
              <w:t xml:space="preserve">Two-stream yoga recognition (96.31% fused) with a posture-correction table pairing joint-angle thresholds to fixed correction sentences.</w:t>
            </w:r>
          </w:p>
        </w:tc>
      </w:tr>
    </w:tbl>
    <w:p>
      <w:r>
        <w:br w:type="page"/>
      </w:r>
    </w:p>
    <w:p>
      <w:pPr>
        <w:pStyle w:val="Heading1"/>
        <w:pBdr>
          <w:bottom w:val="single" w:color="1F6F6B" w:sz="8" w:space="6"/>
        </w:pBdr>
        <w:spacing w:after="180" w:before="400"/>
      </w:pPr>
      <w:r>
        <w:rPr>
          <w:rFonts w:ascii="Calibri" w:cs="Calibri" w:eastAsia="Calibri" w:hAnsi="Calibri"/>
          <w:b/>
          <w:bCs/>
          <w:color w:val="1F6F6B"/>
          <w:sz w:val="30"/>
          <w:szCs w:val="30"/>
        </w:rPr>
        <w:t xml:space="preserve">3. Provenance: what came from where</w:t>
      </w:r>
    </w:p>
    <w:p>
      <w:pPr>
        <w:spacing w:after="120" w:before="0" w:line="276"/>
      </w:pPr>
      <w:r>
        <w:rPr>
          <w:rFonts w:ascii="Calibri" w:cs="Calibri" w:eastAsia="Calibri" w:hAnsi="Calibri"/>
          <w:color w:val="1A1A1A"/>
          <w:sz w:val="21"/>
          <w:szCs w:val="21"/>
        </w:rPr>
        <w:t xml:space="preserve">One row per change. The fourth column is the important one — it is what distinguishes reuse with attribution from your own contribution, and it is the column to draw on when a supervisor asks what is yours.</w:t>
      </w:r>
    </w:p>
    <w:p>
      <w:pPr>
        <w:spacing w:after="80"/>
      </w:pPr>
    </w:p>
    <w:p>
      <w:pPr>
        <w:pStyle w:val="Heading3"/>
        <w:spacing w:after="90" w:before="220"/>
      </w:pPr>
      <w:r>
        <w:rPr>
          <w:rFonts w:ascii="Calibri" w:cs="Calibri" w:eastAsia="Calibri" w:hAnsi="Calibri"/>
          <w:b/>
          <w:bCs/>
          <w:color w:val="133C3A"/>
          <w:sz w:val="21"/>
          <w:szCs w:val="21"/>
        </w:rPr>
        <w:t xml:space="preserve">How to read the fourth column</w:t>
      </w:r>
    </w:p>
    <w:p>
      <w:pPr>
        <w:pStyle w:val="ListParagraph"/>
        <w:numPr>
          <w:ilvl w:val="0"/>
          <w:numId w:val="2"/>
        </w:numPr>
        <w:spacing w:after="90" w:line="276"/>
      </w:pPr>
      <w:r>
        <w:rPr>
          <w:rFonts w:ascii="Calibri" w:cs="Calibri" w:eastAsia="Calibri" w:hAnsi="Calibri"/>
          <w:sz w:val="21"/>
          <w:szCs w:val="21"/>
        </w:rPr>
        <w:t xml:space="preserve">APPLIED DIRECTLY — the paper's number or criterion is used as published, with attribution.</w:t>
      </w:r>
    </w:p>
    <w:p>
      <w:pPr>
        <w:pStyle w:val="ListParagraph"/>
        <w:numPr>
          <w:ilvl w:val="0"/>
          <w:numId w:val="2"/>
        </w:numPr>
        <w:spacing w:after="90" w:line="276"/>
      </w:pPr>
      <w:r>
        <w:rPr>
          <w:rFonts w:ascii="Calibri" w:cs="Calibri" w:eastAsia="Calibri" w:hAnsi="Calibri"/>
          <w:sz w:val="21"/>
          <w:szCs w:val="21"/>
        </w:rPr>
        <w:t xml:space="preserve">ADAPTED — the paper's value is used, but changed for a stated reason (different angle convention, different population, different recording conditions). The adaptation is recorded in the code.</w:t>
      </w:r>
    </w:p>
    <w:p>
      <w:pPr>
        <w:pStyle w:val="ListParagraph"/>
        <w:numPr>
          <w:ilvl w:val="0"/>
          <w:numId w:val="2"/>
        </w:numPr>
        <w:spacing w:after="90" w:line="276"/>
      </w:pPr>
      <w:r>
        <w:rPr>
          <w:rFonts w:ascii="Calibri" w:cs="Calibri" w:eastAsia="Calibri" w:hAnsi="Calibri"/>
          <w:sz w:val="21"/>
          <w:szCs w:val="21"/>
        </w:rPr>
        <w:t xml:space="preserve">EXTENSION — the paper supplied the starting point; FormFix does something with it the paper does not.</w:t>
      </w:r>
    </w:p>
    <w:p>
      <w:pPr>
        <w:pStyle w:val="ListParagraph"/>
        <w:numPr>
          <w:ilvl w:val="0"/>
          <w:numId w:val="2"/>
        </w:numPr>
        <w:spacing w:after="90" w:line="276"/>
      </w:pPr>
      <w:r>
        <w:rPr>
          <w:rFonts w:ascii="Calibri" w:cs="Calibri" w:eastAsia="Calibri" w:hAnsi="Calibri"/>
          <w:sz w:val="21"/>
          <w:szCs w:val="21"/>
        </w:rPr>
        <w:t xml:space="preserve">CONVERGENT — FormFix already did this before the paper was read. Cited as agreement, not as a source.</w:t>
      </w:r>
    </w:p>
    <w:p>
      <w:pPr>
        <w:pStyle w:val="ListParagraph"/>
        <w:numPr>
          <w:ilvl w:val="0"/>
          <w:numId w:val="2"/>
        </w:numPr>
        <w:spacing w:after="90" w:line="276"/>
      </w:pPr>
      <w:r>
        <w:rPr>
          <w:rFonts w:ascii="Calibri" w:cs="Calibri" w:eastAsia="Calibri" w:hAnsi="Calibri"/>
          <w:sz w:val="21"/>
          <w:szCs w:val="21"/>
        </w:rPr>
        <w:t xml:space="preserve">ORIGINAL — no paper contributed this.</w:t>
      </w:r>
    </w:p>
    <w:p>
      <w:pPr>
        <w:spacing w:after="140"/>
      </w:pPr>
    </w:p>
    <w:tbl>
      <w:tblPr>
        <w:tblW w:type="dxa" w:w="10080"/>
        <w:tblBorders>
          <w:top w:val="single" w:color="D8DEE4" w:sz="4"/>
          <w:left w:val="single" w:color="D8DEE4" w:sz="4"/>
          <w:bottom w:val="single" w:color="D8DEE4" w:sz="4"/>
          <w:right w:val="single" w:color="D8DEE4" w:sz="4"/>
          <w:insideH w:val="single" w:color="D8DEE4" w:sz="2"/>
          <w:insideV w:val="single" w:color="D8DEE4" w:sz="2"/>
        </w:tblBorders>
      </w:tblPr>
      <w:tblGrid>
        <w:gridCol w:w="2340"/>
        <w:gridCol w:w="620"/>
        <w:gridCol w:w="3480"/>
        <w:gridCol w:w="3640"/>
      </w:tblGrid>
      <w:tr>
        <w:trPr>
          <w:tblHeader/>
        </w:trPr>
        <w:tc>
          <w:tcPr>
            <w:tcW w:type="dxa" w:w="2340"/>
            <w:shd w:fill="EDF3F2" w:color="auto" w:val="clear"/>
            <w:tcMar>
              <w:top w:type="dxa" w:w="90"/>
              <w:left w:type="dxa" w:w="120"/>
              <w:bottom w:type="dxa" w:w="90"/>
              <w:right w:type="dxa" w:w="120"/>
            </w:tcMar>
            <w:vAlign w:val="top"/>
          </w:tcPr>
          <w:p>
            <w:pPr>
              <w:spacing w:after="40" w:line="264"/>
            </w:pPr>
            <w:r>
              <w:rPr>
                <w:rFonts w:ascii="Calibri" w:cs="Calibri" w:eastAsia="Calibri" w:hAnsi="Calibri"/>
                <w:b/>
                <w:bCs/>
                <w:color w:val="133C3A"/>
                <w:sz w:val="18"/>
                <w:szCs w:val="18"/>
              </w:rPr>
              <w:t xml:space="preserve">Change in FormFix</w:t>
            </w:r>
          </w:p>
        </w:tc>
        <w:tc>
          <w:tcPr>
            <w:tcW w:type="dxa" w:w="620"/>
            <w:shd w:fill="EDF3F2" w:color="auto" w:val="clear"/>
            <w:tcMar>
              <w:top w:type="dxa" w:w="90"/>
              <w:left w:type="dxa" w:w="120"/>
              <w:bottom w:type="dxa" w:w="90"/>
              <w:right w:type="dxa" w:w="120"/>
            </w:tcMar>
            <w:vAlign w:val="top"/>
          </w:tcPr>
          <w:p>
            <w:pPr>
              <w:spacing w:after="40" w:line="264"/>
            </w:pPr>
            <w:r>
              <w:rPr>
                <w:rFonts w:ascii="Calibri" w:cs="Calibri" w:eastAsia="Calibri" w:hAnsi="Calibri"/>
                <w:b/>
                <w:bCs/>
                <w:color w:val="133C3A"/>
                <w:sz w:val="18"/>
                <w:szCs w:val="18"/>
              </w:rPr>
              <w:t xml:space="preserve">Ref.</w:t>
            </w:r>
          </w:p>
        </w:tc>
        <w:tc>
          <w:tcPr>
            <w:tcW w:type="dxa" w:w="3480"/>
            <w:shd w:fill="EDF3F2" w:color="auto" w:val="clear"/>
            <w:tcMar>
              <w:top w:type="dxa" w:w="90"/>
              <w:left w:type="dxa" w:w="120"/>
              <w:bottom w:type="dxa" w:w="90"/>
              <w:right w:type="dxa" w:w="120"/>
            </w:tcMar>
            <w:vAlign w:val="top"/>
          </w:tcPr>
          <w:p>
            <w:pPr>
              <w:spacing w:after="40" w:line="264"/>
            </w:pPr>
            <w:r>
              <w:rPr>
                <w:rFonts w:ascii="Calibri" w:cs="Calibri" w:eastAsia="Calibri" w:hAnsi="Calibri"/>
                <w:b/>
                <w:bCs/>
                <w:color w:val="133C3A"/>
                <w:sz w:val="18"/>
                <w:szCs w:val="18"/>
              </w:rPr>
              <w:t xml:space="preserve">What was taken</w:t>
            </w:r>
          </w:p>
        </w:tc>
        <w:tc>
          <w:tcPr>
            <w:tcW w:type="dxa" w:w="3640"/>
            <w:shd w:fill="EDF3F2" w:color="auto" w:val="clear"/>
            <w:tcMar>
              <w:top w:type="dxa" w:w="90"/>
              <w:left w:type="dxa" w:w="120"/>
              <w:bottom w:type="dxa" w:w="90"/>
              <w:right w:type="dxa" w:w="120"/>
            </w:tcMar>
            <w:vAlign w:val="top"/>
          </w:tcPr>
          <w:p>
            <w:pPr>
              <w:spacing w:after="40" w:line="264"/>
            </w:pPr>
            <w:r>
              <w:rPr>
                <w:rFonts w:ascii="Calibri" w:cs="Calibri" w:eastAsia="Calibri" w:hAnsi="Calibri"/>
                <w:b/>
                <w:bCs/>
                <w:color w:val="133C3A"/>
                <w:sz w:val="18"/>
                <w:szCs w:val="18"/>
              </w:rPr>
              <w:t xml:space="preserve">How FormFix differs or extends</w:t>
            </w:r>
          </w:p>
        </w:tc>
      </w:tr>
      <w:tr>
        <w:tc>
          <w:tcPr>
            <w:tcW w:type="dxa" w:w="2340"/>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Measurement-uncertainty layer</w:t>
            </w:r>
          </w:p>
          <w:p>
            <w:pPr>
              <w:spacing w:after="40" w:line="264"/>
            </w:pPr>
            <w:r>
              <w:rPr>
                <w:rFonts w:ascii="Calibri" w:cs="Calibri" w:eastAsia="Calibri" w:hAnsi="Calibri"/>
                <w:b w:val="false"/>
                <w:bCs w:val="false"/>
                <w:color w:val="1A1A1A"/>
                <w:sz w:val="18"/>
                <w:szCs w:val="18"/>
              </w:rPr>
              <w:t xml:space="preserve">(exercises/common/uncertainty.py — new)</w:t>
            </w:r>
          </w:p>
        </w:tc>
        <w:tc>
          <w:tcPr>
            <w:tcW w:type="dxa" w:w="62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7, 8</w:t>
            </w:r>
          </w:p>
        </w:tc>
        <w:tc>
          <w:tcPr>
            <w:tcW w:type="dxa" w:w="348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The published error figures themselves. Knee-angle RMSE of 10.7° for the near limb and 25.1° for the occluded far limb from a single lateral camera (8); 9.14° at a good camera angle rising to 14.48° at a poor one during squats (7); 5–34% instability in MediaPipe's estimate of a fixed body width (7).</w:t>
            </w:r>
          </w:p>
        </w:tc>
        <w:tc>
          <w:tcPr>
            <w:tcW w:type="dxa" w:w="364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EXTENSION. Both papers report accuracy in one section and neither feeds it back into a decision rule. FormFix carries the published error of each measurement through to the point where the verdict is formed, and marks a finding whose margin falls inside that error as indicative rather than established. No reviewed paper does this.</w:t>
            </w:r>
          </w:p>
        </w:tc>
      </w:tr>
      <w:tr>
        <w:tc>
          <w:tcPr>
            <w:tcW w:type="dxa" w:w="2340"/>
            <w:shd w:fill="F7F9FA" w:color="auto" w:val="clear"/>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Acceptability criterion for a measurement</w:t>
            </w:r>
          </w:p>
          <w:p>
            <w:pPr>
              <w:spacing w:after="40" w:line="264"/>
            </w:pPr>
            <w:r>
              <w:rPr>
                <w:rFonts w:ascii="Calibri" w:cs="Calibri" w:eastAsia="Calibri" w:hAnsi="Calibri"/>
                <w:b w:val="false"/>
                <w:bCs w:val="false"/>
                <w:color w:val="1A1A1A"/>
                <w:sz w:val="18"/>
                <w:szCs w:val="18"/>
              </w:rPr>
              <w:t xml:space="preserve">(ACCEPTABILITY_THRESHOLDS)</w:t>
            </w:r>
          </w:p>
        </w:tc>
        <w:tc>
          <w:tcPr>
            <w:tcW w:type="dxa" w:w="62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2</w:t>
            </w:r>
          </w:p>
        </w:tc>
        <w:tc>
          <w:tcPr>
            <w:tcW w:type="dxa" w:w="348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The two bars used to judge whether a metric is usable: below 12° is 'good', because it beats a physiotherapist's by-eye assessment in a low-speed functional movement; below 6° is 'very good', being less than half of it.</w:t>
            </w:r>
          </w:p>
        </w:tc>
        <w:tc>
          <w:tcPr>
            <w:tcW w:type="dxa" w:w="364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APPLIED DIRECTLY, to FormFix's own numbers. Every angular band is labelled against these bars. Two of FormFix's measurements clear them (trunk inclination ±6.5°, knee angle ±10.7°) and two do not (bilateral knee difference ±15.1°, far-limb knee angle ±25.1°). The bars are the paper's; the verdicts on FormFix are new.</w:t>
            </w:r>
          </w:p>
        </w:tc>
      </w:tr>
      <w:tr>
        <w:tc>
          <w:tcPr>
            <w:tcW w:type="dxa" w:w="2340"/>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Goniometry benchmark</w:t>
            </w:r>
          </w:p>
          <w:p>
            <w:pPr>
              <w:spacing w:after="40" w:line="264"/>
            </w:pPr>
            <w:r>
              <w:rPr>
                <w:rFonts w:ascii="Calibri" w:cs="Calibri" w:eastAsia="Calibri" w:hAnsi="Calibri"/>
                <w:b w:val="false"/>
                <w:bCs w:val="false"/>
                <w:color w:val="1A1A1A"/>
                <w:sz w:val="18"/>
                <w:szCs w:val="18"/>
              </w:rPr>
              <w:t xml:space="preserve">(GONIOMETRY_REFERENCE)</w:t>
            </w:r>
          </w:p>
        </w:tc>
        <w:tc>
          <w:tcPr>
            <w:tcW w:type="dxa" w:w="62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8</w:t>
            </w:r>
          </w:p>
        </w:tc>
        <w:tc>
          <w:tcPr>
            <w:tcW w:type="dxa" w:w="348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Hancock et al.'s (2018) minimum significant differences, quoted by paper 8: digital inclinometer 6°, long-arm goniometer 10°, visual estimation and short-arm goniometry 14° — all on a stationary patient.</w:t>
            </w:r>
          </w:p>
        </w:tc>
        <w:tc>
          <w:tcPr>
            <w:tcW w:type="dxa" w:w="364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QUOTED as context, so a reader can place FormFix's 10.7° band against clinical instruments rather than against nothing.</w:t>
            </w:r>
          </w:p>
        </w:tc>
      </w:tr>
      <w:tr>
        <w:tc>
          <w:tcPr>
            <w:tcW w:type="dxa" w:w="2340"/>
            <w:shd w:fill="F7F9FA" w:color="auto" w:val="clear"/>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Far-limb exclusion</w:t>
            </w:r>
          </w:p>
          <w:p>
            <w:pPr>
              <w:spacing w:after="40" w:line="264"/>
            </w:pPr>
            <w:r>
              <w:rPr>
                <w:rFonts w:ascii="Calibri" w:cs="Calibri" w:eastAsia="Calibri" w:hAnsi="Calibri"/>
                <w:b w:val="false"/>
                <w:bCs w:val="false"/>
                <w:color w:val="1A1A1A"/>
                <w:sz w:val="18"/>
                <w:szCs w:val="18"/>
              </w:rPr>
              <w:t xml:space="preserve">(side selection, symmetry view gating)</w:t>
            </w:r>
          </w:p>
        </w:tc>
        <w:tc>
          <w:tcPr>
            <w:tcW w:type="dxa" w:w="62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8</w:t>
            </w:r>
          </w:p>
        </w:tc>
        <w:tc>
          <w:tcPr>
            <w:tcW w:type="dxa" w:w="348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The finding that the occluded limb's knee angle carries 25.1° RMSE against 10.7° for the near limb in the same lateral recording.</w:t>
            </w:r>
          </w:p>
        </w:tc>
        <w:tc>
          <w:tcPr>
            <w:tcW w:type="dxa" w:w="364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CONFIRMATION plus a quantified justification. FormFix already selected the more visible body side and already restricted left/right evenness to frontal and diagonal views; both decisions were made on reasoning, and this paper supplies the number that justifies them. The 25.1° figure is now an explicit band in the code.</w:t>
            </w:r>
          </w:p>
        </w:tc>
      </w:tr>
      <w:tr>
        <w:tc>
          <w:tcPr>
            <w:tcW w:type="dxa" w:w="2340"/>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Zero-phase filtering and the filter comparison</w:t>
            </w:r>
          </w:p>
          <w:p>
            <w:pPr>
              <w:spacing w:after="40" w:line="264"/>
            </w:pPr>
            <w:r>
              <w:rPr>
                <w:rFonts w:ascii="Calibri" w:cs="Calibri" w:eastAsia="Calibri" w:hAnsi="Calibri"/>
                <w:b w:val="false"/>
                <w:bCs w:val="false"/>
                <w:color w:val="1A1A1A"/>
                <w:sz w:val="18"/>
                <w:szCs w:val="18"/>
              </w:rPr>
              <w:t xml:space="preserve">(analysis/filters.py, scripts/compare_filters.py — new)</w:t>
            </w:r>
          </w:p>
        </w:tc>
        <w:tc>
          <w:tcPr>
            <w:tcW w:type="dxa" w:w="62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8</w:t>
            </w:r>
          </w:p>
        </w:tc>
        <w:tc>
          <w:tcPr>
            <w:tcW w:type="dxa" w:w="348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The diagnosis and the candidate set. Paper 8 grid-searched a moving-average, a Butterworth low-pass and a Savitzky–Golay filter, reported that the moving average shows 'a visible delay in the filtered signal' at the top and bottom of a squat, and selected a 4th-order Butterworth at 2 Hz.</w:t>
            </w:r>
          </w:p>
        </w:tc>
        <w:tc>
          <w:tcPr>
            <w:tcW w:type="dxa" w:w="364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EXTENSION, with a different result. Their criterion was overall landmark RMSE; FormFix's is the bias in the minimum knee angle at the bottom of each repetition. Re-running the comparison on that criterion shows the ranking REVERSES with the shape of the turnaround: the 2 Hz Butterworth is nearly unbiased on a smooth repetition (+0.04°) and the worst of the four on a sharp one (+7.67°). FormFix therefore makes the filter a setting, keeps its existing default, and adds each filter's measured bias to the depth uncertainty band.</w:t>
            </w:r>
          </w:p>
        </w:tc>
      </w:tr>
      <w:tr>
        <w:tc>
          <w:tcPr>
            <w:tcW w:type="dxa" w:w="2340"/>
            <w:shd w:fill="F7F9FA" w:color="auto" w:val="clear"/>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Filter implementation</w:t>
            </w:r>
          </w:p>
          <w:p>
            <w:pPr>
              <w:spacing w:after="40" w:line="264"/>
            </w:pPr>
            <w:r>
              <w:rPr>
                <w:rFonts w:ascii="Calibri" w:cs="Calibri" w:eastAsia="Calibri" w:hAnsi="Calibri"/>
                <w:b w:val="false"/>
                <w:bCs w:val="false"/>
                <w:color w:val="1A1A1A"/>
                <w:sz w:val="18"/>
                <w:szCs w:val="18"/>
              </w:rPr>
              <w:t xml:space="preserve">(Butterworth, Savitzky–Golay, filtfilt)</w:t>
            </w:r>
          </w:p>
        </w:tc>
        <w:tc>
          <w:tcPr>
            <w:tcW w:type="dxa" w:w="62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w:t>
            </w:r>
          </w:p>
        </w:tc>
        <w:tc>
          <w:tcPr>
            <w:tcW w:type="dxa" w:w="348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Nothing. The papers name the filters; the implementations are standard signal processing.</w:t>
            </w:r>
          </w:p>
        </w:tc>
        <w:tc>
          <w:tcPr>
            <w:tcW w:type="dxa" w:w="364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ORIGINAL IMPLEMENTATION. Derived in NumPy from the bilinear transform of the analogue Butterworth prototype and the pseudo-inverse of the Savitzky–Golay window's Vandermonde matrix, because adding SciPy would break the pinned macOS NumPy-1 install that MediaPipe needs. Tested against analytically known behaviour (exact −3.0103 dB at cut-off, unity DC gain, zero at Nyquist, monotonic roll-off, exact reproduction of a quadratic) rather than against stored output.</w:t>
            </w:r>
          </w:p>
        </w:tc>
      </w:tr>
      <w:tr>
        <w:tc>
          <w:tcPr>
            <w:tcW w:type="dxa" w:w="2340"/>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Literature threshold preset</w:t>
            </w:r>
          </w:p>
          <w:p>
            <w:pPr>
              <w:spacing w:after="40" w:line="264"/>
            </w:pPr>
            <w:r>
              <w:rPr>
                <w:rFonts w:ascii="Calibri" w:cs="Calibri" w:eastAsia="Calibri" w:hAnsi="Calibri"/>
                <w:b w:val="false"/>
                <w:bCs w:val="false"/>
                <w:color w:val="1A1A1A"/>
                <w:sz w:val="18"/>
                <w:szCs w:val="18"/>
              </w:rPr>
              <w:t xml:space="preserve">(exercises/squat/literature_config.py — new)</w:t>
            </w:r>
          </w:p>
        </w:tc>
        <w:tc>
          <w:tcPr>
            <w:tcW w:type="dxa" w:w="62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6, 8, 5</w:t>
            </w:r>
          </w:p>
        </w:tc>
        <w:tc>
          <w:tcPr>
            <w:tcW w:type="dxa" w:w="348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Kotiuk et al.'s (2022) horizontal-squat angles as quoted in paper 6: knee flexion 113 ± 7°, hip flexion 128 ± 9°, ankle dorsiflexion 23 ± 6°. Paper 8's finding that correct repetitions sat about 20° from faulty ones. Paper 5's 20° beginner / 10° experienced angular tolerance.</w:t>
            </w:r>
          </w:p>
        </w:tc>
        <w:tc>
          <w:tcPr>
            <w:tcW w:type="dxa" w:w="364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ADAPTED, and deliberately NOT adopted as the default. Two adaptations are recorded in the code: the angle convention differs (Kotiuk et al. report flexion, FormFix measures the interior angle, so 113° flexion is 67° interior), and their supervised parallel squat is not FormFix's unsupervised phone recording. The preset takes the most permissive traceable reading and exists to be compared against the operational defaults via --preset literature, not to replace them.</w:t>
            </w:r>
          </w:p>
        </w:tc>
      </w:tr>
      <w:tr>
        <w:tc>
          <w:tcPr>
            <w:tcW w:type="dxa" w:w="2340"/>
            <w:shd w:fill="F7F9FA" w:color="auto" w:val="clear"/>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Correct-squat criteria</w:t>
            </w:r>
          </w:p>
          <w:p>
            <w:pPr>
              <w:spacing w:after="40" w:line="264"/>
            </w:pPr>
            <w:r>
              <w:rPr>
                <w:rFonts w:ascii="Calibri" w:cs="Calibri" w:eastAsia="Calibri" w:hAnsi="Calibri"/>
                <w:b w:val="false"/>
                <w:bCs w:val="false"/>
                <w:color w:val="1A1A1A"/>
                <w:sz w:val="18"/>
                <w:szCs w:val="18"/>
              </w:rPr>
              <w:t xml:space="preserve">(the six squat rules)</w:t>
            </w:r>
          </w:p>
        </w:tc>
        <w:tc>
          <w:tcPr>
            <w:tcW w:type="dxa" w:w="62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8</w:t>
            </w:r>
          </w:p>
        </w:tc>
        <w:tc>
          <w:tcPr>
            <w:tcW w:type="dxa" w:w="348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Their protocol definition: shoulder-width stance with parallel or slightly V-shaped feet, heels on the floor throughout, spine straight throughout, both legs loaded symmetrically. Fault conditions: excessive forward bending, lateral weight shift.</w:t>
            </w:r>
          </w:p>
        </w:tc>
        <w:tc>
          <w:tcPr>
            <w:tcW w:type="dxa" w:w="364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CONVERGENT, not copied. FormFix's heel stability, torso lean, left/right evenness and depth rules were written before this paper was read and match a protocol designed by a biomechanics laboratory. The agreement is itself the finding and should be reported as convergent validity. No rule was added or changed as a result.</w:t>
            </w:r>
          </w:p>
        </w:tc>
      </w:tr>
      <w:tr>
        <w:tc>
          <w:tcPr>
            <w:tcW w:type="dxa" w:w="2340"/>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Trunk angle measured against the athlete's own standing posture</w:t>
            </w:r>
          </w:p>
        </w:tc>
        <w:tc>
          <w:tcPr>
            <w:tcW w:type="dxa" w:w="62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2</w:t>
            </w:r>
          </w:p>
        </w:tc>
        <w:tc>
          <w:tcPr>
            <w:tcW w:type="dxa" w:w="348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The convention that trunk angle to vertical is defined as 0° in quiet standing.</w:t>
            </w:r>
          </w:p>
        </w:tc>
        <w:tc>
          <w:tcPr>
            <w:tcW w:type="dxa" w:w="364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CONFIRMATION. FormFix already measured trunk lean against a per-video standing baseline, originally as an engineering decision about camera tilt. It turns out to be this literature's convention, and now has a citation instead of only a rationale.</w:t>
            </w:r>
          </w:p>
        </w:tc>
      </w:tr>
      <w:tr>
        <w:tc>
          <w:tcPr>
            <w:tcW w:type="dxa" w:w="2340"/>
            <w:shd w:fill="F7F9FA" w:color="auto" w:val="clear"/>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Mid-point averaging for side-view landmarks</w:t>
            </w:r>
          </w:p>
        </w:tc>
        <w:tc>
          <w:tcPr>
            <w:tcW w:type="dxa" w:w="62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9</w:t>
            </w:r>
          </w:p>
        </w:tc>
        <w:tc>
          <w:tcPr>
            <w:tcW w:type="dxa" w:w="348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YogNet averages the keypoints that should coincide in an ideal side view but do not in practice (s_mid = (p1+p2+p3)/3) before computing the waist angle.</w:t>
            </w:r>
          </w:p>
        </w:tc>
        <w:tc>
          <w:tcPr>
            <w:tcW w:type="dxa" w:w="364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CONVERGENT. FormFix already uses mid-hip and mid-shoulder points for trunk inclination for the same reason. Cited as prior art for the technique rather than adopted from it.</w:t>
            </w:r>
          </w:p>
        </w:tc>
      </w:tr>
      <w:tr>
        <w:tc>
          <w:tcPr>
            <w:tcW w:type="dxa" w:w="2340"/>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Declarative rule specification</w:t>
            </w:r>
          </w:p>
          <w:p>
            <w:pPr>
              <w:spacing w:after="40" w:line="264"/>
            </w:pPr>
            <w:r>
              <w:rPr>
                <w:rFonts w:ascii="Calibri" w:cs="Calibri" w:eastAsia="Calibri" w:hAnsi="Calibri"/>
                <w:b w:val="false"/>
                <w:bCs w:val="false"/>
                <w:color w:val="1A1A1A"/>
                <w:sz w:val="18"/>
                <w:szCs w:val="18"/>
              </w:rPr>
              <w:t xml:space="preserve">(exercises/common/spec.py)</w:t>
            </w:r>
          </w:p>
        </w:tc>
        <w:tc>
          <w:tcPr>
            <w:tcW w:type="dxa" w:w="62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9, 1</w:t>
            </w:r>
          </w:p>
        </w:tc>
        <w:tc>
          <w:tcPr>
            <w:tcW w:type="dxa" w:w="348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The shape: a table pairing each joint-angle threshold with a fixed correction sentence (9); ideal angle ranges as expert-configurable hyper-parameters (1).</w:t>
            </w:r>
          </w:p>
        </w:tc>
        <w:tc>
          <w:tcPr>
            <w:tcW w:type="dxa" w:w="364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CONFIRMATION plus extension. FormFix's RuleSpec carries more per rule than either — the movement phase the check is valid in, which camera views can support it, how persistently a violation must hold, and a provenance string for its thresholds — because FormFix has to be able to say what it CANNOT assess. Neither paper's table has that concept.</w:t>
            </w:r>
          </w:p>
        </w:tc>
      </w:tr>
      <w:tr>
        <w:tc>
          <w:tcPr>
            <w:tcW w:type="dxa" w:w="2340"/>
            <w:shd w:fill="F7F9FA" w:color="auto" w:val="clear"/>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Normalisation and smoothing of the pose sequence</w:t>
            </w:r>
          </w:p>
        </w:tc>
        <w:tc>
          <w:tcPr>
            <w:tcW w:type="dxa" w:w="62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4</w:t>
            </w:r>
          </w:p>
        </w:tc>
        <w:tc>
          <w:tcPr>
            <w:tcW w:type="dxa" w:w="348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Their preprocessing: select a standing reference frame early in the video, normalise so the hip maps to the origin and the torso to unit length, then Gaussian-smooth each keypoint sequence.</w:t>
            </w:r>
          </w:p>
        </w:tc>
        <w:tc>
          <w:tcPr>
            <w:tcW w:type="dxa" w:w="364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CONVERGENT. FormFix independently uses a per-video standing baseline, body-scale normalisation and EMA smoothing. Cited as agreement on approach; no code was taken.</w:t>
            </w:r>
          </w:p>
        </w:tc>
      </w:tr>
      <w:tr>
        <w:tc>
          <w:tcPr>
            <w:tcW w:type="dxa" w:w="2340"/>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Refusal to claim knee valgus or spinal curvature</w:t>
            </w:r>
          </w:p>
        </w:tc>
        <w:tc>
          <w:tcPr>
            <w:tcW w:type="dxa" w:w="62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2</w:t>
            </w:r>
          </w:p>
        </w:tc>
        <w:tc>
          <w:tcPr>
            <w:tcW w:type="dxa" w:w="348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Nothing taken — the contrast is the point. Their metric set includes knee varus/valgus because they lift to 3D from a model trained on marker data.</w:t>
            </w:r>
          </w:p>
        </w:tc>
        <w:tc>
          <w:tcPr>
            <w:tcW w:type="dxa" w:w="364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ORIGINAL POSITION. FormFix has one 2D camera, and a valgus collapse is a motion out of the image plane. FormFix explicitly refuses to report it. The difference between what the two systems claim is a direct consequence of what each can see.</w:t>
            </w:r>
          </w:p>
        </w:tc>
      </w:tr>
      <w:tr>
        <w:tc>
          <w:tcPr>
            <w:tcW w:type="dxa" w:w="2340"/>
            <w:shd w:fill="F7F9FA" w:color="auto" w:val="clear"/>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Evaluation design and the absence of an efficacy claim</w:t>
            </w:r>
          </w:p>
        </w:tc>
        <w:tc>
          <w:tcPr>
            <w:tcW w:type="dxa" w:w="62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4</w:t>
            </w:r>
          </w:p>
        </w:tc>
        <w:tc>
          <w:tcPr>
            <w:tcW w:type="dxa" w:w="348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The standard: a two-week randomised controlled trial with a control group and pre/mid/post measurements. Squat score improved significantly in the app group (p = .001) and not in the control (p = .13); knee range of motion improved 12.8% and 15.9% against 0.9% and 3.6%.</w:t>
            </w:r>
          </w:p>
        </w:tc>
        <w:tc>
          <w:tcPr>
            <w:tcW w:type="dxa" w:w="364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ADOPTED AS A LIMITATION. FormFix has run no user study and makes no efficacy claim. Naming this paper as the standard FormFix has not met is more useful in a report than not mentioning it. Their use of Google AutoML as a baseline because no suitable prior baseline existed is also the honest precedent for FormFix having no accuracy figure yet.</w:t>
            </w:r>
          </w:p>
        </w:tc>
      </w:tr>
      <w:tr>
        <w:tc>
          <w:tcPr>
            <w:tcW w:type="dxa" w:w="2340"/>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Per-user strictness setting</w:t>
            </w:r>
          </w:p>
        </w:tc>
        <w:tc>
          <w:tcPr>
            <w:tcW w:type="dxa" w:w="62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5</w:t>
            </w:r>
          </w:p>
        </w:tc>
        <w:tc>
          <w:tcPr>
            <w:tcW w:type="dxa" w:w="348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Their user-changeable threshold: 20° for a beginner, under 10° for an experienced user, on the ground that flexibility differs between people.</w:t>
            </w:r>
          </w:p>
        </w:tc>
        <w:tc>
          <w:tcPr>
            <w:tcW w:type="dxa" w:w="364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NOT IMPLEMENTED, and named as a gap. The 20° beginner allowance is used in the literature preset's extension tolerance, but FormFix still applies one threshold set to everyone. This is recorded in docs/limitations.md as known missing work.</w:t>
            </w:r>
          </w:p>
        </w:tc>
      </w:tr>
    </w:tbl>
    <w:p>
      <w:r>
        <w:br w:type="page"/>
      </w:r>
    </w:p>
    <w:p>
      <w:pPr>
        <w:pStyle w:val="Heading1"/>
        <w:pBdr>
          <w:bottom w:val="single" w:color="1F6F6B" w:sz="8" w:space="6"/>
        </w:pBdr>
        <w:spacing w:after="180" w:before="400"/>
      </w:pPr>
      <w:r>
        <w:rPr>
          <w:rFonts w:ascii="Calibri" w:cs="Calibri" w:eastAsia="Calibri" w:hAnsi="Calibri"/>
          <w:b/>
          <w:bCs/>
          <w:color w:val="1F6F6B"/>
          <w:sz w:val="30"/>
          <w:szCs w:val="30"/>
        </w:rPr>
        <w:t xml:space="preserve">4. What actually changed in the code</w:t>
      </w:r>
    </w:p>
    <w:p>
      <w:pPr>
        <w:spacing w:after="120" w:before="0" w:line="276"/>
      </w:pPr>
      <w:r>
        <w:rPr>
          <w:rFonts w:ascii="Calibri" w:cs="Calibri" w:eastAsia="Calibri" w:hAnsi="Calibri"/>
          <w:color w:val="1A1A1A"/>
          <w:sz w:val="21"/>
          <w:szCs w:val="21"/>
        </w:rPr>
        <w:t xml:space="preserve">Five additions, all additive: no existing verdict, score or threshold changed, and the full test suite passes unchanged. That was a deliberate constraint — a literature review that silently altered every result the system had ever produced would be impossible to defend.</w:t>
      </w:r>
    </w:p>
    <w:p>
      <w:pPr>
        <w:pStyle w:val="Heading2"/>
        <w:spacing w:after="120" w:before="300"/>
      </w:pPr>
      <w:r>
        <w:rPr>
          <w:rFonts w:ascii="Calibri" w:cs="Calibri" w:eastAsia="Calibri" w:hAnsi="Calibri"/>
          <w:b/>
          <w:bCs/>
          <w:color w:val="133C3A"/>
          <w:sz w:val="24"/>
          <w:szCs w:val="24"/>
        </w:rPr>
        <w:t xml:space="preserve">4.1 A measurement-uncertainty layer</w:t>
      </w:r>
    </w:p>
    <w:p>
      <w:pPr>
        <w:spacing w:after="120" w:before="0" w:line="276"/>
      </w:pPr>
      <w:r>
        <w:rPr>
          <w:rFonts w:ascii="Calibri" w:cs="Calibri" w:eastAsia="Calibri" w:hAnsi="Calibri"/>
          <w:color w:val="1A1A1A"/>
          <w:sz w:val="21"/>
          <w:szCs w:val="21"/>
        </w:rPr>
        <w:t xml:space="preserve">exercises/common/uncertainty.py — new, plus a hook in all three exercise analysers.</w:t>
      </w:r>
    </w:p>
    <w:p>
      <w:pPr>
        <w:spacing w:after="120" w:before="0" w:line="276"/>
      </w:pPr>
      <w:r>
        <w:rPr>
          <w:rFonts w:ascii="Calibri" w:cs="Calibri" w:eastAsia="Calibri" w:hAnsi="Calibri"/>
          <w:color w:val="1A1A1A"/>
          <w:sz w:val="21"/>
          <w:szCs w:val="21"/>
        </w:rPr>
        <w:t xml:space="preserve">Every rule compares a measured value against a threshold. Both sides were previously treated as exact. The threshold was honestly labelled provisional; the measurement was not labelled at all, and it is the less certain of the two. The layer attaches the published error of each measurement to every finding, and marks one whose margin falls inside that error as indicative rather than established.</w:t>
      </w:r>
    </w:p>
    <w:p>
      <w:pPr>
        <w:spacing w:after="60"/>
      </w:pPr>
    </w:p>
    <w:tbl>
      <w:tblPr>
        <w:tblW w:type="dxa" w:w="10080"/>
        <w:tblBorders>
          <w:top w:val="single" w:color="D8DEE4" w:sz="4"/>
          <w:left w:val="single" w:color="D8DEE4" w:sz="4"/>
          <w:bottom w:val="single" w:color="D8DEE4" w:sz="4"/>
          <w:right w:val="single" w:color="D8DEE4" w:sz="4"/>
          <w:insideH w:val="single" w:color="D8DEE4" w:sz="2"/>
          <w:insideV w:val="single" w:color="D8DEE4" w:sz="2"/>
        </w:tblBorders>
      </w:tblPr>
      <w:tblGrid>
        <w:gridCol w:w="2900"/>
        <w:gridCol w:w="1500"/>
        <w:gridCol w:w="3280"/>
        <w:gridCol w:w="2400"/>
      </w:tblGrid>
      <w:tr>
        <w:trPr>
          <w:tblHeader/>
        </w:trPr>
        <w:tc>
          <w:tcPr>
            <w:tcW w:type="dxa" w:w="2900"/>
            <w:shd w:fill="EDF3F2" w:color="auto" w:val="clear"/>
            <w:tcMar>
              <w:top w:type="dxa" w:w="90"/>
              <w:left w:type="dxa" w:w="120"/>
              <w:bottom w:type="dxa" w:w="90"/>
              <w:right w:type="dxa" w:w="120"/>
            </w:tcMar>
            <w:vAlign w:val="top"/>
          </w:tcPr>
          <w:p>
            <w:pPr>
              <w:spacing w:after="40" w:line="264"/>
            </w:pPr>
            <w:r>
              <w:rPr>
                <w:rFonts w:ascii="Calibri" w:cs="Calibri" w:eastAsia="Calibri" w:hAnsi="Calibri"/>
                <w:b/>
                <w:bCs/>
                <w:color w:val="133C3A"/>
                <w:sz w:val="18"/>
                <w:szCs w:val="18"/>
              </w:rPr>
              <w:t xml:space="preserve">FormFix measurement</w:t>
            </w:r>
          </w:p>
        </w:tc>
        <w:tc>
          <w:tcPr>
            <w:tcW w:type="dxa" w:w="1500"/>
            <w:shd w:fill="EDF3F2" w:color="auto" w:val="clear"/>
            <w:tcMar>
              <w:top w:type="dxa" w:w="90"/>
              <w:left w:type="dxa" w:w="120"/>
              <w:bottom w:type="dxa" w:w="90"/>
              <w:right w:type="dxa" w:w="120"/>
            </w:tcMar>
            <w:vAlign w:val="top"/>
          </w:tcPr>
          <w:p>
            <w:pPr>
              <w:spacing w:after="40" w:line="264"/>
            </w:pPr>
            <w:r>
              <w:rPr>
                <w:rFonts w:ascii="Calibri" w:cs="Calibri" w:eastAsia="Calibri" w:hAnsi="Calibri"/>
                <w:b/>
                <w:bCs/>
                <w:color w:val="133C3A"/>
                <w:sz w:val="18"/>
                <w:szCs w:val="18"/>
              </w:rPr>
              <w:t xml:space="preserve">Band</w:t>
            </w:r>
          </w:p>
        </w:tc>
        <w:tc>
          <w:tcPr>
            <w:tcW w:type="dxa" w:w="3280"/>
            <w:shd w:fill="EDF3F2" w:color="auto" w:val="clear"/>
            <w:tcMar>
              <w:top w:type="dxa" w:w="90"/>
              <w:left w:type="dxa" w:w="120"/>
              <w:bottom w:type="dxa" w:w="90"/>
              <w:right w:type="dxa" w:w="120"/>
            </w:tcMar>
            <w:vAlign w:val="top"/>
          </w:tcPr>
          <w:p>
            <w:pPr>
              <w:spacing w:after="40" w:line="264"/>
            </w:pPr>
            <w:r>
              <w:rPr>
                <w:rFonts w:ascii="Calibri" w:cs="Calibri" w:eastAsia="Calibri" w:hAnsi="Calibri"/>
                <w:b/>
                <w:bCs/>
                <w:color w:val="133C3A"/>
                <w:sz w:val="18"/>
                <w:szCs w:val="18"/>
              </w:rPr>
              <w:t xml:space="preserve">Source</w:t>
            </w:r>
          </w:p>
        </w:tc>
        <w:tc>
          <w:tcPr>
            <w:tcW w:type="dxa" w:w="2400"/>
            <w:shd w:fill="EDF3F2" w:color="auto" w:val="clear"/>
            <w:tcMar>
              <w:top w:type="dxa" w:w="90"/>
              <w:left w:type="dxa" w:w="120"/>
              <w:bottom w:type="dxa" w:w="90"/>
              <w:right w:type="dxa" w:w="120"/>
            </w:tcMar>
            <w:vAlign w:val="top"/>
          </w:tcPr>
          <w:p>
            <w:pPr>
              <w:spacing w:after="40" w:line="264"/>
            </w:pPr>
            <w:r>
              <w:rPr>
                <w:rFonts w:ascii="Calibri" w:cs="Calibri" w:eastAsia="Calibri" w:hAnsi="Calibri"/>
                <w:b/>
                <w:bCs/>
                <w:color w:val="133C3A"/>
                <w:sz w:val="18"/>
                <w:szCs w:val="18"/>
              </w:rPr>
              <w:t xml:space="preserve">Against the field's bar</w:t>
            </w:r>
          </w:p>
        </w:tc>
      </w:tr>
      <w:tr>
        <w:tc>
          <w:tcPr>
            <w:tcW w:type="dxa" w:w="2900"/>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Trunk inclination</w:t>
            </w:r>
          </w:p>
        </w:tc>
        <w:tc>
          <w:tcPr>
            <w:tcW w:type="dxa" w:w="150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±6.5°</w:t>
            </w:r>
          </w:p>
        </w:tc>
        <w:tc>
          <w:tcPr>
            <w:tcW w:type="dxa" w:w="328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Derived from paper 8's 56.3 mm landmark RMSE</w:t>
            </w:r>
          </w:p>
        </w:tc>
        <w:tc>
          <w:tcPr>
            <w:tcW w:type="dxa" w:w="240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good</w:t>
            </w:r>
          </w:p>
        </w:tc>
      </w:tr>
      <w:tr>
        <w:tc>
          <w:tcPr>
            <w:tcW w:type="dxa" w:w="2900"/>
            <w:shd w:fill="F7F9FA" w:color="auto" w:val="clear"/>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Knee angle, near limb (depth)</w:t>
            </w:r>
          </w:p>
        </w:tc>
        <w:tc>
          <w:tcPr>
            <w:tcW w:type="dxa" w:w="150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±10.7°</w:t>
            </w:r>
          </w:p>
          <w:p>
            <w:pPr>
              <w:spacing w:after="40" w:line="264"/>
            </w:pPr>
            <w:r>
              <w:rPr>
                <w:rFonts w:ascii="Calibri" w:cs="Calibri" w:eastAsia="Calibri" w:hAnsi="Calibri"/>
                <w:b w:val="false"/>
                <w:bCs w:val="false"/>
                <w:color w:val="1A1A1A"/>
                <w:sz w:val="18"/>
                <w:szCs w:val="18"/>
              </w:rPr>
              <w:t xml:space="preserve">±11.6° with filter bias</w:t>
            </w:r>
          </w:p>
        </w:tc>
        <w:tc>
          <w:tcPr>
            <w:tcW w:type="dxa" w:w="328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Paper 8, quoted</w:t>
            </w:r>
          </w:p>
        </w:tc>
        <w:tc>
          <w:tcPr>
            <w:tcW w:type="dxa" w:w="240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good</w:t>
            </w:r>
          </w:p>
        </w:tc>
      </w:tr>
      <w:tr>
        <w:tc>
          <w:tcPr>
            <w:tcW w:type="dxa" w:w="2900"/>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Bilateral knee difference (evenness)</w:t>
            </w:r>
          </w:p>
        </w:tc>
        <w:tc>
          <w:tcPr>
            <w:tcW w:type="dxa" w:w="150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±15.1°</w:t>
            </w:r>
          </w:p>
        </w:tc>
        <w:tc>
          <w:tcPr>
            <w:tcW w:type="dxa" w:w="328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Derived: √2 × 10.7°</w:t>
            </w:r>
          </w:p>
        </w:tc>
        <w:tc>
          <w:tcPr>
            <w:tcW w:type="dxa" w:w="240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worse than by-eye</w:t>
            </w:r>
          </w:p>
        </w:tc>
      </w:tr>
      <w:tr>
        <w:tc>
          <w:tcPr>
            <w:tcW w:type="dxa" w:w="2900"/>
            <w:shd w:fill="F7F9FA" w:color="auto" w:val="clear"/>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Knee angle, far limb</w:t>
            </w:r>
          </w:p>
        </w:tc>
        <w:tc>
          <w:tcPr>
            <w:tcW w:type="dxa" w:w="150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±25.1°</w:t>
            </w:r>
          </w:p>
        </w:tc>
        <w:tc>
          <w:tcPr>
            <w:tcW w:type="dxa" w:w="328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Paper 8, quoted</w:t>
            </w:r>
          </w:p>
        </w:tc>
        <w:tc>
          <w:tcPr>
            <w:tcW w:type="dxa" w:w="240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worse than by-eye</w:t>
            </w:r>
          </w:p>
        </w:tc>
      </w:tr>
      <w:tr>
        <w:tc>
          <w:tcPr>
            <w:tcW w:type="dxa" w:w="2900"/>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Normalised length (heel lift)</w:t>
            </w:r>
          </w:p>
        </w:tc>
        <w:tc>
          <w:tcPr>
            <w:tcW w:type="dxa" w:w="150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±0.15</w:t>
            </w:r>
          </w:p>
        </w:tc>
        <w:tc>
          <w:tcPr>
            <w:tcW w:type="dxa" w:w="328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Derived from paper 7's 5–34% width instability</w:t>
            </w:r>
          </w:p>
        </w:tc>
        <w:tc>
          <w:tcPr>
            <w:tcW w:type="dxa" w:w="240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n/a — not an angle</w:t>
            </w:r>
          </w:p>
        </w:tc>
      </w:tr>
    </w:tbl>
    <w:p>
      <w:pPr>
        <w:spacing w:after="80"/>
      </w:pPr>
    </w:p>
    <w:p>
      <w:pPr>
        <w:spacing w:after="120" w:before="0" w:line="276"/>
      </w:pPr>
      <w:r>
        <w:rPr>
          <w:rFonts w:ascii="Calibri" w:cs="Calibri" w:eastAsia="Calibri" w:hAnsi="Calibri"/>
          <w:color w:val="1A1A1A"/>
          <w:sz w:val="21"/>
          <w:szCs w:val="21"/>
        </w:rPr>
        <w:t xml:space="preserve">Every derived figure carries its derivation in the code, so a reader can disagree with the argument rather than only with the number. By default the layer annotates and overrules nothing; UNCERTAINTY_STRICT = True additionally downgrades marginal findings, so the two policies can be compared over the same recordings.</w:t>
      </w:r>
    </w:p>
    <w:p>
      <w:pPr>
        <w:pStyle w:val="Heading2"/>
        <w:spacing w:after="120" w:before="300"/>
      </w:pPr>
      <w:r>
        <w:rPr>
          <w:rFonts w:ascii="Calibri" w:cs="Calibri" w:eastAsia="Calibri" w:hAnsi="Calibri"/>
          <w:b/>
          <w:bCs/>
          <w:color w:val="133C3A"/>
          <w:sz w:val="24"/>
          <w:szCs w:val="24"/>
        </w:rPr>
        <w:t xml:space="preserve">4.2 Digital filters, and a comparison harness</w:t>
      </w:r>
    </w:p>
    <w:p>
      <w:pPr>
        <w:spacing w:after="120" w:before="0" w:line="276"/>
      </w:pPr>
      <w:r>
        <w:rPr>
          <w:rFonts w:ascii="Calibri" w:cs="Calibri" w:eastAsia="Calibri" w:hAnsi="Calibri"/>
          <w:color w:val="1A1A1A"/>
          <w:sz w:val="21"/>
          <w:szCs w:val="21"/>
        </w:rPr>
        <w:t xml:space="preserve">analysis/filters.py and scripts/compare_filters.py — new.</w:t>
      </w:r>
    </w:p>
    <w:p>
      <w:pPr>
        <w:spacing w:after="120" w:before="0" w:line="276"/>
      </w:pPr>
      <w:r>
        <w:rPr>
          <w:rFonts w:ascii="Calibri" w:cs="Calibri" w:eastAsia="Calibri" w:hAnsi="Calibri"/>
          <w:color w:val="1A1A1A"/>
          <w:sz w:val="21"/>
          <w:szCs w:val="21"/>
        </w:rPr>
        <w:t xml:space="preserve">Butterworth low-pass, Savitzky–Golay and zero-phase forward–backward filtering, all derived in NumPy so no SciPy dependency is added to an install that is pinned to NumPy 1 for MediaPipe's sake. The harness measures what each costs the depth reading.</w:t>
      </w:r>
    </w:p>
    <w:p>
      <w:pPr>
        <w:pStyle w:val="Heading2"/>
        <w:spacing w:after="120" w:before="300"/>
      </w:pPr>
      <w:r>
        <w:rPr>
          <w:rFonts w:ascii="Calibri" w:cs="Calibri" w:eastAsia="Calibri" w:hAnsi="Calibri"/>
          <w:b/>
          <w:bCs/>
          <w:color w:val="133C3A"/>
          <w:sz w:val="24"/>
          <w:szCs w:val="24"/>
        </w:rPr>
        <w:t xml:space="preserve">4.3 A literature threshold preset</w:t>
      </w:r>
    </w:p>
    <w:p>
      <w:pPr>
        <w:spacing w:after="120" w:before="0" w:line="276"/>
      </w:pPr>
      <w:r>
        <w:rPr>
          <w:rFonts w:ascii="Calibri" w:cs="Calibri" w:eastAsia="Calibri" w:hAnsi="Calibri"/>
          <w:color w:val="1A1A1A"/>
          <w:sz w:val="21"/>
          <w:szCs w:val="21"/>
        </w:rPr>
        <w:t xml:space="preserve">exercises/squat/literature_config.py — new.</w:t>
      </w:r>
    </w:p>
    <w:p>
      <w:pPr>
        <w:spacing w:after="120" w:before="0" w:line="276"/>
      </w:pPr>
      <w:r>
        <w:rPr>
          <w:rFonts w:ascii="Calibri" w:cs="Calibri" w:eastAsia="Calibri" w:hAnsi="Calibri"/>
          <w:color w:val="1A1A1A"/>
          <w:sz w:val="21"/>
          <w:szCs w:val="21"/>
        </w:rPr>
        <w:t xml:space="preserve">A second squat configuration whose technique thresholds are derived from papers 5, 6 and 8, each with its provenance recorded in the file. It is offered for comparison, not adopted: run scripts/evaluate_videos.py with --preset default and again with --preset literature, and report the difference. Engineering thresholds are untouched, and a test enforces that.</w:t>
      </w:r>
    </w:p>
    <w:p>
      <w:pPr>
        <w:pStyle w:val="Heading2"/>
        <w:spacing w:after="120" w:before="300"/>
      </w:pPr>
      <w:r>
        <w:rPr>
          <w:rFonts w:ascii="Calibri" w:cs="Calibri" w:eastAsia="Calibri" w:hAnsi="Calibri"/>
          <w:b/>
          <w:bCs/>
          <w:color w:val="133C3A"/>
          <w:sz w:val="24"/>
          <w:szCs w:val="24"/>
        </w:rPr>
        <w:t xml:space="preserve">4.4 Configuration switches</w:t>
      </w:r>
    </w:p>
    <w:p>
      <w:pPr>
        <w:spacing w:after="120" w:before="0" w:line="276"/>
      </w:pPr>
      <w:r>
        <w:rPr>
          <w:rFonts w:ascii="Calibri" w:cs="Calibri" w:eastAsia="Calibri" w:hAnsi="Calibri"/>
          <w:color w:val="1A1A1A"/>
          <w:sz w:val="21"/>
          <w:szCs w:val="21"/>
        </w:rPr>
        <w:t xml:space="preserve">ANGLE_FILTER selects the smoothing filter; UNCERTAINTY_STRICT selects the uncertainty policy; the evaluation harness exposes both plus --preset, and prints the full provenance of whichever preset it is running before any result.</w:t>
      </w:r>
    </w:p>
    <w:p>
      <w:pPr>
        <w:pStyle w:val="Heading2"/>
        <w:spacing w:after="120" w:before="300"/>
      </w:pPr>
      <w:r>
        <w:rPr>
          <w:rFonts w:ascii="Calibri" w:cs="Calibri" w:eastAsia="Calibri" w:hAnsi="Calibri"/>
          <w:b/>
          <w:bCs/>
          <w:color w:val="133C3A"/>
          <w:sz w:val="24"/>
          <w:szCs w:val="24"/>
        </w:rPr>
        <w:t xml:space="preserve">4.5 Tests and documentation</w:t>
      </w:r>
    </w:p>
    <w:p>
      <w:pPr>
        <w:spacing w:after="120" w:before="0" w:line="276"/>
      </w:pPr>
      <w:r>
        <w:rPr>
          <w:rFonts w:ascii="Calibri" w:cs="Calibri" w:eastAsia="Calibri" w:hAnsi="Calibri"/>
          <w:color w:val="1A1A1A"/>
          <w:sz w:val="21"/>
          <w:szCs w:val="21"/>
        </w:rPr>
        <w:t xml:space="preserve">Seventy new tests (576 in total, all passing), written against analytically known behaviour rather than stored output — the filters are checked against the defining properties of a Butterworth response, not against a snapshot of themselves. Three new documents: docs/measurement_uncertainty.md, docs/filter_selection.md and docs/literature_basis.md, plus new sections in the existing threshold tuning log and limitations.</w:t>
      </w:r>
    </w:p>
    <w:p>
      <w:r>
        <w:br w:type="page"/>
      </w:r>
    </w:p>
    <w:p>
      <w:pPr>
        <w:pStyle w:val="Heading1"/>
        <w:pBdr>
          <w:bottom w:val="single" w:color="1F6F6B" w:sz="8" w:space="6"/>
        </w:pBdr>
        <w:spacing w:after="180" w:before="400"/>
      </w:pPr>
      <w:r>
        <w:rPr>
          <w:rFonts w:ascii="Calibri" w:cs="Calibri" w:eastAsia="Calibri" w:hAnsi="Calibri"/>
          <w:b/>
          <w:bCs/>
          <w:color w:val="1F6F6B"/>
          <w:sz w:val="30"/>
          <w:szCs w:val="30"/>
        </w:rPr>
        <w:t xml:space="preserve">5. Findings the review produced</w:t>
      </w:r>
    </w:p>
    <w:p>
      <w:pPr>
        <w:spacing w:after="120" w:before="0" w:line="276"/>
      </w:pPr>
      <w:r>
        <w:rPr>
          <w:rFonts w:ascii="Calibri" w:cs="Calibri" w:eastAsia="Calibri" w:hAnsi="Calibri"/>
          <w:color w:val="1A1A1A"/>
          <w:sz w:val="21"/>
          <w:szCs w:val="21"/>
        </w:rPr>
        <w:t xml:space="preserve">These are results, not implementation notes. They are the strongest material in this document for a results or discussion chapter, because each one is something no reviewed paper contains — they fall out of applying published measurements to this system's own numbers.</w:t>
      </w:r>
    </w:p>
    <w:p>
      <w:pPr>
        <w:spacing w:after="100"/>
      </w:pPr>
    </w:p>
    <w:p>
      <w:pPr>
        <w:pStyle w:val="Heading3"/>
        <w:spacing w:after="90" w:before="220"/>
      </w:pPr>
      <w:r>
        <w:rPr>
          <w:rFonts w:ascii="Calibri" w:cs="Calibri" w:eastAsia="Calibri" w:hAnsi="Calibri"/>
          <w:b/>
          <w:bCs/>
          <w:color w:val="133C3A"/>
          <w:sz w:val="21"/>
          <w:szCs w:val="21"/>
        </w:rPr>
        <w:t xml:space="preserve">5.1  The left/right evenness threshold sits below its own noise floor</w:t>
      </w:r>
    </w:p>
    <w:p>
      <w:pPr>
        <w:spacing w:after="120" w:before="0" w:line="276"/>
      </w:pPr>
      <w:r>
        <w:rPr>
          <w:rFonts w:ascii="Calibri" w:cs="Calibri" w:eastAsia="Calibri" w:hAnsi="Calibri"/>
          <w:color w:val="1A1A1A"/>
          <w:sz w:val="21"/>
          <w:szCs w:val="21"/>
        </w:rPr>
        <w:t xml:space="preserve">FormFix flags uneven knee flexion above 12°. A left/right difference is the difference of two independent estimates, so it carries √2 × the single-limb error: √2 × 10.7° = 15.1°. The threshold is therefore below the noise floor of the comparison it performs, and against Mercadal-Baudart et al.'s bars the measurement is 'worse than by-eye assessment'. A bilateral comparison is less precise than either measurement it is built from, which is the opposite of the intuition.</w:t>
      </w:r>
    </w:p>
    <w:p>
      <w:pPr>
        <w:pStyle w:val="Heading3"/>
        <w:spacing w:after="90" w:before="220"/>
      </w:pPr>
      <w:r>
        <w:rPr>
          <w:rFonts w:ascii="Calibri" w:cs="Calibri" w:eastAsia="Calibri" w:hAnsi="Calibri"/>
          <w:b/>
          <w:bCs/>
          <w:color w:val="133C3A"/>
          <w:sz w:val="21"/>
          <w:szCs w:val="21"/>
        </w:rPr>
        <w:t xml:space="preserve">5.2  The heel-lift threshold sits below the instability of its own normaliser</w:t>
      </w:r>
    </w:p>
    <w:p>
      <w:pPr>
        <w:spacing w:after="120" w:before="0" w:line="276"/>
      </w:pPr>
      <w:r>
        <w:rPr>
          <w:rFonts w:ascii="Calibri" w:cs="Calibri" w:eastAsia="Calibri" w:hAnsi="Calibri"/>
          <w:color w:val="1A1A1A"/>
          <w:sz w:val="21"/>
          <w:szCs w:val="21"/>
        </w:rPr>
        <w:t xml:space="preserve">Heel lift is flagged above 0.06 lower-leg lengths. MediaPipe's estimate of a fixed body width wanders by 5–34% of its true value across camera angles (paper 7), and any quantity divided by such a dimension inherits that. The derived band is ±0.15 — two and a half times the threshold.</w:t>
      </w:r>
    </w:p>
    <w:p>
      <w:pPr>
        <w:pStyle w:val="Heading3"/>
        <w:spacing w:after="90" w:before="220"/>
      </w:pPr>
      <w:r>
        <w:rPr>
          <w:rFonts w:ascii="Calibri" w:cs="Calibri" w:eastAsia="Calibri" w:hAnsi="Calibri"/>
          <w:b/>
          <w:bCs/>
          <w:color w:val="133C3A"/>
          <w:sz w:val="21"/>
          <w:szCs w:val="21"/>
        </w:rPr>
        <w:t xml:space="preserve">5.3  The depth threshold band is appropriately sized, and that is worth saying too</w:t>
      </w:r>
    </w:p>
    <w:p>
      <w:pPr>
        <w:spacing w:after="120" w:before="0" w:line="276"/>
      </w:pPr>
      <w:r>
        <w:rPr>
          <w:rFonts w:ascii="Calibri" w:cs="Calibri" w:eastAsia="Calibri" w:hAnsi="Calibri"/>
          <w:color w:val="1A1A1A"/>
          <w:sz w:val="21"/>
          <w:szCs w:val="21"/>
        </w:rPr>
        <w:t xml:space="preserve">The gap between the depth pass bar (100°) and its warning bar (115°) is 15°, against a band of ±11.6° including filter bias. A repetition far enough past the pass bar to fail is therefore always far enough to clear the band, so a depth failure can never be marginal. That is a property of how the two thresholds happened to be spaced, and it is now pinned by a test.</w:t>
      </w:r>
    </w:p>
    <w:p>
      <w:pPr>
        <w:pStyle w:val="Heading3"/>
        <w:spacing w:after="90" w:before="220"/>
      </w:pPr>
      <w:r>
        <w:rPr>
          <w:rFonts w:ascii="Calibri" w:cs="Calibri" w:eastAsia="Calibri" w:hAnsi="Calibri"/>
          <w:b/>
          <w:bCs/>
          <w:color w:val="133C3A"/>
          <w:sz w:val="21"/>
          <w:szCs w:val="21"/>
        </w:rPr>
        <w:t xml:space="preserve">5.4  The choice of smoothing filter is not settled by the literature</w:t>
      </w:r>
    </w:p>
    <w:p>
      <w:pPr>
        <w:spacing w:after="120" w:before="0" w:line="276"/>
      </w:pPr>
      <w:r>
        <w:rPr>
          <w:rFonts w:ascii="Calibri" w:cs="Calibri" w:eastAsia="Calibri" w:hAnsi="Calibri"/>
          <w:color w:val="1A1A1A"/>
          <w:sz w:val="21"/>
          <w:szCs w:val="21"/>
        </w:rPr>
        <w:t xml:space="preserve">Paper 8 selected a 4th-order Butterworth at 2 Hz on overall landmark RMSE. Measured instead on the bias in the depth reading, the ranking reverses with the shape of the turnaround — nearly unbiased (+0.04°) on a smooth repetition, worst of four (+7.67°) on a sharp one, because a sharp reversal carries real signal above 2 Hz. Savitzky–Golay is the only filter that is never worst. This is a result the papers do not contain, because none of them asked this question.</w:t>
      </w:r>
    </w:p>
    <w:p>
      <w:pPr>
        <w:pStyle w:val="Heading3"/>
        <w:spacing w:after="90" w:before="220"/>
      </w:pPr>
      <w:r>
        <w:rPr>
          <w:rFonts w:ascii="Calibri" w:cs="Calibri" w:eastAsia="Calibri" w:hAnsi="Calibri"/>
          <w:b/>
          <w:bCs/>
          <w:color w:val="133C3A"/>
          <w:sz w:val="21"/>
          <w:szCs w:val="21"/>
        </w:rPr>
        <w:t xml:space="preserve">5.5  The three defensible policies disagree by 17 score points on the same recording</w:t>
      </w:r>
    </w:p>
    <w:p>
      <w:pPr>
        <w:spacing w:after="120" w:before="0" w:line="276"/>
      </w:pPr>
      <w:r>
        <w:rPr>
          <w:rFonts w:ascii="Calibri" w:cs="Calibri" w:eastAsia="Calibri" w:hAnsi="Calibri"/>
          <w:color w:val="1A1A1A"/>
          <w:sz w:val="21"/>
          <w:szCs w:val="21"/>
        </w:rPr>
        <w:t xml:space="preserve">Three synthetic repetitions reaching 105°: default thresholds annotating only gives a depth warning and a score of 90; the same thresholds with strict uncertainty give a pass and 100; the literature preset gives a failure and 83. The spread is the honest size of the disagreement between three positions that can each be argued for, and it is only visible because the uncertainty is modelled rather than assumed away.</w:t>
      </w:r>
    </w:p>
    <w:p>
      <w:pPr>
        <w:spacing w:after="200"/>
      </w:pPr>
    </w:p>
    <w:p>
      <w:pPr>
        <w:pStyle w:val="Heading2"/>
        <w:spacing w:after="120" w:before="300"/>
      </w:pPr>
      <w:r>
        <w:rPr>
          <w:rFonts w:ascii="Calibri" w:cs="Calibri" w:eastAsia="Calibri" w:hAnsi="Calibri"/>
          <w:b/>
          <w:bCs/>
          <w:color w:val="133C3A"/>
          <w:sz w:val="24"/>
          <w:szCs w:val="24"/>
        </w:rPr>
        <w:t xml:space="preserve">The original contribution, stated narrowly</w:t>
      </w:r>
    </w:p>
    <w:p>
      <w:pPr>
        <w:spacing w:after="120" w:before="0" w:line="276"/>
      </w:pPr>
      <w:r>
        <w:rPr>
          <w:rFonts w:ascii="Calibri" w:cs="Calibri" w:eastAsia="Calibri" w:hAnsi="Calibri"/>
          <w:color w:val="1A1A1A"/>
          <w:sz w:val="21"/>
          <w:szCs w:val="21"/>
        </w:rPr>
        <w:t xml:space="preserve">Two things FormFix does that no reviewed paper does. Keep the claim this size — it is defensible at exactly this scope and not beyond it.</w:t>
      </w:r>
    </w:p>
    <w:p>
      <w:pPr>
        <w:pStyle w:val="ListParagraph"/>
        <w:numPr>
          <w:ilvl w:val="0"/>
          <w:numId w:val="2"/>
        </w:numPr>
        <w:spacing w:after="90" w:line="276"/>
      </w:pPr>
      <w:r>
        <w:rPr>
          <w:rFonts w:ascii="Calibri" w:cs="Calibri" w:eastAsia="Calibri" w:hAnsi="Calibri"/>
          <w:sz w:val="21"/>
          <w:szCs w:val="21"/>
        </w:rPr>
        <w:t xml:space="preserve">Feeding published measurement error back into the decision rule. Several of these papers report their own accuracy; several apply fixed thresholds; none connects the two. A finding whose margin is smaller than the instrument's own error is reported by every one of these systems as though it were established.</w:t>
      </w:r>
    </w:p>
    <w:p>
      <w:pPr>
        <w:pStyle w:val="ListParagraph"/>
        <w:numPr>
          <w:ilvl w:val="0"/>
          <w:numId w:val="2"/>
        </w:numPr>
        <w:spacing w:after="90" w:line="276"/>
      </w:pPr>
      <w:r>
        <w:rPr>
          <w:rFonts w:ascii="Calibri" w:cs="Calibri" w:eastAsia="Calibri" w:hAnsi="Calibri"/>
          <w:sz w:val="21"/>
          <w:szCs w:val="21"/>
        </w:rPr>
        <w:t xml:space="preserve">Refusing to assess rather than guessing. Every paper here produces a verdict for whatever it is given. FormFix declares, per rule, which camera views can support it, and reports "not assessed" with a reason otherwise — which is why it never claims to detect knee valgus or spinal rounding from a single 2D camera, and paper 2 shows exactly what a system needs (3D lifting from marker-trained data) before it can.</w:t>
      </w:r>
    </w:p>
    <w:p>
      <w:r>
        <w:br w:type="page"/>
      </w:r>
    </w:p>
    <w:p>
      <w:pPr>
        <w:pStyle w:val="Heading1"/>
        <w:pBdr>
          <w:bottom w:val="single" w:color="1F6F6B" w:sz="8" w:space="6"/>
        </w:pBdr>
        <w:spacing w:after="180" w:before="400"/>
      </w:pPr>
      <w:r>
        <w:rPr>
          <w:rFonts w:ascii="Calibri" w:cs="Calibri" w:eastAsia="Calibri" w:hAnsi="Calibri"/>
          <w:b/>
          <w:bCs/>
          <w:color w:val="1F6F6B"/>
          <w:sz w:val="30"/>
          <w:szCs w:val="30"/>
        </w:rPr>
        <w:t xml:space="preserve">6. Drafted sections for the report</w:t>
      </w:r>
    </w:p>
    <w:p>
      <w:pPr>
        <w:spacing w:after="120" w:before="0" w:line="276"/>
      </w:pPr>
      <w:r>
        <w:rPr>
          <w:rFonts w:ascii="Calibri" w:cs="Calibri" w:eastAsia="Calibri" w:hAnsi="Calibri"/>
          <w:color w:val="1A1A1A"/>
          <w:sz w:val="21"/>
          <w:szCs w:val="21"/>
        </w:rPr>
        <w:t xml:space="preserve">Written to be lifted, with the citations already in place. Adjust the referencing style and the first-person voice to match the rest of your dissertation. Nothing here claims anything the code does not do.</w:t>
      </w:r>
    </w:p>
    <w:p>
      <w:pPr>
        <w:pStyle w:val="Heading2"/>
        <w:spacing w:after="120" w:before="300"/>
      </w:pPr>
      <w:r>
        <w:rPr>
          <w:rFonts w:ascii="Calibri" w:cs="Calibri" w:eastAsia="Calibri" w:hAnsi="Calibri"/>
          <w:b/>
          <w:bCs/>
          <w:color w:val="133C3A"/>
          <w:sz w:val="24"/>
          <w:szCs w:val="24"/>
        </w:rPr>
        <w:t xml:space="preserve">6.1 Literature review — measurement accuracy</w:t>
      </w:r>
    </w:p>
    <w:p>
      <w:pPr>
        <w:pBdr>
          <w:left w:val="single" w:color="1F6F6B" w:sz="12" w:space="10"/>
        </w:pBdr>
        <w:spacing w:after="160" w:before="100" w:line="300"/>
        <w:ind w:left="360" w:right="240"/>
      </w:pPr>
      <w:r>
        <w:rPr>
          <w:rFonts w:ascii="Calibri" w:cs="Calibri" w:eastAsia="Calibri" w:hAnsi="Calibri"/>
          <w:color w:val="23292F"/>
          <w:sz w:val="21"/>
          <w:szCs w:val="21"/>
        </w:rPr>
        <w:t xml:space="preserve">Camera-based pose estimation has been evaluated against marker-based motion capture in several recent studies, and the reported errors are large enough to matter for any system that compares a measured joint angle against a fixed threshold. Dill et al. (2023) measured MediaPipe Pose against an Xsens system across five exercises and reported a knee-angle RMSE of 9.14° for squats under an optimal camera angle, rising to 14.48° at a less favourable one; they also found that MediaPipe's estimate of anatomically fixed body dimensions such as shoulder and hip width varied by between 5% and 34% of the true value depending on viewing angle, despite those dimensions being constant. Extending this work to 810 squat repetitions from nine subjects against a Qualisys system, Dill et al. (2024) reported a knee-angle RMSE of 10.7° for the limb nearest a lateral camera and 25.1° for the occluded far limb in the same recordings — a difference that follows directly from self-occlusion and that constrains which limb a single-camera system can measure at all.</w:t>
      </w:r>
    </w:p>
    <w:p>
      <w:pPr>
        <w:pBdr>
          <w:left w:val="single" w:color="1F6F6B" w:sz="12" w:space="10"/>
        </w:pBdr>
        <w:spacing w:after="160" w:before="100" w:line="300"/>
        <w:ind w:left="360" w:right="240"/>
      </w:pPr>
      <w:r>
        <w:rPr>
          <w:rFonts w:ascii="Calibri" w:cs="Calibri" w:eastAsia="Calibri" w:hAnsi="Calibri"/>
          <w:color w:val="23292F"/>
          <w:sz w:val="21"/>
          <w:szCs w:val="21"/>
        </w:rPr>
        <w:t xml:space="preserve">These figures acquire meaning through the benchmarks the same literature supplies. Hancock et al. (2018), quoted by Dill et al. (2024), report that clinical goniometry resolves a minimum significant difference of 6° with a digital inclinometer, 10° with a long-arm goniometer and 14° by visual estimation — all measured on a stationary patient. Mercadal-Baudart et al. (2024) turn the same benchmark into an explicit acceptability criterion for exercise quantification, treating a metric error below 12° as "good" on the grounds that it exceeds a physiotherapist's by-eye accuracy in low-speed functional movement, and below 6° as "very good". A monocular pose estimator measuring a moving athlete therefore operates at roughly the resolution of unaided expert observation, and no better.</w:t>
      </w:r>
    </w:p>
    <w:p>
      <w:pPr>
        <w:pStyle w:val="Heading2"/>
        <w:spacing w:after="120" w:before="300"/>
      </w:pPr>
      <w:r>
        <w:rPr>
          <w:rFonts w:ascii="Calibri" w:cs="Calibri" w:eastAsia="Calibri" w:hAnsi="Calibri"/>
          <w:b/>
          <w:bCs/>
          <w:color w:val="133C3A"/>
          <w:sz w:val="24"/>
          <w:szCs w:val="24"/>
        </w:rPr>
        <w:t xml:space="preserve">6.2 Methodology — why measurement error is modelled</w:t>
      </w:r>
    </w:p>
    <w:p>
      <w:pPr>
        <w:pBdr>
          <w:left w:val="single" w:color="1F6F6B" w:sz="12" w:space="10"/>
        </w:pBdr>
        <w:spacing w:after="160" w:before="100" w:line="300"/>
        <w:ind w:left="360" w:right="240"/>
      </w:pPr>
      <w:r>
        <w:rPr>
          <w:rFonts w:ascii="Calibri" w:cs="Calibri" w:eastAsia="Calibri" w:hAnsi="Calibri"/>
          <w:color w:val="23292F"/>
          <w:sz w:val="21"/>
          <w:szCs w:val="21"/>
        </w:rPr>
        <w:t xml:space="preserve">A rule-based technique assessment compares a measured value against a threshold, and the validity of the resulting judgement depends on both. The thresholds used in this work are operational values, documented as such. The measurements, however, carry a quantified error, and reviewing the literature made it clear that this error is comparable in size to some of the distinctions the system was drawing. A repetition measured at 108° cannot be distinguished from one at 98° when the measurement carries ±10.7°, yet a fixed threshold at 100° will report the first as a fault and the second as correct.</w:t>
      </w:r>
    </w:p>
    <w:p>
      <w:pPr>
        <w:pBdr>
          <w:left w:val="single" w:color="1F6F6B" w:sz="12" w:space="10"/>
        </w:pBdr>
        <w:spacing w:after="160" w:before="100" w:line="300"/>
        <w:ind w:left="360" w:right="240"/>
      </w:pPr>
      <w:r>
        <w:rPr>
          <w:rFonts w:ascii="Calibri" w:cs="Calibri" w:eastAsia="Calibri" w:hAnsi="Calibri"/>
          <w:color w:val="23292F"/>
          <w:sz w:val="21"/>
          <w:szCs w:val="21"/>
        </w:rPr>
        <w:t xml:space="preserve">None of the reviewed systems addresses this. Several report their own accuracy in an evaluation section and apply fixed thresholds elsewhere, with no connection between the two: Dill et al. (2023, 2024) measure MediaPipe's error without applying it to a decision rule, while Rao et al. (2025), Simoes et al. (2024) and Yadav et al. (2022) apply angular thresholds without reference to the error of the estimator producing the angle. A measurement-uncertainty layer was therefore implemented, in which every rule carries the published error of the quantity it reads through to the point at which the verdict is formed. Where a finding's margin beyond the threshold falls inside that error, it is reported as indicative rather than established, and labelled as such in the user-facing explanation.</w:t>
      </w:r>
    </w:p>
    <w:p>
      <w:pPr>
        <w:pBdr>
          <w:left w:val="single" w:color="1F6F6B" w:sz="12" w:space="10"/>
        </w:pBdr>
        <w:spacing w:after="160" w:before="100" w:line="300"/>
        <w:ind w:left="360" w:right="240"/>
      </w:pPr>
      <w:r>
        <w:rPr>
          <w:rFonts w:ascii="Calibri" w:cs="Calibri" w:eastAsia="Calibri" w:hAnsi="Calibri"/>
          <w:color w:val="23292F"/>
          <w:sz w:val="21"/>
          <w:szCs w:val="21"/>
        </w:rPr>
        <w:t xml:space="preserve">Two policies were implemented rather than one. The default annotates findings without altering them; a strict mode additionally downgrades a marginal finding by one severity step. Both are exposed to the evaluation harness so that the same labelled recordings can be run under each, on the principle that the choice between them is an empirical question rather than one to be settled by assertion.</w:t>
      </w:r>
    </w:p>
    <w:p>
      <w:pPr>
        <w:pStyle w:val="Heading2"/>
        <w:spacing w:after="120" w:before="300"/>
      </w:pPr>
      <w:r>
        <w:rPr>
          <w:rFonts w:ascii="Calibri" w:cs="Calibri" w:eastAsia="Calibri" w:hAnsi="Calibri"/>
          <w:b/>
          <w:bCs/>
          <w:color w:val="133C3A"/>
          <w:sz w:val="24"/>
          <w:szCs w:val="24"/>
        </w:rPr>
        <w:t xml:space="preserve">6.3 Methodology — smoothing filter selection</w:t>
      </w:r>
    </w:p>
    <w:p>
      <w:pPr>
        <w:pBdr>
          <w:left w:val="single" w:color="1F6F6B" w:sz="12" w:space="10"/>
        </w:pBdr>
        <w:spacing w:after="160" w:before="100" w:line="300"/>
        <w:ind w:left="360" w:right="240"/>
      </w:pPr>
      <w:r>
        <w:rPr>
          <w:rFonts w:ascii="Calibri" w:cs="Calibri" w:eastAsia="Calibri" w:hAnsi="Calibri"/>
          <w:color w:val="23292F"/>
          <w:sz w:val="21"/>
          <w:szCs w:val="21"/>
        </w:rPr>
        <w:t xml:space="preserve">Pose estimates require smoothing before repetition segmentation, and the choice of filter is not neutral for this application. The measurements that matter most — the depth reached at the bottom of a repetition and the extension reached at the top — are read at the turning points of the joint-angle signal, and a causal filter attenuates and delays exactly these extremes. Dill et al. (2024) encountered the same problem, observing that a moving-average filter "suffer[s] from the fact that the squat movement features two sudden shifts in direction ... leading to a visible delay in the filtered signal", and selected a fourth-order Butterworth low-pass at 2 Hz following a grid search over overall landmark RMSE.</w:t>
      </w:r>
    </w:p>
    <w:p>
      <w:pPr>
        <w:pBdr>
          <w:left w:val="single" w:color="1F6F6B" w:sz="12" w:space="10"/>
        </w:pBdr>
        <w:spacing w:after="160" w:before="100" w:line="300"/>
        <w:ind w:left="360" w:right="240"/>
      </w:pPr>
      <w:r>
        <w:rPr>
          <w:rFonts w:ascii="Calibri" w:cs="Calibri" w:eastAsia="Calibri" w:hAnsi="Calibri"/>
          <w:color w:val="23292F"/>
          <w:sz w:val="21"/>
          <w:szCs w:val="21"/>
        </w:rPr>
        <w:t xml:space="preserve">Because the criterion relevant here is narrower — the bias in a single value at a single instant, rather than error across the whole recording — the comparison was repeated against that criterion using synthetic joint-angle traces whose true minimum is known by construction. The result did not transfer. Across repetition rates from 0.33 Hz to 1.0 Hz, the 2 Hz Butterworth was very nearly unbiased on smoothly executed repetitions (maximum +0.25°) but the worst of the four filters tested on sharply reversed ones (+7.67°), because a sharp reversal carries genuine signal above the cut-off frequency. A Savitzky–Golay filter, which fits a polynomial through each window rather than averaging it, was the only candidate never to perform worst, with a maximum bias of +3.27°.</w:t>
      </w:r>
    </w:p>
    <w:p>
      <w:pPr>
        <w:pBdr>
          <w:left w:val="single" w:color="1F6F6B" w:sz="12" w:space="10"/>
        </w:pBdr>
        <w:spacing w:after="160" w:before="100" w:line="300"/>
        <w:ind w:left="360" w:right="240"/>
      </w:pPr>
      <w:r>
        <w:rPr>
          <w:rFonts w:ascii="Calibri" w:cs="Calibri" w:eastAsia="Calibri" w:hAnsi="Calibri"/>
          <w:color w:val="23292F"/>
          <w:sz w:val="21"/>
          <w:szCs w:val="21"/>
        </w:rPr>
        <w:t xml:space="preserve">The filter was therefore exposed as a configuration parameter rather than fixed, the existing exponential moving average retained as the default in the absence of labelled recordings against which a change could be justified, and each filter's measured bias added in quadrature to the uncertainty band of the depth measurement, so that the cost of the smoothing choice reaches the point of decision rather than remaining a documented aside.</w:t>
      </w:r>
    </w:p>
    <w:p>
      <w:pPr>
        <w:pStyle w:val="Heading2"/>
        <w:spacing w:after="120" w:before="300"/>
      </w:pPr>
      <w:r>
        <w:rPr>
          <w:rFonts w:ascii="Calibri" w:cs="Calibri" w:eastAsia="Calibri" w:hAnsi="Calibri"/>
          <w:b/>
          <w:bCs/>
          <w:color w:val="133C3A"/>
          <w:sz w:val="24"/>
          <w:szCs w:val="24"/>
        </w:rPr>
        <w:t xml:space="preserve">6.4 Results — what modelling the uncertainty revealed</w:t>
      </w:r>
    </w:p>
    <w:p>
      <w:pPr>
        <w:pBdr>
          <w:left w:val="single" w:color="1F6F6B" w:sz="12" w:space="10"/>
        </w:pBdr>
        <w:spacing w:after="160" w:before="100" w:line="300"/>
        <w:ind w:left="360" w:right="240"/>
      </w:pPr>
      <w:r>
        <w:rPr>
          <w:rFonts w:ascii="Calibri" w:cs="Calibri" w:eastAsia="Calibri" w:hAnsi="Calibri"/>
          <w:color w:val="23292F"/>
          <w:sz w:val="21"/>
          <w:szCs w:val="21"/>
        </w:rPr>
        <w:t xml:space="preserve">Applying the published error figures to the system's own thresholds produced two findings that the source papers could not contain, since they concern this system's configuration rather than MediaPipe's accuracy.</w:t>
      </w:r>
    </w:p>
    <w:p>
      <w:pPr>
        <w:pBdr>
          <w:left w:val="single" w:color="1F6F6B" w:sz="12" w:space="10"/>
        </w:pBdr>
        <w:spacing w:after="160" w:before="100" w:line="300"/>
        <w:ind w:left="360" w:right="240"/>
      </w:pPr>
      <w:r>
        <w:rPr>
          <w:rFonts w:ascii="Calibri" w:cs="Calibri" w:eastAsia="Calibri" w:hAnsi="Calibri"/>
          <w:color w:val="23292F"/>
          <w:sz w:val="21"/>
          <w:szCs w:val="21"/>
        </w:rPr>
        <w:t xml:space="preserve">First, the left/right evenness check flags a difference in knee flexion above 12°, but a bilateral difference is the difference of two independent estimates and therefore carries √2 times the single-limb error, giving a band of ±15.1°. The threshold lies below the noise floor of the comparison it performs, and against the acceptability criterion of Mercadal-Baudart et al. (2024) the measurement falls into the "worse than by-eye assessment" category. Second, the heel-lift threshold of 0.06 lower-leg lengths is set against a normalised quantity whose normalising dimension is itself unstable by 5–34% (Dill et al., 2023), giving a derived band of ±0.15 — two and a half times the threshold.</w:t>
      </w:r>
    </w:p>
    <w:p>
      <w:pPr>
        <w:pBdr>
          <w:left w:val="single" w:color="1F6F6B" w:sz="12" w:space="10"/>
        </w:pBdr>
        <w:spacing w:after="160" w:before="100" w:line="300"/>
        <w:ind w:left="360" w:right="240"/>
      </w:pPr>
      <w:r>
        <w:rPr>
          <w:rFonts w:ascii="Calibri" w:cs="Calibri" w:eastAsia="Calibri" w:hAnsi="Calibri"/>
          <w:color w:val="23292F"/>
          <w:sz w:val="21"/>
          <w:szCs w:val="21"/>
        </w:rPr>
        <w:t xml:space="preserve">Neither threshold was altered in the default configuration. The tuning protocol adopted for this project prohibits moving a threshold without labelled recordings to justify the change, and a problem identified analytically is not an exception to that. Both were instead raised above their respective noise floors in a separate literature-derived configuration, so that the two can be evaluated against the same recordings once labelled material exists. Both are also pinned by regression tests, so that any future tightening of either threshold is flagged as tightening into the noise.</w:t>
      </w:r>
    </w:p>
    <w:p>
      <w:pPr>
        <w:pBdr>
          <w:left w:val="single" w:color="1F6F6B" w:sz="12" w:space="10"/>
        </w:pBdr>
        <w:spacing w:after="160" w:before="100" w:line="300"/>
        <w:ind w:left="360" w:right="240"/>
      </w:pPr>
      <w:r>
        <w:rPr>
          <w:rFonts w:ascii="Calibri" w:cs="Calibri" w:eastAsia="Calibri" w:hAnsi="Calibri"/>
          <w:color w:val="23292F"/>
          <w:sz w:val="21"/>
          <w:szCs w:val="21"/>
        </w:rPr>
        <w:t xml:space="preserve">The practical significance of these policy choices can be quantified. On a synthetic recording of three repetitions each reaching a minimum knee angle of 105°, the default thresholds with annotation only return a depth warning and an overall score of 90; the same thresholds under the strict uncertainty policy return a pass and a score of 100; and the literature-derived preset returns a failure and a score of 83. The 17-point spread represents the honest extent of disagreement between three individually defensible positions on the same movement, and is observable only because the measurement uncertainty is modelled rather than assumed away.</w:t>
      </w:r>
    </w:p>
    <w:p>
      <w:pPr>
        <w:pStyle w:val="Heading2"/>
        <w:spacing w:after="120" w:before="300"/>
      </w:pPr>
      <w:r>
        <w:rPr>
          <w:rFonts w:ascii="Calibri" w:cs="Calibri" w:eastAsia="Calibri" w:hAnsi="Calibri"/>
          <w:b/>
          <w:bCs/>
          <w:color w:val="133C3A"/>
          <w:sz w:val="24"/>
          <w:szCs w:val="24"/>
        </w:rPr>
        <w:t xml:space="preserve">6.5 Limitations</w:t>
      </w:r>
    </w:p>
    <w:p>
      <w:pPr>
        <w:pBdr>
          <w:left w:val="single" w:color="1F6F6B" w:sz="12" w:space="10"/>
        </w:pBdr>
        <w:spacing w:after="160" w:before="100" w:line="300"/>
        <w:ind w:left="360" w:right="240"/>
      </w:pPr>
      <w:r>
        <w:rPr>
          <w:rFonts w:ascii="Calibri" w:cs="Calibri" w:eastAsia="Calibri" w:hAnsi="Calibri"/>
          <w:color w:val="23292F"/>
          <w:sz w:val="21"/>
          <w:szCs w:val="21"/>
        </w:rPr>
        <w:t xml:space="preserve">The accuracy limits of monocular pose estimation constrain what this system can claim. Deviations smaller than approximately 10° in a joint angle cannot be resolved from a single camera and are reported as indicative rather than established. Two of the system's own thresholds — the left/right evenness bar and the heel-lift threshold — sit below the noise floor of their respective measurements and should be read as prompts to look rather than as measurements. The limb furthest from the camera carries more than twice the error of the nearest one (Dill et al., 2024), which is why body-side selection is performed and why bilateral comparisons require a frontal or diagonal view.</w:t>
      </w:r>
    </w:p>
    <w:p>
      <w:pPr>
        <w:pBdr>
          <w:left w:val="single" w:color="1F6F6B" w:sz="12" w:space="10"/>
        </w:pBdr>
        <w:spacing w:after="160" w:before="100" w:line="300"/>
        <w:ind w:left="360" w:right="240"/>
      </w:pPr>
      <w:r>
        <w:rPr>
          <w:rFonts w:ascii="Calibri" w:cs="Calibri" w:eastAsia="Calibri" w:hAnsi="Calibri"/>
          <w:color w:val="23292F"/>
          <w:sz w:val="21"/>
          <w:szCs w:val="21"/>
        </w:rPr>
        <w:t xml:space="preserve">Every smoothing filter reports the bottom of a squat as marginally shallower than it was; the default filter's measured worst case is +4.5° on a sharply reversed repetition. This bias is included in the reported uncertainty band, but it acts in the direction that produces false reports of insufficient depth, and will affect a fast, sharply reversed repetition more than a slow controlled one.</w:t>
      </w:r>
    </w:p>
    <w:p>
      <w:pPr>
        <w:pBdr>
          <w:left w:val="single" w:color="1F6F6B" w:sz="12" w:space="10"/>
        </w:pBdr>
        <w:spacing w:after="160" w:before="100" w:line="300"/>
        <w:ind w:left="360" w:right="240"/>
      </w:pPr>
      <w:r>
        <w:rPr>
          <w:rFonts w:ascii="Calibri" w:cs="Calibri" w:eastAsia="Calibri" w:hAnsi="Calibri"/>
          <w:color w:val="23292F"/>
          <w:sz w:val="21"/>
          <w:szCs w:val="21"/>
        </w:rPr>
        <w:t xml:space="preserve">Two capabilities present in the reviewed literature are not implemented. Simoes et al. (2024) allow the user to select their own angular tolerance — 20° for a beginner against under 10° for an experienced user — on the grounds that flexibility differs between individuals; this system applies a single threshold set to every user, and Rao et al. (2025) note further that differences in torso and femur proportion produce legitimately different squat mechanics that a single set of thresholds cannot accommodate. More significantly, Chae et al. (2023) demonstrate what an evaluation of such a system requires: a two-week randomised controlled trial with a control group, in which the intervention group's squat score improved significantly (p = .001) while the control group's did not (p = .13). No comparable study has been conducted here. This system can therefore describe what it measures and the uncertainty attached to those measurements, but it cannot claim that its use improves anyone's technique, and no accuracy figure should be quoted until labelled recordings have been processed through the evaluation harness.</w:t>
      </w:r>
    </w:p>
    <w:p>
      <w:pPr>
        <w:pStyle w:val="Heading2"/>
        <w:spacing w:after="120" w:before="300"/>
      </w:pPr>
      <w:r>
        <w:rPr>
          <w:rFonts w:ascii="Calibri" w:cs="Calibri" w:eastAsia="Calibri" w:hAnsi="Calibri"/>
          <w:b/>
          <w:bCs/>
          <w:color w:val="133C3A"/>
          <w:sz w:val="24"/>
          <w:szCs w:val="24"/>
        </w:rPr>
        <w:t xml:space="preserve">6.6 A sentence on convergent design</w:t>
      </w:r>
    </w:p>
    <w:p>
      <w:pPr>
        <w:pBdr>
          <w:left w:val="single" w:color="1F6F6B" w:sz="12" w:space="10"/>
        </w:pBdr>
        <w:spacing w:after="160" w:before="100" w:line="300"/>
        <w:ind w:left="360" w:right="240"/>
      </w:pPr>
      <w:r>
        <w:rPr>
          <w:rFonts w:ascii="Calibri" w:cs="Calibri" w:eastAsia="Calibri" w:hAnsi="Calibri"/>
          <w:color w:val="23292F"/>
          <w:sz w:val="21"/>
          <w:szCs w:val="21"/>
        </w:rPr>
        <w:t xml:space="preserve">Four of the six squat rules implemented in this system — depth, trunk lean, heel stability and left/right evenness — correspond closely to the definition of correct squat execution used by Dill et al. (2024), who specify a shoulder-width stance, heels remaining in contact with the floor, a straight spine maintained throughout, and symmetrical loading of both legs, with excessive forward flexion and lateral weight shift as their two fault conditions. The rules were derived independently from the exercise definition before that protocol was reviewed. The correspondence is reported here as convergent support for the rule set rather than as its source.</w:t>
      </w:r>
    </w:p>
    <w:p>
      <w:r>
        <w:br w:type="page"/>
      </w:r>
    </w:p>
    <w:p>
      <w:pPr>
        <w:pStyle w:val="Heading1"/>
        <w:pBdr>
          <w:bottom w:val="single" w:color="1F6F6B" w:sz="8" w:space="6"/>
        </w:pBdr>
        <w:spacing w:after="180" w:before="400"/>
      </w:pPr>
      <w:r>
        <w:rPr>
          <w:rFonts w:ascii="Calibri" w:cs="Calibri" w:eastAsia="Calibri" w:hAnsi="Calibri"/>
          <w:b/>
          <w:bCs/>
          <w:color w:val="1F6F6B"/>
          <w:sz w:val="30"/>
          <w:szCs w:val="30"/>
        </w:rPr>
        <w:t xml:space="preserve">7. Where to look in the code</w:t>
      </w:r>
    </w:p>
    <w:p>
      <w:pPr>
        <w:spacing w:after="120" w:before="0" w:line="276"/>
      </w:pPr>
      <w:r>
        <w:rPr>
          <w:rFonts w:ascii="Calibri" w:cs="Calibri" w:eastAsia="Calibri" w:hAnsi="Calibri"/>
          <w:color w:val="1A1A1A"/>
          <w:sz w:val="21"/>
          <w:szCs w:val="21"/>
        </w:rPr>
        <w:t xml:space="preserve">For a viva, or for anyone checking that this document describes something real.</w:t>
      </w:r>
    </w:p>
    <w:p>
      <w:pPr>
        <w:spacing w:after="80"/>
      </w:pPr>
    </w:p>
    <w:tbl>
      <w:tblPr>
        <w:tblW w:type="dxa" w:w="10080"/>
        <w:tblBorders>
          <w:top w:val="single" w:color="D8DEE4" w:sz="4"/>
          <w:left w:val="single" w:color="D8DEE4" w:sz="4"/>
          <w:bottom w:val="single" w:color="D8DEE4" w:sz="4"/>
          <w:right w:val="single" w:color="D8DEE4" w:sz="4"/>
          <w:insideH w:val="single" w:color="D8DEE4" w:sz="2"/>
          <w:insideV w:val="single" w:color="D8DEE4" w:sz="2"/>
        </w:tblBorders>
      </w:tblPr>
      <w:tblGrid>
        <w:gridCol w:w="5040"/>
        <w:gridCol w:w="5040"/>
      </w:tblGrid>
      <w:tr>
        <w:trPr>
          <w:tblHeader/>
        </w:trPr>
        <w:tc>
          <w:tcPr>
            <w:tcW w:type="dxa" w:w="5040"/>
            <w:shd w:fill="EDF3F2" w:color="auto" w:val="clear"/>
            <w:tcMar>
              <w:top w:type="dxa" w:w="90"/>
              <w:left w:type="dxa" w:w="120"/>
              <w:bottom w:type="dxa" w:w="90"/>
              <w:right w:type="dxa" w:w="120"/>
            </w:tcMar>
            <w:vAlign w:val="top"/>
          </w:tcPr>
          <w:p>
            <w:pPr>
              <w:spacing w:after="40" w:line="264"/>
            </w:pPr>
            <w:r>
              <w:rPr>
                <w:rFonts w:ascii="Calibri" w:cs="Calibri" w:eastAsia="Calibri" w:hAnsi="Calibri"/>
                <w:b/>
                <w:bCs/>
                <w:color w:val="133C3A"/>
                <w:sz w:val="18"/>
                <w:szCs w:val="18"/>
              </w:rPr>
              <w:t xml:space="preserve">What</w:t>
            </w:r>
          </w:p>
        </w:tc>
        <w:tc>
          <w:tcPr>
            <w:tcW w:type="dxa" w:w="5040"/>
            <w:shd w:fill="EDF3F2" w:color="auto" w:val="clear"/>
            <w:tcMar>
              <w:top w:type="dxa" w:w="90"/>
              <w:left w:type="dxa" w:w="120"/>
              <w:bottom w:type="dxa" w:w="90"/>
              <w:right w:type="dxa" w:w="120"/>
            </w:tcMar>
            <w:vAlign w:val="top"/>
          </w:tcPr>
          <w:p>
            <w:pPr>
              <w:spacing w:after="40" w:line="264"/>
            </w:pPr>
            <w:r>
              <w:rPr>
                <w:rFonts w:ascii="Calibri" w:cs="Calibri" w:eastAsia="Calibri" w:hAnsi="Calibri"/>
                <w:b/>
                <w:bCs/>
                <w:color w:val="133C3A"/>
                <w:sz w:val="18"/>
                <w:szCs w:val="18"/>
              </w:rPr>
              <w:t xml:space="preserve">Where</w:t>
            </w:r>
          </w:p>
        </w:tc>
      </w:tr>
      <w:tr>
        <w:tc>
          <w:tcPr>
            <w:tcW w:type="dxa" w:w="5040"/>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The uncertainty bands, their sources and every derivation</w:t>
            </w:r>
          </w:p>
        </w:tc>
        <w:tc>
          <w:tcPr>
            <w:tcW w:type="dxa" w:w="504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exercises/common/uncertainty.py</w:t>
            </w:r>
          </w:p>
        </w:tc>
      </w:tr>
      <w:tr>
        <w:tc>
          <w:tcPr>
            <w:tcW w:type="dxa" w:w="5040"/>
            <w:shd w:fill="F7F9FA" w:color="auto" w:val="clear"/>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The filters, derived from first principles</w:t>
            </w:r>
          </w:p>
        </w:tc>
        <w:tc>
          <w:tcPr>
            <w:tcW w:type="dxa" w:w="504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analysis/filters.py</w:t>
            </w:r>
          </w:p>
        </w:tc>
      </w:tr>
      <w:tr>
        <w:tc>
          <w:tcPr>
            <w:tcW w:type="dxa" w:w="5040"/>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The filter comparison that produced the bias figures</w:t>
            </w:r>
          </w:p>
        </w:tc>
        <w:tc>
          <w:tcPr>
            <w:tcW w:type="dxa" w:w="504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scripts/compare_filters.py</w:t>
            </w:r>
          </w:p>
        </w:tc>
      </w:tr>
      <w:tr>
        <w:tc>
          <w:tcPr>
            <w:tcW w:type="dxa" w:w="5040"/>
            <w:shd w:fill="F7F9FA" w:color="auto" w:val="clear"/>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The literature threshold preset and its provenance</w:t>
            </w:r>
          </w:p>
        </w:tc>
        <w:tc>
          <w:tcPr>
            <w:tcW w:type="dxa" w:w="504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exercises/squat/literature_config.py</w:t>
            </w:r>
          </w:p>
        </w:tc>
      </w:tr>
      <w:tr>
        <w:tc>
          <w:tcPr>
            <w:tcW w:type="dxa" w:w="5040"/>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Full account of the uncertainty layer</w:t>
            </w:r>
          </w:p>
        </w:tc>
        <w:tc>
          <w:tcPr>
            <w:tcW w:type="dxa" w:w="504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docs/measurement_uncertainty.md</w:t>
            </w:r>
          </w:p>
        </w:tc>
      </w:tr>
      <w:tr>
        <w:tc>
          <w:tcPr>
            <w:tcW w:type="dxa" w:w="5040"/>
            <w:shd w:fill="F7F9FA" w:color="auto" w:val="clear"/>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Full account of the filter comparison</w:t>
            </w:r>
          </w:p>
        </w:tc>
        <w:tc>
          <w:tcPr>
            <w:tcW w:type="dxa" w:w="504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docs/filter_selection.md</w:t>
            </w:r>
          </w:p>
        </w:tc>
      </w:tr>
      <w:tr>
        <w:tc>
          <w:tcPr>
            <w:tcW w:type="dxa" w:w="5040"/>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Paper-by-paper map of what was taken</w:t>
            </w:r>
          </w:p>
        </w:tc>
        <w:tc>
          <w:tcPr>
            <w:tcW w:type="dxa" w:w="504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docs/literature_basis.md</w:t>
            </w:r>
          </w:p>
        </w:tc>
      </w:tr>
      <w:tr>
        <w:tc>
          <w:tcPr>
            <w:tcW w:type="dxa" w:w="5040"/>
            <w:shd w:fill="F7F9FA" w:color="auto" w:val="clear"/>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Threshold audit trail, sections 7–9 are new</w:t>
            </w:r>
          </w:p>
        </w:tc>
        <w:tc>
          <w:tcPr>
            <w:tcW w:type="dxa" w:w="504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docs/threshold_tuning.md</w:t>
            </w:r>
          </w:p>
        </w:tc>
      </w:tr>
      <w:tr>
        <w:tc>
          <w:tcPr>
            <w:tcW w:type="dxa" w:w="5040"/>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Limitations, including the new ones</w:t>
            </w:r>
          </w:p>
        </w:tc>
        <w:tc>
          <w:tcPr>
            <w:tcW w:type="dxa" w:w="504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docs/limitations.md</w:t>
            </w:r>
          </w:p>
        </w:tc>
      </w:tr>
      <w:tr>
        <w:tc>
          <w:tcPr>
            <w:tcW w:type="dxa" w:w="5040"/>
            <w:shd w:fill="F7F9FA" w:color="auto" w:val="clear"/>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Tests for the filters (analytic properties)</w:t>
            </w:r>
          </w:p>
        </w:tc>
        <w:tc>
          <w:tcPr>
            <w:tcW w:type="dxa" w:w="504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tests/test_filters.py</w:t>
            </w:r>
          </w:p>
        </w:tc>
      </w:tr>
      <w:tr>
        <w:tc>
          <w:tcPr>
            <w:tcW w:type="dxa" w:w="5040"/>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Tests for the uncertainty layer</w:t>
            </w:r>
          </w:p>
        </w:tc>
        <w:tc>
          <w:tcPr>
            <w:tcW w:type="dxa" w:w="504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tests/test_uncertainty.py</w:t>
            </w:r>
          </w:p>
        </w:tc>
      </w:tr>
      <w:tr>
        <w:tc>
          <w:tcPr>
            <w:tcW w:type="dxa" w:w="5040"/>
            <w:shd w:fill="F7F9FA" w:color="auto" w:val="clear"/>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Tests for the literature preset</w:t>
            </w:r>
          </w:p>
        </w:tc>
        <w:tc>
          <w:tcPr>
            <w:tcW w:type="dxa" w:w="504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tests/test_literature_preset.py</w:t>
            </w:r>
          </w:p>
        </w:tc>
      </w:tr>
      <w:tr>
        <w:tc>
          <w:tcPr>
            <w:tcW w:type="dxa" w:w="5040"/>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Run the comparison yourself</w:t>
            </w:r>
          </w:p>
        </w:tc>
        <w:tc>
          <w:tcPr>
            <w:tcW w:type="dxa" w:w="5040"/>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python scripts/compare_filters.py</w:t>
            </w:r>
          </w:p>
        </w:tc>
      </w:tr>
      <w:tr>
        <w:tc>
          <w:tcPr>
            <w:tcW w:type="dxa" w:w="5040"/>
            <w:shd w:fill="F7F9FA" w:color="auto" w:val="clear"/>
            <w:tcMar>
              <w:top w:type="dxa" w:w="90"/>
              <w:left w:type="dxa" w:w="120"/>
              <w:bottom w:type="dxa" w:w="90"/>
              <w:right w:type="dxa" w:w="120"/>
            </w:tcMar>
            <w:vAlign w:val="top"/>
          </w:tcPr>
          <w:p>
            <w:pPr>
              <w:spacing w:after="40" w:line="264"/>
            </w:pPr>
            <w:r>
              <w:rPr>
                <w:rFonts w:ascii="Calibri" w:cs="Calibri" w:eastAsia="Calibri" w:hAnsi="Calibri"/>
                <w:b/>
                <w:bCs/>
                <w:color w:val="1A1A1A"/>
                <w:sz w:val="18"/>
                <w:szCs w:val="18"/>
              </w:rPr>
              <w:t xml:space="preserve">Run the evaluation under each preset</w:t>
            </w:r>
          </w:p>
        </w:tc>
        <w:tc>
          <w:tcPr>
            <w:tcW w:type="dxa" w:w="5040"/>
            <w:shd w:fill="F7F9FA" w:color="auto" w:val="clear"/>
            <w:tcMar>
              <w:top w:type="dxa" w:w="90"/>
              <w:left w:type="dxa" w:w="120"/>
              <w:bottom w:type="dxa" w:w="90"/>
              <w:right w:type="dxa" w:w="120"/>
            </w:tcMar>
            <w:vAlign w:val="top"/>
          </w:tcPr>
          <w:p>
            <w:pPr>
              <w:spacing w:after="40" w:line="264"/>
            </w:pPr>
            <w:r>
              <w:rPr>
                <w:rFonts w:ascii="Calibri" w:cs="Calibri" w:eastAsia="Calibri" w:hAnsi="Calibri"/>
                <w:b w:val="false"/>
                <w:bCs w:val="false"/>
                <w:color w:val="1A1A1A"/>
                <w:sz w:val="18"/>
                <w:szCs w:val="18"/>
              </w:rPr>
              <w:t xml:space="preserve">python scripts/evaluate_videos.py manifest.csv --preset literature</w:t>
            </w:r>
          </w:p>
        </w:tc>
      </w:tr>
    </w:tbl>
    <w:p>
      <w:pPr>
        <w:spacing w:after="300"/>
      </w:pPr>
    </w:p>
    <w:p>
      <w:pPr>
        <w:pStyle w:val="Heading2"/>
        <w:spacing w:after="120" w:before="300"/>
      </w:pPr>
      <w:r>
        <w:rPr>
          <w:rFonts w:ascii="Calibri" w:cs="Calibri" w:eastAsia="Calibri" w:hAnsi="Calibri"/>
          <w:b/>
          <w:bCs/>
          <w:color w:val="133C3A"/>
          <w:sz w:val="24"/>
          <w:szCs w:val="24"/>
        </w:rPr>
        <w:t xml:space="preserve">One caution</w:t>
      </w:r>
    </w:p>
    <w:p>
      <w:pPr>
        <w:spacing w:after="120" w:before="0" w:line="276"/>
      </w:pPr>
      <w:r>
        <w:rPr>
          <w:rFonts w:ascii="Calibri" w:cs="Calibri" w:eastAsia="Calibri" w:hAnsi="Calibri"/>
          <w:color w:val="1A1A1A"/>
          <w:sz w:val="21"/>
          <w:szCs w:val="21"/>
        </w:rPr>
        <w:t xml:space="preserve">The literature preset is traceable to published measurements, which is better than being traceable to nothing. It is not validated. No labelled recording has been run under it, and a citation is not a validation. The same applies to the operational defaults. Until recordings exist and the harness has processed them, the honest position is that FormFix has no accuracy figure — and saying so is a stronger position in a viva than quoting one that cannot be defended.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E4" w:sz="4" w:space="6"/>
      </w:pBdr>
      <w:spacing w:after="200"/>
      <w:jc w:val="right"/>
    </w:pPr>
    <w:r>
      <w:rPr>
        <w:rFonts w:ascii="Calibri" w:cs="Calibri" w:eastAsia="Calibri" w:hAnsi="Calibri"/>
        <w:color w:val="5A6472"/>
        <w:sz w:val="16"/>
        <w:szCs w:val="16"/>
      </w:rPr>
      <w:t xml:space="preserve">FormFix AI · Research Provenance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lvl w:ilvl="1" w15:tentative="1">
      <w:start w:val="1"/>
      <w:numFmt w:val="bullet"/>
      <w:lvlText w:val="–"/>
      <w:lvlJc w:val="left"/>
      <w:pPr>
        <w:ind w:left="7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FormFix AI — Research Provenance and Report Material</dc:title>
  <dc:creator>FormFix AI</dc:creator>
  <dc:description>What was taken from the reviewed literature, what was extended, and what is original.</dc:description>
  <cp:lastModifiedBy>Un-named</cp:lastModifiedBy>
  <cp:revision>1</cp:revision>
  <dcterms:created xsi:type="dcterms:W3CDTF">2026-08-30T15:56:40.164Z</dcterms:created>
  <dcterms:modified xsi:type="dcterms:W3CDTF">2026-08-30T15:56:40.164Z</dcterms:modified>
</cp:coreProperties>
</file>

<file path=docProps/custom.xml><?xml version="1.0" encoding="utf-8"?>
<Properties xmlns="http://schemas.openxmlformats.org/officeDocument/2006/custom-properties" xmlns:vt="http://schemas.openxmlformats.org/officeDocument/2006/docPropsVTypes"/>
</file>