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أصل اشتقاق كلمة "الخلع" لغةً كما ورد في النص؟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من الشراء والبيع    (ب) من نزع الثوب    (ج) من إزالة الملك    (د) من دفع الضرر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الحكم إذا كان العوض في الخلع مجهولاً، كالثوب غير المعين؟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يكون الخلع جائزاً بنفس العوض المجهول.    (ب) يقع الخلع بائناً بمهر المثل.    (ج) يعتبر الخلع باطلاً.    (د) يجب تعيين الثوب قبل الخلع ليصح.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لغةً يعني إزالة الضرر عن المرأة.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حكمة مشروعية الخلع تمكين الزوج من الانتفاع بالبضع بعوض.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اشرح التشبيه الوارد في النص بين النكاح والخلع من جهة، والشراء والبيع من جهة أخرى.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