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الدليل على مشروعية الخلع الوارد في السنة النبوية؟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﴿فَإِنْ طِبْنَ لَكُمْ عَنْ شَيْءٍ مِنْهُ نَفْسًا﴾    (ب) انعقاد الإجماع على مشروعيته    (ج) الأمر به في خبر البخاري في امرأة ثابت بن قيس    (د) شرطه أن إطلاق صرف متى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الخاص بركن 'الزوج' من أركان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أن إطلاق صرف متى    (ب) صحة طلاقه    (ج) ما مر فيها البيع    (د) أن يكون عوضاً معلوماً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انعقد الإجماع على مشروعية الخلع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يشترط في ركن 'ملتزم للعوض' أن يكون شرطه ما مر فيها البيع.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أركان الخلع كما وردت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