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الفقهاء والعلماء الذين أسسوا مذاهبهم في القرن الثاني الهجري وذكرهم النص هو: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حماد بن أبي سليمان    (ب) إبراهيم النخعي    (ج) أبو حنيفة النعمان بن ثابت    (د) عبدالله بن مسعود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أي قرن هجري أسس الفقهاء المذكورون مذاهبهم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القرن الأول الهجري    (ب) القرن الثاني الهجري    (ج) القرن الثالث الهجري    (د) القرن الرابع الهجري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أحد الألقاب التي أُطلقت على الإمام أبي حنيفة النعمان في النص هو: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مفتي الحرمين    (ب) إمام أهل الرأي    (ج) شيخ المحدثين    (د) زاهد البصرة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أي مما يلي ليس من مصادر مذهب الإمام أبي حنيفة المذكورة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القرآن الكريم    (ب) السنة النبوية    (ج) أقوال الصحابة    (د) القياس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تعلم الإمام أبو حنيفة الفقه مباشرة عن إبراهيم النخعي.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