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pPr>
              <w:jc w:val="right"/>
              <w:bidi/>
            </w:pPr>
            <w:r>
              <w:rPr>
                <w:rFonts w:ascii="Traditional Arabic" w:hAnsi="Traditional Arabic"/>
                <w:b/>
                <w:color w:val="1A5276"/>
                <w:sz w:val="24"/>
                <w:rFonts w:ascii="Traditional Arabic" w:hAnsi="Traditional Arabic" w:cs="Traditional Arabic"/>
                <w:rtl/>
              </w:rPr>
              <w:t>الصف: الصف الثاني الثانوي</w:t>
              <w:br/>
              <w:t>زمن الاختبار: ساعة ونصف</w:t>
              <w:br/>
              <w:t>معلم المادة: أستاذ المادة</w:t>
            </w:r>
          </w:p>
        </w:tc>
        <w:tc>
          <w:tcPr>
            <w:tcW w:type="dxa" w:w="3600"/>
          </w:tcPr>
          <w:p>
            <w:pPr>
              <w:jc w:val="center"/>
            </w:pPr>
            <w:r>
              <w:rPr>
                <w:rFonts w:ascii="Traditional Arabic" w:hAnsi="Traditional Arabic"/>
                <w:b/>
                <w:color w:val="1A5276"/>
                <w:sz w:val="26"/>
                <w:rFonts w:ascii="Traditional Arabic" w:hAnsi="Traditional Arabic" w:cs="Traditional Arabic"/>
                <w:rtl/>
              </w:rPr>
              <w:t>بسم الله الرحمن الرحيم</w:t>
              <w:br/>
              <w:t>اختبار اللغة العربية والدراسات</w:t>
              <w:br/>
              <w:t>الفصل الدراسي الأول</w:t>
            </w:r>
          </w:p>
        </w:tc>
        <w:tc>
          <w:tcPr>
            <w:tcW w:type="dxa" w:w="3168"/>
          </w:tcPr>
          <w:p>
            <w:pPr>
              <w:jc w:val="right"/>
              <w:bidi/>
            </w:pPr>
            <w:r>
              <w:rPr>
                <w:rFonts w:ascii="Traditional Arabic" w:hAnsi="Traditional Arabic"/>
                <w:b/>
                <w:color w:val="1A5276"/>
                <w:sz w:val="24"/>
                <w:rFonts w:ascii="Traditional Arabic" w:hAnsi="Traditional Arabic" w:cs="Traditional Arabic"/>
                <w:rtl/>
              </w:rPr>
              <w:t>المملكة العربية السعودية</w:t>
              <w:br/>
              <w:t>مدرسة المستقبل النموذجية</w:t>
              <w:br/>
              <w:t>المادة: اللغة العربية والدراسات</w:t>
            </w: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center"/>
        <w:bidi/>
      </w:pPr>
      <w:r>
        <w:rPr>
          <w:rFonts w:ascii="Traditional Arabic" w:hAnsi="Traditional Arabic"/>
          <w:b/>
          <w:color w:val="B42828"/>
          <w:sz w:val="30"/>
          <w:rFonts w:ascii="Traditional Arabic" w:hAnsi="Traditional Arabic" w:cs="Traditional Arabic"/>
          <w:rtl/>
        </w:rPr>
        <w:t>--- نموذج الإجابة النموذجي وسلم الدرجات (خاص بالمدرس) ---</w:t>
      </w:r>
    </w:p>
    <w:p/>
    <w:tbl>
      <w:tblPr>
        <w:tblW w:type="auto" w:w="0"/>
        <w:jc w:val="center"/>
        <w:tblLook w:firstColumn="1" w:firstRow="1" w:lastColumn="0" w:lastRow="0" w:noHBand="0" w:noVBand="1" w:val="04A0"/>
      </w:tblPr>
      <w:tblGrid>
        <w:gridCol w:w="2484"/>
        <w:gridCol w:w="2484"/>
        <w:gridCol w:w="2484"/>
        <w:gridCol w:w="2484"/>
      </w:tblGrid>
      <w:tr>
        <w:tc>
          <w:tcPr>
            <w:tcW w:type="dxa" w:w="2484"/>
            <w:shd w:fill="1A5276"/>
          </w:tcPr>
          <w:p>
            <w:pPr>
              <w:jc w:val="right"/>
              <w:bidi/>
            </w:pPr>
            <w:r>
              <w:rPr>
                <w:rFonts w:ascii="Traditional Arabic" w:hAnsi="Traditional Arabic"/>
                <w:b/>
                <w:color w:val="FFFFFF"/>
                <w:sz w:val="24"/>
                <w:rFonts w:ascii="Traditional Arabic" w:hAnsi="Traditional Arabic" w:cs="Traditional Arabic"/>
                <w:rtl/>
              </w:rPr>
              <w:t>رقم السؤال</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نص السؤال والخيارات</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الإجابة النموذجية وشرحها</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الدرجات والمراجع</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1</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ما هو المعنى اللغوي لكلمة 'الفقه' كما ورد في النص؟</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ج</w:t>
              <w:br/>
            </w:r>
            <w:r>
              <w:rPr>
                <w:rFonts w:ascii="Traditional Arabic" w:hAnsi="Traditional Arabic"/>
                <w:b w:val="0"/>
                <w:color w:val="646464"/>
                <w:sz w:val="20"/>
                <w:rFonts w:ascii="Traditional Arabic" w:hAnsi="Traditional Arabic" w:cs="Traditional Arabic"/>
                <w:rtl/>
              </w:rPr>
              <w:t>التوضيح: ذكر النص أن 'الفقه لغة: الفهم'.</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page_1_definition</w:t>
            </w:r>
          </w:p>
        </w:tc>
      </w:tr>
      <w:tr>
        <w:tc>
          <w:tcPr>
            <w:tcW w:type="dxa" w:w="2484"/>
            <w:shd w:fill="F8F9F9"/>
          </w:tcPr>
          <w:p>
            <w:pPr>
              <w:jc w:val="right"/>
              <w:bidi/>
            </w:pPr>
            <w:r>
              <w:rPr>
                <w:rFonts w:ascii="Traditional Arabic" w:hAnsi="Traditional Arabic"/>
                <w:b/>
                <w:color w:val="1A5276"/>
                <w:sz w:val="24"/>
                <w:rFonts w:ascii="Traditional Arabic" w:hAnsi="Traditional Arabic" w:cs="Traditional Arabic"/>
                <w:rtl/>
              </w:rPr>
              <w:t>س 2</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بدأ الفقه منذ عصر التابعين.</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خطأ</w:t>
              <w:br/>
            </w:r>
            <w:r>
              <w:rPr>
                <w:rFonts w:ascii="Traditional Arabic" w:hAnsi="Traditional Arabic"/>
                <w:b w:val="0"/>
                <w:color w:val="646464"/>
                <w:sz w:val="20"/>
                <w:rFonts w:ascii="Traditional Arabic" w:hAnsi="Traditional Arabic" w:cs="Traditional Arabic"/>
                <w:rtl/>
              </w:rPr>
              <w:t>التوضيح: النص يوضح أن 'بدأ الفقه منذ عصر النبوة والوحي'.</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page_1_origins</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3</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ما هو المصدر الثالث من مصادر التشريع الإسلامي الذي ذكره النص عندما يتفق الفقهاء على حكم؟</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ج</w:t>
              <w:br/>
            </w:r>
            <w:r>
              <w:rPr>
                <w:rFonts w:ascii="Traditional Arabic" w:hAnsi="Traditional Arabic"/>
                <w:b w:val="0"/>
                <w:color w:val="646464"/>
                <w:sz w:val="20"/>
                <w:rFonts w:ascii="Traditional Arabic" w:hAnsi="Traditional Arabic" w:cs="Traditional Arabic"/>
                <w:rtl/>
              </w:rPr>
              <w:t>التوضيح: يقول النص: 'فإن الفقهاء عني حكم كان إجماعاً وهو المصدر الثالث من مصادر التشريع الإسلامي'.</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page_1_origins</w:t>
            </w:r>
          </w:p>
        </w:tc>
      </w:tr>
      <w:tr>
        <w:tc>
          <w:tcPr>
            <w:tcW w:type="dxa" w:w="2484"/>
            <w:shd w:fill="F8F9F9"/>
          </w:tcPr>
          <w:p>
            <w:pPr>
              <w:jc w:val="right"/>
              <w:bidi/>
            </w:pPr>
            <w:r>
              <w:rPr>
                <w:rFonts w:ascii="Traditional Arabic" w:hAnsi="Traditional Arabic"/>
                <w:b/>
                <w:color w:val="1A5276"/>
                <w:sz w:val="24"/>
                <w:rFonts w:ascii="Traditional Arabic" w:hAnsi="Traditional Arabic" w:cs="Traditional Arabic"/>
                <w:rtl/>
              </w:rPr>
              <w:t>س 4</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كان الخلفاء الراشدون يطبقون الأحكام بالاعتماد على كتاب الله تعالى فقط.</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خطأ</w:t>
              <w:br/>
            </w:r>
            <w:r>
              <w:rPr>
                <w:rFonts w:ascii="Traditional Arabic" w:hAnsi="Traditional Arabic"/>
                <w:b w:val="0"/>
                <w:color w:val="646464"/>
                <w:sz w:val="20"/>
                <w:rFonts w:ascii="Traditional Arabic" w:hAnsi="Traditional Arabic" w:cs="Traditional Arabic"/>
                <w:rtl/>
              </w:rPr>
              <w:t>التوضيح: يذكر النص أن 'فكان كبار الصحابة ومنهم الخلفاء الراشدون يطبقون الأحكام وصدهم في ذلك كتاب الله تعالى، فإن لم يحدوا فيه حكم القضية بحثوا في السنة وسألوا من يعرف شيئاً عن رسول الله ﷺ فيُشكل عنهم، فإن لم يحدوا في السنة، نظروا واجتهدوا واستنبطوا الأحكام مستعينين بالمقياس أحياناً'.</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page_1_origins</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5</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وضح المعنى الاصطلاحي للفقه، وكيف يتم اكتساب الأحكام الشرعية العملية حسب هذا التعريف كما ورد في النص؟</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الفقه اصطلاحاً هو 'العلم بالأحكام الشرعية العملية المكتسبة من أدلتها التفصيلية'. ووفقاً لما ورد في النص، يتم اكتساب الأحكام الشرعية العملية من هذه الأدلة التفصيلية التي تشمل كتاب الله تعالى، والسنة النبوية، والاجتهاد والاستنباط الذي قد يستعين بالقياس، والإجماع.</w:t>
              <w:br/>
            </w:r>
            <w:r>
              <w:rPr>
                <w:rFonts w:ascii="Traditional Arabic" w:hAnsi="Traditional Arabic"/>
                <w:b w:val="0"/>
                <w:color w:val="646464"/>
                <w:sz w:val="20"/>
                <w:rFonts w:ascii="Traditional Arabic" w:hAnsi="Traditional Arabic" w:cs="Traditional Arabic"/>
                <w:rtl/>
              </w:rPr>
              <w:t>التوضيح: ورد في النص تعريف الفقه اصطلاحاً بأنه: 'العلم بالأحكام الشرعية العملية المكتسبة من أدلتها التفصيلية'. وقد ذكر النص في نشأة الفقه أن كبار الصحابة كانوا يطبقون الأحكام معتمدين على كتاب الله تعالى، ثم السنة، ثم الاجتهاد والاستنباط والمقياس أحياناً، وكذلك الإجماع، وهي تمثل الأدلة التفصيلية التي تكتسب منها الأحكام.</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page_1_definition_and_origins</w:t>
            </w:r>
          </w:p>
        </w:tc>
      </w:tr>
    </w:tbl>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